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charts/chart19.xml" ContentType="application/vnd.openxmlformats-officedocument.drawingml.chart+xml"/>
  <Override PartName="/word/charts/chart20.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1.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2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2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2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2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3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31.xml" ContentType="application/vnd.openxmlformats-officedocument.drawingml.chart+xml"/>
  <Override PartName="/word/charts/style12.xml" ContentType="application/vnd.ms-office.chartstyle+xml"/>
  <Override PartName="/word/charts/colors12.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EA2E05" w:rsidRPr="0065598A" w:rsidRDefault="00D90476" w:rsidP="00D90476">
      <w:pPr>
        <w:tabs>
          <w:tab w:val="center" w:pos="5954"/>
        </w:tabs>
        <w:spacing w:line="276" w:lineRule="auto"/>
        <w:jc w:val="center"/>
        <w:rPr>
          <w:rFonts w:asciiTheme="minorHAnsi" w:hAnsiTheme="minorHAnsi"/>
          <w:b/>
          <w:bCs/>
          <w:lang w:val="sq-AL"/>
        </w:rPr>
      </w:pPr>
      <w:r w:rsidRPr="0065598A">
        <w:rPr>
          <w:rFonts w:asciiTheme="majorHAnsi" w:hAnsiTheme="majorHAnsi"/>
          <w:noProof/>
        </w:rPr>
        <w:drawing>
          <wp:inline distT="0" distB="0" distL="0" distR="0" wp14:anchorId="7E8DAD9F" wp14:editId="1C4AB030">
            <wp:extent cx="6113493" cy="1638300"/>
            <wp:effectExtent l="0" t="0" r="1905" b="0"/>
            <wp:docPr id="296" name="Picture 296" descr="C:\Users\kostandine.dorri\Desktop\logo minist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standine.dorri\Desktop\logo ministria.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9574" cy="1639930"/>
                    </a:xfrm>
                    <a:prstGeom prst="rect">
                      <a:avLst/>
                    </a:prstGeom>
                    <a:noFill/>
                    <a:ln>
                      <a:noFill/>
                    </a:ln>
                  </pic:spPr>
                </pic:pic>
              </a:graphicData>
            </a:graphic>
          </wp:inline>
        </w:drawing>
      </w:r>
    </w:p>
    <w:p w:rsidR="00EA2E05" w:rsidRPr="0065598A" w:rsidRDefault="00EA2E05" w:rsidP="00A40986">
      <w:pPr>
        <w:tabs>
          <w:tab w:val="center" w:pos="5954"/>
        </w:tabs>
        <w:spacing w:line="276" w:lineRule="auto"/>
        <w:jc w:val="both"/>
        <w:rPr>
          <w:rFonts w:asciiTheme="minorHAnsi" w:hAnsiTheme="minorHAnsi"/>
          <w:b/>
          <w:bCs/>
          <w:lang w:val="sq-AL"/>
        </w:rPr>
      </w:pPr>
    </w:p>
    <w:p w:rsidR="00EA2E05" w:rsidRPr="0065598A" w:rsidRDefault="00EA2E05" w:rsidP="00A40986">
      <w:pPr>
        <w:tabs>
          <w:tab w:val="center" w:pos="5954"/>
        </w:tabs>
        <w:spacing w:line="276" w:lineRule="auto"/>
        <w:jc w:val="both"/>
        <w:rPr>
          <w:rFonts w:asciiTheme="minorHAnsi" w:hAnsiTheme="minorHAnsi"/>
          <w:b/>
          <w:bCs/>
          <w:lang w:val="sq-AL"/>
        </w:rPr>
      </w:pPr>
    </w:p>
    <w:p w:rsidR="00EA2E05" w:rsidRPr="0065598A" w:rsidRDefault="00EA2E05" w:rsidP="00A40986">
      <w:pPr>
        <w:spacing w:line="276" w:lineRule="auto"/>
        <w:jc w:val="both"/>
        <w:rPr>
          <w:rFonts w:asciiTheme="minorHAnsi" w:hAnsiTheme="minorHAnsi"/>
          <w:b/>
          <w:bCs/>
          <w:color w:val="333333"/>
          <w:lang w:val="sq-AL"/>
        </w:rPr>
      </w:pPr>
    </w:p>
    <w:p w:rsidR="000F540A" w:rsidRPr="0065598A" w:rsidRDefault="000F540A" w:rsidP="00A40986">
      <w:pPr>
        <w:pStyle w:val="Default"/>
        <w:spacing w:line="276" w:lineRule="auto"/>
        <w:jc w:val="center"/>
        <w:rPr>
          <w:rFonts w:asciiTheme="minorHAnsi" w:hAnsiTheme="minorHAnsi"/>
          <w:b/>
          <w:color w:val="800000"/>
          <w:lang w:val="sq-AL"/>
        </w:rPr>
      </w:pPr>
    </w:p>
    <w:p w:rsidR="000F540A" w:rsidRPr="0065598A" w:rsidRDefault="000F540A" w:rsidP="00A40986">
      <w:pPr>
        <w:pStyle w:val="Default"/>
        <w:spacing w:line="276" w:lineRule="auto"/>
        <w:jc w:val="center"/>
        <w:rPr>
          <w:rFonts w:asciiTheme="minorHAnsi" w:hAnsiTheme="minorHAnsi"/>
          <w:b/>
          <w:color w:val="800000"/>
          <w:lang w:val="sq-AL"/>
        </w:rPr>
      </w:pPr>
    </w:p>
    <w:p w:rsidR="000F540A" w:rsidRPr="0065598A" w:rsidRDefault="000F540A" w:rsidP="00A40986">
      <w:pPr>
        <w:pStyle w:val="Default"/>
        <w:spacing w:line="276" w:lineRule="auto"/>
        <w:jc w:val="center"/>
        <w:rPr>
          <w:rFonts w:asciiTheme="minorHAnsi" w:hAnsiTheme="minorHAnsi"/>
          <w:b/>
          <w:color w:val="800000"/>
          <w:lang w:val="sq-AL"/>
        </w:rPr>
      </w:pPr>
    </w:p>
    <w:p w:rsidR="000F540A" w:rsidRPr="0065598A" w:rsidRDefault="000F540A" w:rsidP="00A40986">
      <w:pPr>
        <w:pStyle w:val="Default"/>
        <w:spacing w:line="276" w:lineRule="auto"/>
        <w:jc w:val="center"/>
        <w:rPr>
          <w:rFonts w:asciiTheme="minorHAnsi" w:hAnsiTheme="minorHAnsi"/>
          <w:b/>
          <w:color w:val="800000"/>
          <w:lang w:val="sq-AL"/>
        </w:rPr>
      </w:pPr>
    </w:p>
    <w:p w:rsidR="00EA2E05" w:rsidRPr="0065598A" w:rsidRDefault="00EA2E05" w:rsidP="00A40986">
      <w:pPr>
        <w:pStyle w:val="Default"/>
        <w:spacing w:line="276" w:lineRule="auto"/>
        <w:jc w:val="center"/>
        <w:rPr>
          <w:rFonts w:asciiTheme="minorHAnsi" w:hAnsiTheme="minorHAnsi"/>
          <w:b/>
          <w:color w:val="800000"/>
          <w:lang w:val="sq-AL"/>
        </w:rPr>
      </w:pPr>
      <w:r w:rsidRPr="0065598A">
        <w:rPr>
          <w:rFonts w:asciiTheme="minorHAnsi" w:hAnsiTheme="minorHAnsi"/>
          <w:b/>
          <w:color w:val="800000"/>
          <w:lang w:val="sq-AL"/>
        </w:rPr>
        <w:t>______________</w:t>
      </w:r>
    </w:p>
    <w:p w:rsidR="00FA2FFA" w:rsidRPr="0065598A" w:rsidRDefault="00FA2FFA" w:rsidP="00A40986">
      <w:pPr>
        <w:pStyle w:val="Default"/>
        <w:spacing w:line="276" w:lineRule="auto"/>
        <w:jc w:val="center"/>
        <w:rPr>
          <w:rFonts w:asciiTheme="minorHAnsi" w:hAnsiTheme="minorHAnsi"/>
          <w:b/>
          <w:color w:val="auto"/>
          <w:lang w:val="sq-AL"/>
        </w:rPr>
      </w:pPr>
    </w:p>
    <w:p w:rsidR="00337792" w:rsidRPr="0065598A" w:rsidRDefault="00337792" w:rsidP="00A40986">
      <w:pPr>
        <w:pStyle w:val="Default"/>
        <w:spacing w:line="276" w:lineRule="auto"/>
        <w:jc w:val="center"/>
        <w:rPr>
          <w:rFonts w:asciiTheme="minorHAnsi" w:hAnsiTheme="minorHAnsi"/>
          <w:b/>
          <w:color w:val="C00000"/>
          <w:sz w:val="52"/>
          <w:lang w:val="sq-AL"/>
        </w:rPr>
      </w:pPr>
      <w:r w:rsidRPr="0065598A">
        <w:rPr>
          <w:rFonts w:asciiTheme="minorHAnsi" w:hAnsiTheme="minorHAnsi"/>
          <w:b/>
          <w:color w:val="C00000"/>
          <w:sz w:val="52"/>
          <w:lang w:val="sq-AL"/>
        </w:rPr>
        <w:t xml:space="preserve">RAPORTI I MES-VITIT </w:t>
      </w:r>
    </w:p>
    <w:p w:rsidR="00C81BF8" w:rsidRPr="0065598A" w:rsidRDefault="00337792" w:rsidP="00A40986">
      <w:pPr>
        <w:pStyle w:val="Default"/>
        <w:spacing w:line="276" w:lineRule="auto"/>
        <w:jc w:val="center"/>
        <w:rPr>
          <w:rFonts w:asciiTheme="minorHAnsi" w:hAnsiTheme="minorHAnsi"/>
          <w:b/>
          <w:color w:val="C00000"/>
          <w:sz w:val="52"/>
          <w:lang w:val="sq-AL"/>
        </w:rPr>
      </w:pPr>
      <w:r w:rsidRPr="0065598A">
        <w:rPr>
          <w:rFonts w:asciiTheme="minorHAnsi" w:hAnsiTheme="minorHAnsi"/>
          <w:b/>
          <w:color w:val="C00000"/>
          <w:sz w:val="52"/>
          <w:lang w:val="sq-AL"/>
        </w:rPr>
        <w:t xml:space="preserve">MBI ZBATIMIN E BUXHETIT </w:t>
      </w:r>
      <w:r w:rsidRPr="003C6B6E">
        <w:rPr>
          <w:rFonts w:asciiTheme="minorHAnsi" w:hAnsiTheme="minorHAnsi"/>
          <w:b/>
          <w:color w:val="C00000"/>
          <w:sz w:val="52"/>
          <w:lang w:val="sq-AL"/>
        </w:rPr>
        <w:t>20</w:t>
      </w:r>
      <w:r w:rsidR="00A93433" w:rsidRPr="003C6B6E">
        <w:rPr>
          <w:rFonts w:asciiTheme="minorHAnsi" w:hAnsiTheme="minorHAnsi"/>
          <w:b/>
          <w:color w:val="C00000"/>
          <w:sz w:val="52"/>
          <w:lang w:val="sq-AL"/>
        </w:rPr>
        <w:t>2</w:t>
      </w:r>
      <w:r w:rsidR="00FD3DF0" w:rsidRPr="003C6B6E">
        <w:rPr>
          <w:rFonts w:asciiTheme="minorHAnsi" w:hAnsiTheme="minorHAnsi"/>
          <w:b/>
          <w:color w:val="C00000"/>
          <w:sz w:val="52"/>
          <w:lang w:val="sq-AL"/>
        </w:rPr>
        <w:t>1</w:t>
      </w:r>
    </w:p>
    <w:p w:rsidR="00AB2DCA" w:rsidRPr="0065598A" w:rsidRDefault="00AB2DCA" w:rsidP="00A40986">
      <w:pPr>
        <w:pStyle w:val="Default"/>
        <w:spacing w:line="276" w:lineRule="auto"/>
        <w:jc w:val="center"/>
        <w:rPr>
          <w:rFonts w:asciiTheme="minorHAnsi" w:hAnsiTheme="minorHAnsi"/>
          <w:b/>
          <w:color w:val="C00000"/>
          <w:lang w:val="sq-AL"/>
        </w:rPr>
      </w:pPr>
    </w:p>
    <w:p w:rsidR="00337792" w:rsidRPr="0065598A" w:rsidRDefault="00337792" w:rsidP="00A40986">
      <w:pPr>
        <w:pStyle w:val="Default"/>
        <w:spacing w:line="276" w:lineRule="auto"/>
        <w:jc w:val="center"/>
        <w:rPr>
          <w:rFonts w:asciiTheme="minorHAnsi" w:hAnsiTheme="minorHAnsi"/>
          <w:b/>
          <w:color w:val="365F91" w:themeColor="accent1" w:themeShade="BF"/>
          <w:sz w:val="40"/>
          <w:lang w:val="sq-AL"/>
        </w:rPr>
      </w:pPr>
      <w:r w:rsidRPr="0065598A">
        <w:rPr>
          <w:rFonts w:asciiTheme="minorHAnsi" w:hAnsiTheme="minorHAnsi"/>
          <w:b/>
          <w:color w:val="365F91" w:themeColor="accent1" w:themeShade="BF"/>
          <w:sz w:val="40"/>
          <w:lang w:val="sq-AL"/>
        </w:rPr>
        <w:t>VLERËSIMI I SITUATËS MAKROEKONOMIKE, FISKALE DHE BUXHETORE PËR 5-MUJORIN 20</w:t>
      </w:r>
      <w:r w:rsidR="00A93433" w:rsidRPr="0065598A">
        <w:rPr>
          <w:rFonts w:asciiTheme="minorHAnsi" w:hAnsiTheme="minorHAnsi"/>
          <w:b/>
          <w:color w:val="365F91" w:themeColor="accent1" w:themeShade="BF"/>
          <w:sz w:val="40"/>
          <w:lang w:val="sq-AL"/>
        </w:rPr>
        <w:t>2</w:t>
      </w:r>
      <w:r w:rsidR="00FD3DF0">
        <w:rPr>
          <w:rFonts w:asciiTheme="minorHAnsi" w:hAnsiTheme="minorHAnsi"/>
          <w:b/>
          <w:color w:val="365F91" w:themeColor="accent1" w:themeShade="BF"/>
          <w:sz w:val="40"/>
          <w:lang w:val="sq-AL"/>
        </w:rPr>
        <w:t>1</w:t>
      </w:r>
      <w:r w:rsidRPr="0065598A">
        <w:rPr>
          <w:rFonts w:asciiTheme="minorHAnsi" w:hAnsiTheme="minorHAnsi"/>
          <w:b/>
          <w:color w:val="365F91" w:themeColor="accent1" w:themeShade="BF"/>
          <w:sz w:val="40"/>
          <w:lang w:val="sq-AL"/>
        </w:rPr>
        <w:t xml:space="preserve">, </w:t>
      </w:r>
    </w:p>
    <w:p w:rsidR="00AB2DCA" w:rsidRPr="0065598A" w:rsidRDefault="00337792" w:rsidP="00A40986">
      <w:pPr>
        <w:pStyle w:val="Default"/>
        <w:spacing w:line="276" w:lineRule="auto"/>
        <w:jc w:val="center"/>
        <w:rPr>
          <w:rFonts w:asciiTheme="minorHAnsi" w:hAnsiTheme="minorHAnsi"/>
          <w:b/>
          <w:color w:val="365F91" w:themeColor="accent1" w:themeShade="BF"/>
          <w:sz w:val="40"/>
          <w:lang w:val="sq-AL"/>
        </w:rPr>
      </w:pPr>
      <w:r w:rsidRPr="0065598A">
        <w:rPr>
          <w:rFonts w:asciiTheme="minorHAnsi" w:hAnsiTheme="minorHAnsi"/>
          <w:b/>
          <w:color w:val="365F91" w:themeColor="accent1" w:themeShade="BF"/>
          <w:sz w:val="40"/>
          <w:lang w:val="sq-AL"/>
        </w:rPr>
        <w:t>DHE PRITSHMËRITË PËR 12-MUJORIN 20</w:t>
      </w:r>
      <w:r w:rsidR="00A93433" w:rsidRPr="0065598A">
        <w:rPr>
          <w:rFonts w:asciiTheme="minorHAnsi" w:hAnsiTheme="minorHAnsi"/>
          <w:b/>
          <w:color w:val="365F91" w:themeColor="accent1" w:themeShade="BF"/>
          <w:sz w:val="40"/>
          <w:lang w:val="sq-AL"/>
        </w:rPr>
        <w:t>2</w:t>
      </w:r>
      <w:r w:rsidR="00FD3DF0">
        <w:rPr>
          <w:rFonts w:asciiTheme="minorHAnsi" w:hAnsiTheme="minorHAnsi"/>
          <w:b/>
          <w:color w:val="365F91" w:themeColor="accent1" w:themeShade="BF"/>
          <w:sz w:val="40"/>
          <w:lang w:val="sq-AL"/>
        </w:rPr>
        <w:t>1</w:t>
      </w:r>
    </w:p>
    <w:p w:rsidR="00EA2E05" w:rsidRPr="0065598A" w:rsidRDefault="00EA2E05" w:rsidP="00A40986">
      <w:pPr>
        <w:pStyle w:val="Default"/>
        <w:spacing w:line="276" w:lineRule="auto"/>
        <w:jc w:val="center"/>
        <w:rPr>
          <w:rFonts w:asciiTheme="minorHAnsi" w:hAnsiTheme="minorHAnsi"/>
          <w:color w:val="auto"/>
          <w:lang w:val="sq-AL"/>
        </w:rPr>
      </w:pPr>
      <w:r w:rsidRPr="0065598A">
        <w:rPr>
          <w:rFonts w:asciiTheme="minorHAnsi" w:hAnsiTheme="minorHAnsi"/>
          <w:b/>
          <w:color w:val="800000"/>
          <w:lang w:val="sq-AL"/>
        </w:rPr>
        <w:t>______________________________</w:t>
      </w:r>
    </w:p>
    <w:p w:rsidR="00EA2E05" w:rsidRPr="0065598A" w:rsidRDefault="00EA2E05" w:rsidP="00A40986">
      <w:pPr>
        <w:pStyle w:val="Default"/>
        <w:spacing w:line="276" w:lineRule="auto"/>
        <w:jc w:val="center"/>
        <w:rPr>
          <w:rFonts w:asciiTheme="minorHAnsi" w:hAnsiTheme="minorHAnsi" w:cs="Arial"/>
          <w:color w:val="auto"/>
          <w:lang w:val="sq-AL"/>
        </w:rPr>
      </w:pPr>
    </w:p>
    <w:p w:rsidR="000F540A" w:rsidRPr="0065598A" w:rsidRDefault="000F540A" w:rsidP="00A40986">
      <w:pPr>
        <w:pStyle w:val="Default"/>
        <w:spacing w:line="276" w:lineRule="auto"/>
        <w:jc w:val="both"/>
        <w:rPr>
          <w:rFonts w:asciiTheme="minorHAnsi" w:hAnsiTheme="minorHAnsi" w:cs="Arial"/>
          <w:color w:val="auto"/>
          <w:lang w:val="sq-AL"/>
        </w:rPr>
      </w:pPr>
    </w:p>
    <w:p w:rsidR="000F540A" w:rsidRPr="0065598A" w:rsidRDefault="000F540A" w:rsidP="00A40986">
      <w:pPr>
        <w:pStyle w:val="Default"/>
        <w:spacing w:line="276" w:lineRule="auto"/>
        <w:jc w:val="both"/>
        <w:rPr>
          <w:rFonts w:asciiTheme="minorHAnsi" w:hAnsiTheme="minorHAnsi" w:cs="Arial"/>
          <w:color w:val="auto"/>
          <w:lang w:val="sq-AL"/>
        </w:rPr>
      </w:pPr>
    </w:p>
    <w:p w:rsidR="00A4451F" w:rsidRPr="0065598A" w:rsidRDefault="00A4451F"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bookmarkStart w:id="0" w:name="_GoBack"/>
      <w:bookmarkEnd w:id="0"/>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Pr="0065598A" w:rsidRDefault="00EA2E05" w:rsidP="00A40986">
      <w:pPr>
        <w:spacing w:line="276" w:lineRule="auto"/>
        <w:jc w:val="both"/>
        <w:rPr>
          <w:rFonts w:asciiTheme="minorHAnsi" w:hAnsiTheme="minorHAnsi" w:cs="Arial"/>
          <w:lang w:val="sq-AL"/>
        </w:rPr>
      </w:pPr>
    </w:p>
    <w:p w:rsidR="00EA2E05" w:rsidRDefault="00E97958" w:rsidP="00A40986">
      <w:pPr>
        <w:spacing w:line="276" w:lineRule="auto"/>
        <w:jc w:val="both"/>
        <w:rPr>
          <w:rFonts w:asciiTheme="minorHAnsi" w:hAnsiTheme="minorHAnsi" w:cs="Arial"/>
          <w:b/>
          <w:color w:val="C00000"/>
          <w:sz w:val="32"/>
          <w:lang w:val="sq-AL"/>
        </w:rPr>
      </w:pPr>
      <w:r w:rsidRPr="0065598A">
        <w:rPr>
          <w:rFonts w:asciiTheme="minorHAnsi" w:hAnsiTheme="minorHAnsi" w:cs="Arial"/>
          <w:b/>
          <w:color w:val="C00000"/>
          <w:sz w:val="32"/>
          <w:lang w:val="sq-AL"/>
        </w:rPr>
        <w:t xml:space="preserve">Tiranë, </w:t>
      </w:r>
      <w:r w:rsidR="00337792" w:rsidRPr="0065598A">
        <w:rPr>
          <w:rFonts w:asciiTheme="minorHAnsi" w:hAnsiTheme="minorHAnsi" w:cs="Arial"/>
          <w:b/>
          <w:color w:val="C00000"/>
          <w:sz w:val="32"/>
          <w:lang w:val="sq-AL"/>
        </w:rPr>
        <w:t xml:space="preserve">Qershor </w:t>
      </w:r>
      <w:r w:rsidRPr="0065598A">
        <w:rPr>
          <w:rFonts w:asciiTheme="minorHAnsi" w:hAnsiTheme="minorHAnsi" w:cs="Arial"/>
          <w:b/>
          <w:color w:val="C00000"/>
          <w:sz w:val="32"/>
          <w:lang w:val="sq-AL"/>
        </w:rPr>
        <w:t>20</w:t>
      </w:r>
      <w:r w:rsidR="00A93433" w:rsidRPr="0065598A">
        <w:rPr>
          <w:rFonts w:asciiTheme="minorHAnsi" w:hAnsiTheme="minorHAnsi" w:cs="Arial"/>
          <w:b/>
          <w:color w:val="C00000"/>
          <w:sz w:val="32"/>
          <w:lang w:val="sq-AL"/>
        </w:rPr>
        <w:t>2</w:t>
      </w:r>
      <w:r w:rsidR="00FD3DF0">
        <w:rPr>
          <w:rFonts w:asciiTheme="minorHAnsi" w:hAnsiTheme="minorHAnsi" w:cs="Arial"/>
          <w:b/>
          <w:color w:val="C00000"/>
          <w:sz w:val="32"/>
          <w:lang w:val="sq-AL"/>
        </w:rPr>
        <w:t>1</w:t>
      </w:r>
    </w:p>
    <w:p w:rsidR="002C0E6D" w:rsidRPr="0065598A" w:rsidRDefault="002C0E6D" w:rsidP="00A40986">
      <w:pPr>
        <w:spacing w:line="276" w:lineRule="auto"/>
        <w:jc w:val="both"/>
        <w:rPr>
          <w:rFonts w:asciiTheme="minorHAnsi" w:hAnsiTheme="minorHAnsi" w:cs="Arial"/>
          <w:b/>
          <w:color w:val="C00000"/>
          <w:sz w:val="32"/>
          <w:lang w:val="sq-AL"/>
        </w:rPr>
      </w:pPr>
    </w:p>
    <w:bookmarkStart w:id="1" w:name="_Toc449351139" w:displacedByCustomXml="next"/>
    <w:sdt>
      <w:sdtPr>
        <w:rPr>
          <w:rFonts w:ascii="Times New Roman" w:eastAsia="Times New Roman" w:hAnsi="Times New Roman" w:cs="Times New Roman"/>
          <w:b w:val="0"/>
          <w:bCs w:val="0"/>
          <w:noProof w:val="0"/>
          <w:color w:val="auto"/>
          <w:sz w:val="20"/>
          <w:u w:val="none"/>
          <w:lang w:val="en-US"/>
        </w:rPr>
        <w:id w:val="2053270720"/>
        <w:docPartObj>
          <w:docPartGallery w:val="Table of Contents"/>
          <w:docPartUnique/>
        </w:docPartObj>
      </w:sdtPr>
      <w:sdtEndPr>
        <w:rPr>
          <w:rFonts w:asciiTheme="minorHAnsi" w:hAnsiTheme="minorHAnsi"/>
          <w:sz w:val="22"/>
          <w:szCs w:val="28"/>
        </w:rPr>
      </w:sdtEndPr>
      <w:sdtContent>
        <w:p w:rsidR="00EE2069" w:rsidRPr="00B4223B" w:rsidRDefault="00EF5147" w:rsidP="00051122">
          <w:pPr>
            <w:pStyle w:val="TOCHeading"/>
            <w:spacing w:before="0" w:line="240" w:lineRule="auto"/>
            <w:ind w:right="-360"/>
            <w:jc w:val="center"/>
            <w:rPr>
              <w:rFonts w:asciiTheme="minorHAnsi" w:hAnsiTheme="minorHAnsi"/>
              <w:noProof w:val="0"/>
              <w:sz w:val="24"/>
              <w:szCs w:val="28"/>
              <w:u w:val="none"/>
            </w:rPr>
          </w:pPr>
          <w:r w:rsidRPr="00855B7D">
            <w:rPr>
              <w:rFonts w:asciiTheme="minorHAnsi" w:hAnsiTheme="minorHAnsi"/>
              <w:noProof w:val="0"/>
              <w:sz w:val="24"/>
              <w:szCs w:val="28"/>
            </w:rPr>
            <w:t xml:space="preserve">P </w:t>
          </w:r>
          <w:r w:rsidR="002F0689" w:rsidRPr="00855B7D">
            <w:rPr>
              <w:rFonts w:asciiTheme="minorHAnsi" w:hAnsiTheme="minorHAnsi"/>
              <w:noProof w:val="0"/>
              <w:sz w:val="24"/>
              <w:szCs w:val="28"/>
            </w:rPr>
            <w:t>Ë</w:t>
          </w:r>
          <w:r w:rsidRPr="00855B7D">
            <w:rPr>
              <w:rFonts w:asciiTheme="minorHAnsi" w:hAnsiTheme="minorHAnsi"/>
              <w:noProof w:val="0"/>
              <w:sz w:val="24"/>
              <w:szCs w:val="28"/>
            </w:rPr>
            <w:t xml:space="preserve"> R M B A J T J A</w:t>
          </w:r>
        </w:p>
        <w:p w:rsidR="002C0E6D" w:rsidRPr="002C0E6D" w:rsidRDefault="00EE2069" w:rsidP="002C0E6D">
          <w:pPr>
            <w:pStyle w:val="TOC1"/>
            <w:spacing w:line="276" w:lineRule="auto"/>
            <w:rPr>
              <w:rFonts w:asciiTheme="majorHAnsi" w:eastAsiaTheme="minorEastAsia" w:hAnsiTheme="majorHAnsi" w:cstheme="minorBidi"/>
              <w:b w:val="0"/>
              <w:color w:val="548DD4" w:themeColor="text2" w:themeTint="99"/>
              <w:sz w:val="22"/>
              <w:szCs w:val="24"/>
            </w:rPr>
          </w:pPr>
          <w:r w:rsidRPr="002C0E6D">
            <w:rPr>
              <w:rFonts w:asciiTheme="majorHAnsi" w:hAnsiTheme="majorHAnsi"/>
              <w:color w:val="548DD4" w:themeColor="text2" w:themeTint="99"/>
              <w:sz w:val="22"/>
              <w:szCs w:val="24"/>
              <w:lang w:val="sq-AL"/>
            </w:rPr>
            <w:fldChar w:fldCharType="begin"/>
          </w:r>
          <w:r w:rsidRPr="002C0E6D">
            <w:rPr>
              <w:rFonts w:asciiTheme="majorHAnsi" w:hAnsiTheme="majorHAnsi"/>
              <w:color w:val="548DD4" w:themeColor="text2" w:themeTint="99"/>
              <w:sz w:val="22"/>
              <w:szCs w:val="24"/>
              <w:lang w:val="sq-AL"/>
            </w:rPr>
            <w:instrText xml:space="preserve"> TOC \o "1-3" \h \z \u </w:instrText>
          </w:r>
          <w:r w:rsidRPr="002C0E6D">
            <w:rPr>
              <w:rFonts w:asciiTheme="majorHAnsi" w:hAnsiTheme="majorHAnsi"/>
              <w:color w:val="548DD4" w:themeColor="text2" w:themeTint="99"/>
              <w:sz w:val="22"/>
              <w:szCs w:val="24"/>
              <w:lang w:val="sq-AL"/>
            </w:rPr>
            <w:fldChar w:fldCharType="separate"/>
          </w:r>
          <w:hyperlink w:anchor="_Toc76470011" w:history="1">
            <w:r w:rsidR="002C0E6D" w:rsidRPr="002C0E6D">
              <w:rPr>
                <w:rStyle w:val="Hyperlink"/>
                <w:rFonts w:asciiTheme="majorHAnsi" w:hAnsiTheme="majorHAnsi"/>
                <w:color w:val="548DD4" w:themeColor="text2" w:themeTint="99"/>
                <w:sz w:val="22"/>
                <w:szCs w:val="24"/>
              </w:rPr>
              <w:t>Lista e Tabelave</w:t>
            </w:r>
            <w:r w:rsidR="002C0E6D" w:rsidRPr="002C0E6D">
              <w:rPr>
                <w:rFonts w:asciiTheme="majorHAnsi" w:hAnsiTheme="majorHAnsi"/>
                <w:webHidden/>
                <w:color w:val="548DD4" w:themeColor="text2" w:themeTint="99"/>
                <w:sz w:val="22"/>
                <w:szCs w:val="24"/>
              </w:rPr>
              <w:tab/>
            </w:r>
            <w:r w:rsidR="002C0E6D" w:rsidRPr="002C0E6D">
              <w:rPr>
                <w:rFonts w:asciiTheme="majorHAnsi" w:hAnsiTheme="majorHAnsi"/>
                <w:webHidden/>
                <w:color w:val="548DD4" w:themeColor="text2" w:themeTint="99"/>
                <w:sz w:val="22"/>
                <w:szCs w:val="24"/>
              </w:rPr>
              <w:fldChar w:fldCharType="begin"/>
            </w:r>
            <w:r w:rsidR="002C0E6D" w:rsidRPr="002C0E6D">
              <w:rPr>
                <w:rFonts w:asciiTheme="majorHAnsi" w:hAnsiTheme="majorHAnsi"/>
                <w:webHidden/>
                <w:color w:val="548DD4" w:themeColor="text2" w:themeTint="99"/>
                <w:sz w:val="22"/>
                <w:szCs w:val="24"/>
              </w:rPr>
              <w:instrText xml:space="preserve"> PAGEREF _Toc76470011 \h </w:instrText>
            </w:r>
            <w:r w:rsidR="002C0E6D" w:rsidRPr="002C0E6D">
              <w:rPr>
                <w:rFonts w:asciiTheme="majorHAnsi" w:hAnsiTheme="majorHAnsi"/>
                <w:webHidden/>
                <w:color w:val="548DD4" w:themeColor="text2" w:themeTint="99"/>
                <w:sz w:val="22"/>
                <w:szCs w:val="24"/>
              </w:rPr>
            </w:r>
            <w:r w:rsidR="002C0E6D" w:rsidRPr="002C0E6D">
              <w:rPr>
                <w:rFonts w:asciiTheme="majorHAnsi" w:hAnsiTheme="majorHAnsi"/>
                <w:webHidden/>
                <w:color w:val="548DD4" w:themeColor="text2" w:themeTint="99"/>
                <w:sz w:val="22"/>
                <w:szCs w:val="24"/>
              </w:rPr>
              <w:fldChar w:fldCharType="separate"/>
            </w:r>
            <w:r w:rsidR="00444766">
              <w:rPr>
                <w:rFonts w:asciiTheme="majorHAnsi" w:hAnsiTheme="majorHAnsi"/>
                <w:webHidden/>
                <w:color w:val="548DD4" w:themeColor="text2" w:themeTint="99"/>
                <w:sz w:val="22"/>
                <w:szCs w:val="24"/>
              </w:rPr>
              <w:t>3</w:t>
            </w:r>
            <w:r w:rsidR="002C0E6D" w:rsidRPr="002C0E6D">
              <w:rPr>
                <w:rFonts w:asciiTheme="majorHAnsi" w:hAnsiTheme="majorHAnsi"/>
                <w:webHidden/>
                <w:color w:val="548DD4" w:themeColor="text2" w:themeTint="99"/>
                <w:sz w:val="22"/>
                <w:szCs w:val="24"/>
              </w:rPr>
              <w:fldChar w:fldCharType="end"/>
            </w:r>
          </w:hyperlink>
        </w:p>
        <w:p w:rsidR="002C0E6D" w:rsidRPr="002C0E6D" w:rsidRDefault="00340A19" w:rsidP="002C0E6D">
          <w:pPr>
            <w:pStyle w:val="TOC1"/>
            <w:spacing w:line="276" w:lineRule="auto"/>
            <w:rPr>
              <w:rFonts w:asciiTheme="majorHAnsi" w:eastAsiaTheme="minorEastAsia" w:hAnsiTheme="majorHAnsi" w:cstheme="minorBidi"/>
              <w:b w:val="0"/>
              <w:color w:val="548DD4" w:themeColor="text2" w:themeTint="99"/>
              <w:sz w:val="22"/>
              <w:szCs w:val="24"/>
            </w:rPr>
          </w:pPr>
          <w:hyperlink w:anchor="_Toc76470012" w:history="1">
            <w:r w:rsidR="002C0E6D" w:rsidRPr="002C0E6D">
              <w:rPr>
                <w:rStyle w:val="Hyperlink"/>
                <w:rFonts w:asciiTheme="majorHAnsi" w:hAnsiTheme="majorHAnsi"/>
                <w:color w:val="548DD4" w:themeColor="text2" w:themeTint="99"/>
                <w:sz w:val="22"/>
                <w:szCs w:val="24"/>
              </w:rPr>
              <w:t>Lista e Grafikëve</w:t>
            </w:r>
            <w:r w:rsidR="002C0E6D" w:rsidRPr="002C0E6D">
              <w:rPr>
                <w:rFonts w:asciiTheme="majorHAnsi" w:hAnsiTheme="majorHAnsi"/>
                <w:webHidden/>
                <w:color w:val="548DD4" w:themeColor="text2" w:themeTint="99"/>
                <w:sz w:val="22"/>
                <w:szCs w:val="24"/>
              </w:rPr>
              <w:tab/>
            </w:r>
            <w:r w:rsidR="002C0E6D" w:rsidRPr="002C0E6D">
              <w:rPr>
                <w:rFonts w:asciiTheme="majorHAnsi" w:hAnsiTheme="majorHAnsi"/>
                <w:webHidden/>
                <w:color w:val="548DD4" w:themeColor="text2" w:themeTint="99"/>
                <w:sz w:val="22"/>
                <w:szCs w:val="24"/>
              </w:rPr>
              <w:fldChar w:fldCharType="begin"/>
            </w:r>
            <w:r w:rsidR="002C0E6D" w:rsidRPr="002C0E6D">
              <w:rPr>
                <w:rFonts w:asciiTheme="majorHAnsi" w:hAnsiTheme="majorHAnsi"/>
                <w:webHidden/>
                <w:color w:val="548DD4" w:themeColor="text2" w:themeTint="99"/>
                <w:sz w:val="22"/>
                <w:szCs w:val="24"/>
              </w:rPr>
              <w:instrText xml:space="preserve"> PAGEREF _Toc76470012 \h </w:instrText>
            </w:r>
            <w:r w:rsidR="002C0E6D" w:rsidRPr="002C0E6D">
              <w:rPr>
                <w:rFonts w:asciiTheme="majorHAnsi" w:hAnsiTheme="majorHAnsi"/>
                <w:webHidden/>
                <w:color w:val="548DD4" w:themeColor="text2" w:themeTint="99"/>
                <w:sz w:val="22"/>
                <w:szCs w:val="24"/>
              </w:rPr>
            </w:r>
            <w:r w:rsidR="002C0E6D" w:rsidRPr="002C0E6D">
              <w:rPr>
                <w:rFonts w:asciiTheme="majorHAnsi" w:hAnsiTheme="majorHAnsi"/>
                <w:webHidden/>
                <w:color w:val="548DD4" w:themeColor="text2" w:themeTint="99"/>
                <w:sz w:val="22"/>
                <w:szCs w:val="24"/>
              </w:rPr>
              <w:fldChar w:fldCharType="separate"/>
            </w:r>
            <w:r w:rsidR="00444766">
              <w:rPr>
                <w:rFonts w:asciiTheme="majorHAnsi" w:hAnsiTheme="majorHAnsi"/>
                <w:webHidden/>
                <w:color w:val="548DD4" w:themeColor="text2" w:themeTint="99"/>
                <w:sz w:val="22"/>
                <w:szCs w:val="24"/>
              </w:rPr>
              <w:t>3</w:t>
            </w:r>
            <w:r w:rsidR="002C0E6D" w:rsidRPr="002C0E6D">
              <w:rPr>
                <w:rFonts w:asciiTheme="majorHAnsi" w:hAnsiTheme="majorHAnsi"/>
                <w:webHidden/>
                <w:color w:val="548DD4" w:themeColor="text2" w:themeTint="99"/>
                <w:sz w:val="22"/>
                <w:szCs w:val="24"/>
              </w:rPr>
              <w:fldChar w:fldCharType="end"/>
            </w:r>
          </w:hyperlink>
        </w:p>
        <w:p w:rsidR="002C0E6D" w:rsidRPr="002C0E6D" w:rsidRDefault="00340A19" w:rsidP="002C0E6D">
          <w:pPr>
            <w:pStyle w:val="TOC1"/>
            <w:spacing w:line="276" w:lineRule="auto"/>
            <w:rPr>
              <w:rFonts w:asciiTheme="majorHAnsi" w:eastAsiaTheme="minorEastAsia" w:hAnsiTheme="majorHAnsi" w:cstheme="minorBidi"/>
              <w:b w:val="0"/>
              <w:color w:val="548DD4" w:themeColor="text2" w:themeTint="99"/>
              <w:sz w:val="22"/>
              <w:szCs w:val="24"/>
            </w:rPr>
          </w:pPr>
          <w:hyperlink w:anchor="_Toc76470013" w:history="1">
            <w:r w:rsidR="002C0E6D" w:rsidRPr="002C0E6D">
              <w:rPr>
                <w:rStyle w:val="Hyperlink"/>
                <w:rFonts w:asciiTheme="majorHAnsi" w:hAnsiTheme="majorHAnsi"/>
                <w:color w:val="548DD4" w:themeColor="text2" w:themeTint="99"/>
                <w:sz w:val="22"/>
                <w:szCs w:val="24"/>
              </w:rPr>
              <w:t>I.</w:t>
            </w:r>
            <w:r w:rsidR="002C0E6D" w:rsidRPr="002C0E6D">
              <w:rPr>
                <w:rFonts w:asciiTheme="majorHAnsi" w:eastAsiaTheme="minorEastAsia" w:hAnsiTheme="majorHAnsi" w:cstheme="minorBidi"/>
                <w:b w:val="0"/>
                <w:color w:val="548DD4" w:themeColor="text2" w:themeTint="99"/>
                <w:sz w:val="22"/>
                <w:szCs w:val="24"/>
              </w:rPr>
              <w:tab/>
            </w:r>
            <w:r w:rsidR="002C0E6D" w:rsidRPr="002C0E6D">
              <w:rPr>
                <w:rStyle w:val="Hyperlink"/>
                <w:rFonts w:asciiTheme="majorHAnsi" w:hAnsiTheme="majorHAnsi"/>
                <w:color w:val="548DD4" w:themeColor="text2" w:themeTint="99"/>
                <w:sz w:val="22"/>
                <w:szCs w:val="24"/>
              </w:rPr>
              <w:t>ZHVILLIMET NË EKONOMINË SHQIPTARE</w:t>
            </w:r>
            <w:r w:rsidR="002C0E6D" w:rsidRPr="002C0E6D">
              <w:rPr>
                <w:rFonts w:asciiTheme="majorHAnsi" w:hAnsiTheme="majorHAnsi"/>
                <w:webHidden/>
                <w:color w:val="548DD4" w:themeColor="text2" w:themeTint="99"/>
                <w:sz w:val="22"/>
                <w:szCs w:val="24"/>
              </w:rPr>
              <w:tab/>
            </w:r>
            <w:r w:rsidR="002C0E6D" w:rsidRPr="002C0E6D">
              <w:rPr>
                <w:rFonts w:asciiTheme="majorHAnsi" w:hAnsiTheme="majorHAnsi"/>
                <w:webHidden/>
                <w:color w:val="548DD4" w:themeColor="text2" w:themeTint="99"/>
                <w:sz w:val="22"/>
                <w:szCs w:val="24"/>
              </w:rPr>
              <w:fldChar w:fldCharType="begin"/>
            </w:r>
            <w:r w:rsidR="002C0E6D" w:rsidRPr="002C0E6D">
              <w:rPr>
                <w:rFonts w:asciiTheme="majorHAnsi" w:hAnsiTheme="majorHAnsi"/>
                <w:webHidden/>
                <w:color w:val="548DD4" w:themeColor="text2" w:themeTint="99"/>
                <w:sz w:val="22"/>
                <w:szCs w:val="24"/>
              </w:rPr>
              <w:instrText xml:space="preserve"> PAGEREF _Toc76470013 \h </w:instrText>
            </w:r>
            <w:r w:rsidR="002C0E6D" w:rsidRPr="002C0E6D">
              <w:rPr>
                <w:rFonts w:asciiTheme="majorHAnsi" w:hAnsiTheme="majorHAnsi"/>
                <w:webHidden/>
                <w:color w:val="548DD4" w:themeColor="text2" w:themeTint="99"/>
                <w:sz w:val="22"/>
                <w:szCs w:val="24"/>
              </w:rPr>
            </w:r>
            <w:r w:rsidR="002C0E6D" w:rsidRPr="002C0E6D">
              <w:rPr>
                <w:rFonts w:asciiTheme="majorHAnsi" w:hAnsiTheme="majorHAnsi"/>
                <w:webHidden/>
                <w:color w:val="548DD4" w:themeColor="text2" w:themeTint="99"/>
                <w:sz w:val="22"/>
                <w:szCs w:val="24"/>
              </w:rPr>
              <w:fldChar w:fldCharType="separate"/>
            </w:r>
            <w:r w:rsidR="00444766">
              <w:rPr>
                <w:rFonts w:asciiTheme="majorHAnsi" w:hAnsiTheme="majorHAnsi"/>
                <w:webHidden/>
                <w:color w:val="548DD4" w:themeColor="text2" w:themeTint="99"/>
                <w:sz w:val="22"/>
                <w:szCs w:val="24"/>
              </w:rPr>
              <w:t>4</w:t>
            </w:r>
            <w:r w:rsidR="002C0E6D" w:rsidRPr="002C0E6D">
              <w:rPr>
                <w:rFonts w:asciiTheme="majorHAnsi" w:hAnsiTheme="majorHAnsi"/>
                <w:webHidden/>
                <w:color w:val="548DD4" w:themeColor="text2" w:themeTint="99"/>
                <w:sz w:val="22"/>
                <w:szCs w:val="24"/>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14" w:history="1">
            <w:r w:rsidR="002C0E6D" w:rsidRPr="002C0E6D">
              <w:rPr>
                <w:rStyle w:val="Hyperlink"/>
                <w:rFonts w:asciiTheme="majorHAnsi" w:hAnsiTheme="majorHAnsi"/>
                <w:noProof/>
                <w:color w:val="548DD4" w:themeColor="text2" w:themeTint="99"/>
                <w:sz w:val="22"/>
              </w:rPr>
              <w:t>I.1</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Ecuria e treguesve makroekonomikë për periudhën janar-maj 2021</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_Toc76470014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4</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15" w:history="1">
            <w:r w:rsidR="002C0E6D" w:rsidRPr="002C0E6D">
              <w:rPr>
                <w:rStyle w:val="Hyperlink"/>
                <w:rFonts w:asciiTheme="majorHAnsi" w:hAnsiTheme="majorHAnsi"/>
                <w:noProof/>
                <w:color w:val="548DD4" w:themeColor="text2" w:themeTint="99"/>
                <w:sz w:val="22"/>
              </w:rPr>
              <w:t>I.2</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Pritshmëritë e treguesve makroekonomikë deri në fund të vitit 2021</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_Toc76470015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6</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1"/>
            <w:spacing w:line="276" w:lineRule="auto"/>
            <w:rPr>
              <w:rFonts w:asciiTheme="majorHAnsi" w:eastAsiaTheme="minorEastAsia" w:hAnsiTheme="majorHAnsi" w:cstheme="minorBidi"/>
              <w:b w:val="0"/>
              <w:color w:val="548DD4" w:themeColor="text2" w:themeTint="99"/>
              <w:sz w:val="22"/>
              <w:szCs w:val="24"/>
            </w:rPr>
          </w:pPr>
          <w:hyperlink w:anchor="_Toc76470016" w:history="1">
            <w:r w:rsidR="002C0E6D" w:rsidRPr="002C0E6D">
              <w:rPr>
                <w:rStyle w:val="Hyperlink"/>
                <w:rFonts w:asciiTheme="majorHAnsi" w:hAnsiTheme="majorHAnsi"/>
                <w:color w:val="548DD4" w:themeColor="text2" w:themeTint="99"/>
                <w:sz w:val="22"/>
                <w:szCs w:val="24"/>
              </w:rPr>
              <w:t>II.</w:t>
            </w:r>
            <w:r w:rsidR="002C0E6D" w:rsidRPr="002C0E6D">
              <w:rPr>
                <w:rFonts w:asciiTheme="majorHAnsi" w:eastAsiaTheme="minorEastAsia" w:hAnsiTheme="majorHAnsi" w:cstheme="minorBidi"/>
                <w:b w:val="0"/>
                <w:color w:val="548DD4" w:themeColor="text2" w:themeTint="99"/>
                <w:sz w:val="22"/>
                <w:szCs w:val="24"/>
              </w:rPr>
              <w:tab/>
            </w:r>
            <w:r w:rsidR="002C0E6D" w:rsidRPr="002C0E6D">
              <w:rPr>
                <w:rStyle w:val="Hyperlink"/>
                <w:rFonts w:asciiTheme="majorHAnsi" w:hAnsiTheme="majorHAnsi"/>
                <w:color w:val="548DD4" w:themeColor="text2" w:themeTint="99"/>
                <w:sz w:val="22"/>
                <w:szCs w:val="24"/>
              </w:rPr>
              <w:t>POLITIKA FISKALE</w:t>
            </w:r>
            <w:r w:rsidR="002C0E6D" w:rsidRPr="002C0E6D">
              <w:rPr>
                <w:rFonts w:asciiTheme="majorHAnsi" w:hAnsiTheme="majorHAnsi"/>
                <w:webHidden/>
                <w:color w:val="548DD4" w:themeColor="text2" w:themeTint="99"/>
                <w:sz w:val="22"/>
                <w:szCs w:val="24"/>
              </w:rPr>
              <w:tab/>
            </w:r>
            <w:r w:rsidR="002C0E6D" w:rsidRPr="002C0E6D">
              <w:rPr>
                <w:rFonts w:asciiTheme="majorHAnsi" w:hAnsiTheme="majorHAnsi"/>
                <w:webHidden/>
                <w:color w:val="548DD4" w:themeColor="text2" w:themeTint="99"/>
                <w:sz w:val="22"/>
                <w:szCs w:val="24"/>
              </w:rPr>
              <w:fldChar w:fldCharType="begin"/>
            </w:r>
            <w:r w:rsidR="002C0E6D" w:rsidRPr="002C0E6D">
              <w:rPr>
                <w:rFonts w:asciiTheme="majorHAnsi" w:hAnsiTheme="majorHAnsi"/>
                <w:webHidden/>
                <w:color w:val="548DD4" w:themeColor="text2" w:themeTint="99"/>
                <w:sz w:val="22"/>
                <w:szCs w:val="24"/>
              </w:rPr>
              <w:instrText xml:space="preserve"> PAGEREF _Toc76470016 \h </w:instrText>
            </w:r>
            <w:r w:rsidR="002C0E6D" w:rsidRPr="002C0E6D">
              <w:rPr>
                <w:rFonts w:asciiTheme="majorHAnsi" w:hAnsiTheme="majorHAnsi"/>
                <w:webHidden/>
                <w:color w:val="548DD4" w:themeColor="text2" w:themeTint="99"/>
                <w:sz w:val="22"/>
                <w:szCs w:val="24"/>
              </w:rPr>
            </w:r>
            <w:r w:rsidR="002C0E6D" w:rsidRPr="002C0E6D">
              <w:rPr>
                <w:rFonts w:asciiTheme="majorHAnsi" w:hAnsiTheme="majorHAnsi"/>
                <w:webHidden/>
                <w:color w:val="548DD4" w:themeColor="text2" w:themeTint="99"/>
                <w:sz w:val="22"/>
                <w:szCs w:val="24"/>
              </w:rPr>
              <w:fldChar w:fldCharType="separate"/>
            </w:r>
            <w:r w:rsidR="00444766">
              <w:rPr>
                <w:rFonts w:asciiTheme="majorHAnsi" w:hAnsiTheme="majorHAnsi"/>
                <w:webHidden/>
                <w:color w:val="548DD4" w:themeColor="text2" w:themeTint="99"/>
                <w:sz w:val="22"/>
                <w:szCs w:val="24"/>
              </w:rPr>
              <w:t>6</w:t>
            </w:r>
            <w:r w:rsidR="002C0E6D" w:rsidRPr="002C0E6D">
              <w:rPr>
                <w:rFonts w:asciiTheme="majorHAnsi" w:hAnsiTheme="majorHAnsi"/>
                <w:webHidden/>
                <w:color w:val="548DD4" w:themeColor="text2" w:themeTint="99"/>
                <w:sz w:val="22"/>
                <w:szCs w:val="24"/>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17" w:history="1">
            <w:r w:rsidR="002C0E6D" w:rsidRPr="002C0E6D">
              <w:rPr>
                <w:rStyle w:val="Hyperlink"/>
                <w:rFonts w:asciiTheme="majorHAnsi" w:hAnsiTheme="majorHAnsi"/>
                <w:noProof/>
                <w:color w:val="548DD4" w:themeColor="text2" w:themeTint="99"/>
                <w:sz w:val="22"/>
              </w:rPr>
              <w:t>II.1</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Performanca fiskale për periudhën janar-maj 2021</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_Toc76470017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6</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18" w:history="1">
            <w:r w:rsidR="002C0E6D" w:rsidRPr="002C0E6D">
              <w:rPr>
                <w:rStyle w:val="Hyperlink"/>
                <w:rFonts w:asciiTheme="majorHAnsi" w:hAnsiTheme="majorHAnsi"/>
                <w:noProof/>
                <w:color w:val="548DD4" w:themeColor="text2" w:themeTint="99"/>
                <w:sz w:val="22"/>
              </w:rPr>
              <w:t>II.2</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Pritshmëritë fiskale deri në fund të vitit 2021</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_Toc76470018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13</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1"/>
            <w:spacing w:line="276" w:lineRule="auto"/>
            <w:rPr>
              <w:rFonts w:asciiTheme="majorHAnsi" w:eastAsiaTheme="minorEastAsia" w:hAnsiTheme="majorHAnsi" w:cstheme="minorBidi"/>
              <w:b w:val="0"/>
              <w:color w:val="548DD4" w:themeColor="text2" w:themeTint="99"/>
              <w:sz w:val="22"/>
              <w:szCs w:val="24"/>
            </w:rPr>
          </w:pPr>
          <w:hyperlink w:anchor="_Toc76470019" w:history="1">
            <w:r w:rsidR="002C0E6D" w:rsidRPr="002C0E6D">
              <w:rPr>
                <w:rStyle w:val="Hyperlink"/>
                <w:rFonts w:asciiTheme="majorHAnsi" w:hAnsiTheme="majorHAnsi"/>
                <w:color w:val="548DD4" w:themeColor="text2" w:themeTint="99"/>
                <w:sz w:val="22"/>
                <w:szCs w:val="24"/>
              </w:rPr>
              <w:t>III.</w:t>
            </w:r>
            <w:r w:rsidR="002C0E6D" w:rsidRPr="002C0E6D">
              <w:rPr>
                <w:rFonts w:asciiTheme="majorHAnsi" w:eastAsiaTheme="minorEastAsia" w:hAnsiTheme="majorHAnsi" w:cstheme="minorBidi"/>
                <w:b w:val="0"/>
                <w:color w:val="548DD4" w:themeColor="text2" w:themeTint="99"/>
                <w:sz w:val="22"/>
                <w:szCs w:val="24"/>
              </w:rPr>
              <w:tab/>
            </w:r>
            <w:r w:rsidR="002C0E6D" w:rsidRPr="002C0E6D">
              <w:rPr>
                <w:rStyle w:val="Hyperlink"/>
                <w:rFonts w:asciiTheme="majorHAnsi" w:hAnsiTheme="majorHAnsi"/>
                <w:color w:val="548DD4" w:themeColor="text2" w:themeTint="99"/>
                <w:sz w:val="22"/>
                <w:szCs w:val="24"/>
              </w:rPr>
              <w:t>BUXHETI I VITIT 2021</w:t>
            </w:r>
            <w:r w:rsidR="002C0E6D" w:rsidRPr="002C0E6D">
              <w:rPr>
                <w:rFonts w:asciiTheme="majorHAnsi" w:hAnsiTheme="majorHAnsi"/>
                <w:webHidden/>
                <w:color w:val="548DD4" w:themeColor="text2" w:themeTint="99"/>
                <w:sz w:val="22"/>
                <w:szCs w:val="24"/>
              </w:rPr>
              <w:tab/>
            </w:r>
            <w:r w:rsidR="002C0E6D" w:rsidRPr="002C0E6D">
              <w:rPr>
                <w:rFonts w:asciiTheme="majorHAnsi" w:hAnsiTheme="majorHAnsi"/>
                <w:webHidden/>
                <w:color w:val="548DD4" w:themeColor="text2" w:themeTint="99"/>
                <w:sz w:val="22"/>
                <w:szCs w:val="24"/>
              </w:rPr>
              <w:fldChar w:fldCharType="begin"/>
            </w:r>
            <w:r w:rsidR="002C0E6D" w:rsidRPr="002C0E6D">
              <w:rPr>
                <w:rFonts w:asciiTheme="majorHAnsi" w:hAnsiTheme="majorHAnsi"/>
                <w:webHidden/>
                <w:color w:val="548DD4" w:themeColor="text2" w:themeTint="99"/>
                <w:sz w:val="22"/>
                <w:szCs w:val="24"/>
              </w:rPr>
              <w:instrText xml:space="preserve"> PAGEREF _Toc76470019 \h </w:instrText>
            </w:r>
            <w:r w:rsidR="002C0E6D" w:rsidRPr="002C0E6D">
              <w:rPr>
                <w:rFonts w:asciiTheme="majorHAnsi" w:hAnsiTheme="majorHAnsi"/>
                <w:webHidden/>
                <w:color w:val="548DD4" w:themeColor="text2" w:themeTint="99"/>
                <w:sz w:val="22"/>
                <w:szCs w:val="24"/>
              </w:rPr>
            </w:r>
            <w:r w:rsidR="002C0E6D" w:rsidRPr="002C0E6D">
              <w:rPr>
                <w:rFonts w:asciiTheme="majorHAnsi" w:hAnsiTheme="majorHAnsi"/>
                <w:webHidden/>
                <w:color w:val="548DD4" w:themeColor="text2" w:themeTint="99"/>
                <w:sz w:val="22"/>
                <w:szCs w:val="24"/>
              </w:rPr>
              <w:fldChar w:fldCharType="separate"/>
            </w:r>
            <w:r w:rsidR="00444766">
              <w:rPr>
                <w:rFonts w:asciiTheme="majorHAnsi" w:hAnsiTheme="majorHAnsi"/>
                <w:webHidden/>
                <w:color w:val="548DD4" w:themeColor="text2" w:themeTint="99"/>
                <w:sz w:val="22"/>
                <w:szCs w:val="24"/>
              </w:rPr>
              <w:t>14</w:t>
            </w:r>
            <w:r w:rsidR="002C0E6D" w:rsidRPr="002C0E6D">
              <w:rPr>
                <w:rFonts w:asciiTheme="majorHAnsi" w:hAnsiTheme="majorHAnsi"/>
                <w:webHidden/>
                <w:color w:val="548DD4" w:themeColor="text2" w:themeTint="99"/>
                <w:sz w:val="22"/>
                <w:szCs w:val="24"/>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20" w:history="1">
            <w:r w:rsidR="002C0E6D" w:rsidRPr="002C0E6D">
              <w:rPr>
                <w:rStyle w:val="Hyperlink"/>
                <w:rFonts w:asciiTheme="majorHAnsi" w:hAnsiTheme="majorHAnsi"/>
                <w:noProof/>
                <w:color w:val="548DD4" w:themeColor="text2" w:themeTint="99"/>
                <w:sz w:val="22"/>
              </w:rPr>
              <w:t>III.1</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Shpenzimet e Përgjithshme Buxhetore gjatë periudhës janar-maj 2021</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_Toc76470020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14</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21" w:history="1">
            <w:r w:rsidR="002C0E6D" w:rsidRPr="002C0E6D">
              <w:rPr>
                <w:rStyle w:val="Hyperlink"/>
                <w:rFonts w:asciiTheme="majorHAnsi" w:hAnsiTheme="majorHAnsi"/>
                <w:noProof/>
                <w:color w:val="548DD4" w:themeColor="text2" w:themeTint="99"/>
                <w:sz w:val="22"/>
              </w:rPr>
              <w:t>III.2</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Financat Vendore gjatë janar-maj 2021</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_Toc76470021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22</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22" w:history="1">
            <w:r w:rsidR="002C0E6D" w:rsidRPr="002C0E6D">
              <w:rPr>
                <w:rStyle w:val="Hyperlink"/>
                <w:rFonts w:asciiTheme="majorHAnsi" w:hAnsiTheme="majorHAnsi"/>
                <w:noProof/>
                <w:color w:val="548DD4" w:themeColor="text2" w:themeTint="99"/>
                <w:sz w:val="22"/>
              </w:rPr>
              <w:t>III.3</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Fondi Rezervë, Fondi i Kontigjencës, Fondi i Rindërtimit</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_Toc76470022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29</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23" w:history="1">
            <w:r w:rsidR="002C0E6D" w:rsidRPr="002C0E6D">
              <w:rPr>
                <w:rStyle w:val="Hyperlink"/>
                <w:rFonts w:asciiTheme="majorHAnsi" w:hAnsiTheme="majorHAnsi"/>
                <w:noProof/>
                <w:color w:val="548DD4" w:themeColor="text2" w:themeTint="99"/>
                <w:sz w:val="22"/>
              </w:rPr>
              <w:t>III.4</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Pritshmëria e Shpenzimeve Buxhetore deri në fund të vitit 2021</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_Toc76470023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31</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1"/>
            <w:spacing w:line="276" w:lineRule="auto"/>
            <w:rPr>
              <w:rFonts w:asciiTheme="majorHAnsi" w:eastAsiaTheme="minorEastAsia" w:hAnsiTheme="majorHAnsi" w:cstheme="minorBidi"/>
              <w:b w:val="0"/>
              <w:color w:val="548DD4" w:themeColor="text2" w:themeTint="99"/>
              <w:sz w:val="22"/>
              <w:szCs w:val="24"/>
            </w:rPr>
          </w:pPr>
          <w:hyperlink w:anchor="_Toc76470024" w:history="1">
            <w:r w:rsidR="002C0E6D" w:rsidRPr="002C0E6D">
              <w:rPr>
                <w:rStyle w:val="Hyperlink"/>
                <w:rFonts w:asciiTheme="majorHAnsi" w:hAnsiTheme="majorHAnsi"/>
                <w:color w:val="548DD4" w:themeColor="text2" w:themeTint="99"/>
                <w:sz w:val="22"/>
                <w:szCs w:val="24"/>
              </w:rPr>
              <w:t>IV.</w:t>
            </w:r>
            <w:r w:rsidR="002C0E6D" w:rsidRPr="002C0E6D">
              <w:rPr>
                <w:rFonts w:asciiTheme="majorHAnsi" w:eastAsiaTheme="minorEastAsia" w:hAnsiTheme="majorHAnsi" w:cstheme="minorBidi"/>
                <w:b w:val="0"/>
                <w:color w:val="548DD4" w:themeColor="text2" w:themeTint="99"/>
                <w:sz w:val="22"/>
                <w:szCs w:val="24"/>
              </w:rPr>
              <w:tab/>
            </w:r>
            <w:r w:rsidR="002C0E6D" w:rsidRPr="002C0E6D">
              <w:rPr>
                <w:rStyle w:val="Hyperlink"/>
                <w:rFonts w:asciiTheme="majorHAnsi" w:hAnsiTheme="majorHAnsi"/>
                <w:color w:val="548DD4" w:themeColor="text2" w:themeTint="99"/>
                <w:sz w:val="22"/>
                <w:szCs w:val="24"/>
              </w:rPr>
              <w:t>BORXHI PUBLIK</w:t>
            </w:r>
            <w:r w:rsidR="002C0E6D" w:rsidRPr="002C0E6D">
              <w:rPr>
                <w:rFonts w:asciiTheme="majorHAnsi" w:hAnsiTheme="majorHAnsi"/>
                <w:webHidden/>
                <w:color w:val="548DD4" w:themeColor="text2" w:themeTint="99"/>
                <w:sz w:val="22"/>
                <w:szCs w:val="24"/>
              </w:rPr>
              <w:tab/>
            </w:r>
            <w:r w:rsidR="002C0E6D" w:rsidRPr="002C0E6D">
              <w:rPr>
                <w:rFonts w:asciiTheme="majorHAnsi" w:hAnsiTheme="majorHAnsi"/>
                <w:webHidden/>
                <w:color w:val="548DD4" w:themeColor="text2" w:themeTint="99"/>
                <w:sz w:val="22"/>
                <w:szCs w:val="24"/>
              </w:rPr>
              <w:fldChar w:fldCharType="begin"/>
            </w:r>
            <w:r w:rsidR="002C0E6D" w:rsidRPr="002C0E6D">
              <w:rPr>
                <w:rFonts w:asciiTheme="majorHAnsi" w:hAnsiTheme="majorHAnsi"/>
                <w:webHidden/>
                <w:color w:val="548DD4" w:themeColor="text2" w:themeTint="99"/>
                <w:sz w:val="22"/>
                <w:szCs w:val="24"/>
              </w:rPr>
              <w:instrText xml:space="preserve"> PAGEREF _Toc76470024 \h </w:instrText>
            </w:r>
            <w:r w:rsidR="002C0E6D" w:rsidRPr="002C0E6D">
              <w:rPr>
                <w:rFonts w:asciiTheme="majorHAnsi" w:hAnsiTheme="majorHAnsi"/>
                <w:webHidden/>
                <w:color w:val="548DD4" w:themeColor="text2" w:themeTint="99"/>
                <w:sz w:val="22"/>
                <w:szCs w:val="24"/>
              </w:rPr>
            </w:r>
            <w:r w:rsidR="002C0E6D" w:rsidRPr="002C0E6D">
              <w:rPr>
                <w:rFonts w:asciiTheme="majorHAnsi" w:hAnsiTheme="majorHAnsi"/>
                <w:webHidden/>
                <w:color w:val="548DD4" w:themeColor="text2" w:themeTint="99"/>
                <w:sz w:val="22"/>
                <w:szCs w:val="24"/>
              </w:rPr>
              <w:fldChar w:fldCharType="separate"/>
            </w:r>
            <w:r w:rsidR="00444766">
              <w:rPr>
                <w:rFonts w:asciiTheme="majorHAnsi" w:hAnsiTheme="majorHAnsi"/>
                <w:webHidden/>
                <w:color w:val="548DD4" w:themeColor="text2" w:themeTint="99"/>
                <w:sz w:val="22"/>
                <w:szCs w:val="24"/>
              </w:rPr>
              <w:t>36</w:t>
            </w:r>
            <w:r w:rsidR="002C0E6D" w:rsidRPr="002C0E6D">
              <w:rPr>
                <w:rFonts w:asciiTheme="majorHAnsi" w:hAnsiTheme="majorHAnsi"/>
                <w:webHidden/>
                <w:color w:val="548DD4" w:themeColor="text2" w:themeTint="99"/>
                <w:sz w:val="22"/>
                <w:szCs w:val="24"/>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25" w:history="1">
            <w:r w:rsidR="002C0E6D" w:rsidRPr="002C0E6D">
              <w:rPr>
                <w:rStyle w:val="Hyperlink"/>
                <w:rFonts w:asciiTheme="majorHAnsi" w:hAnsiTheme="majorHAnsi"/>
                <w:noProof/>
                <w:color w:val="548DD4" w:themeColor="text2" w:themeTint="99"/>
                <w:sz w:val="22"/>
              </w:rPr>
              <w:t>IV.1</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Stoku i Borxhit Publik</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_Toc76470025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37</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26" w:history="1">
            <w:r w:rsidR="002C0E6D" w:rsidRPr="002C0E6D">
              <w:rPr>
                <w:rStyle w:val="Hyperlink"/>
                <w:rFonts w:asciiTheme="majorHAnsi" w:hAnsiTheme="majorHAnsi"/>
                <w:noProof/>
                <w:color w:val="548DD4" w:themeColor="text2" w:themeTint="99"/>
                <w:sz w:val="22"/>
              </w:rPr>
              <w:t>IV.2</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Menaxhimi i Borxhit</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_Toc76470026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39</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27" w:history="1">
            <w:r w:rsidR="002C0E6D" w:rsidRPr="002C0E6D">
              <w:rPr>
                <w:rStyle w:val="Hyperlink"/>
                <w:rFonts w:asciiTheme="majorHAnsi" w:hAnsiTheme="majorHAnsi"/>
                <w:noProof/>
                <w:color w:val="548DD4" w:themeColor="text2" w:themeTint="99"/>
                <w:sz w:val="22"/>
              </w:rPr>
              <w:t>IV.3</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Pritshmëritë e Borxhit për vitin 2021</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_Toc76470027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43</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1"/>
            <w:spacing w:line="276" w:lineRule="auto"/>
            <w:rPr>
              <w:rFonts w:asciiTheme="majorHAnsi" w:eastAsiaTheme="minorEastAsia" w:hAnsiTheme="majorHAnsi" w:cstheme="minorBidi"/>
              <w:b w:val="0"/>
              <w:color w:val="548DD4" w:themeColor="text2" w:themeTint="99"/>
              <w:sz w:val="22"/>
              <w:szCs w:val="24"/>
            </w:rPr>
          </w:pPr>
          <w:hyperlink w:anchor="_Toc76470028" w:history="1">
            <w:r w:rsidR="002C0E6D" w:rsidRPr="002C0E6D">
              <w:rPr>
                <w:rStyle w:val="Hyperlink"/>
                <w:rFonts w:asciiTheme="majorHAnsi" w:hAnsiTheme="majorHAnsi"/>
                <w:color w:val="548DD4" w:themeColor="text2" w:themeTint="99"/>
                <w:sz w:val="22"/>
                <w:szCs w:val="24"/>
              </w:rPr>
              <w:t>V.</w:t>
            </w:r>
            <w:r w:rsidR="002C0E6D" w:rsidRPr="002C0E6D">
              <w:rPr>
                <w:rFonts w:asciiTheme="majorHAnsi" w:eastAsiaTheme="minorEastAsia" w:hAnsiTheme="majorHAnsi" w:cstheme="minorBidi"/>
                <w:b w:val="0"/>
                <w:color w:val="548DD4" w:themeColor="text2" w:themeTint="99"/>
                <w:sz w:val="22"/>
                <w:szCs w:val="24"/>
              </w:rPr>
              <w:tab/>
            </w:r>
            <w:r w:rsidR="002C0E6D" w:rsidRPr="002C0E6D">
              <w:rPr>
                <w:rStyle w:val="Hyperlink"/>
                <w:rFonts w:asciiTheme="majorHAnsi" w:hAnsiTheme="majorHAnsi"/>
                <w:color w:val="548DD4" w:themeColor="text2" w:themeTint="99"/>
                <w:sz w:val="22"/>
                <w:szCs w:val="24"/>
              </w:rPr>
              <w:t>RREZIQET FISKALE DHE DETYRIMET KONTIGJENTE</w:t>
            </w:r>
            <w:r w:rsidR="002C0E6D" w:rsidRPr="002C0E6D">
              <w:rPr>
                <w:rFonts w:asciiTheme="majorHAnsi" w:hAnsiTheme="majorHAnsi"/>
                <w:webHidden/>
                <w:color w:val="548DD4" w:themeColor="text2" w:themeTint="99"/>
                <w:sz w:val="22"/>
                <w:szCs w:val="24"/>
              </w:rPr>
              <w:tab/>
            </w:r>
            <w:r w:rsidR="002C0E6D" w:rsidRPr="002C0E6D">
              <w:rPr>
                <w:rFonts w:asciiTheme="majorHAnsi" w:hAnsiTheme="majorHAnsi"/>
                <w:webHidden/>
                <w:color w:val="548DD4" w:themeColor="text2" w:themeTint="99"/>
                <w:sz w:val="22"/>
                <w:szCs w:val="24"/>
              </w:rPr>
              <w:fldChar w:fldCharType="begin"/>
            </w:r>
            <w:r w:rsidR="002C0E6D" w:rsidRPr="002C0E6D">
              <w:rPr>
                <w:rFonts w:asciiTheme="majorHAnsi" w:hAnsiTheme="majorHAnsi"/>
                <w:webHidden/>
                <w:color w:val="548DD4" w:themeColor="text2" w:themeTint="99"/>
                <w:sz w:val="22"/>
                <w:szCs w:val="24"/>
              </w:rPr>
              <w:instrText xml:space="preserve"> PAGEREF _Toc76470028 \h </w:instrText>
            </w:r>
            <w:r w:rsidR="002C0E6D" w:rsidRPr="002C0E6D">
              <w:rPr>
                <w:rFonts w:asciiTheme="majorHAnsi" w:hAnsiTheme="majorHAnsi"/>
                <w:webHidden/>
                <w:color w:val="548DD4" w:themeColor="text2" w:themeTint="99"/>
                <w:sz w:val="22"/>
                <w:szCs w:val="24"/>
              </w:rPr>
            </w:r>
            <w:r w:rsidR="002C0E6D" w:rsidRPr="002C0E6D">
              <w:rPr>
                <w:rFonts w:asciiTheme="majorHAnsi" w:hAnsiTheme="majorHAnsi"/>
                <w:webHidden/>
                <w:color w:val="548DD4" w:themeColor="text2" w:themeTint="99"/>
                <w:sz w:val="22"/>
                <w:szCs w:val="24"/>
              </w:rPr>
              <w:fldChar w:fldCharType="separate"/>
            </w:r>
            <w:r w:rsidR="00444766">
              <w:rPr>
                <w:rFonts w:asciiTheme="majorHAnsi" w:hAnsiTheme="majorHAnsi"/>
                <w:webHidden/>
                <w:color w:val="548DD4" w:themeColor="text2" w:themeTint="99"/>
                <w:sz w:val="22"/>
                <w:szCs w:val="24"/>
              </w:rPr>
              <w:t>43</w:t>
            </w:r>
            <w:r w:rsidR="002C0E6D" w:rsidRPr="002C0E6D">
              <w:rPr>
                <w:rFonts w:asciiTheme="majorHAnsi" w:hAnsiTheme="majorHAnsi"/>
                <w:webHidden/>
                <w:color w:val="548DD4" w:themeColor="text2" w:themeTint="99"/>
                <w:sz w:val="22"/>
                <w:szCs w:val="24"/>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29" w:history="1">
            <w:r w:rsidR="002C0E6D" w:rsidRPr="002C0E6D">
              <w:rPr>
                <w:rStyle w:val="Hyperlink"/>
                <w:rFonts w:asciiTheme="majorHAnsi" w:hAnsiTheme="majorHAnsi"/>
                <w:noProof/>
                <w:color w:val="548DD4" w:themeColor="text2" w:themeTint="99"/>
                <w:sz w:val="22"/>
              </w:rPr>
              <w:t>V.1</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Ndërmarrjet shtetërore – Sektori Energjetik</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_Toc76470029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45</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30" w:history="1">
            <w:r w:rsidR="002C0E6D" w:rsidRPr="002C0E6D">
              <w:rPr>
                <w:rStyle w:val="Hyperlink"/>
                <w:rFonts w:asciiTheme="majorHAnsi" w:hAnsiTheme="majorHAnsi"/>
                <w:noProof/>
                <w:color w:val="548DD4" w:themeColor="text2" w:themeTint="99"/>
                <w:sz w:val="22"/>
              </w:rPr>
              <w:t>Të Dhëna Financiare për Sektorin Energjetik</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_Toc76470030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46</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31" w:history="1">
            <w:r w:rsidR="002C0E6D" w:rsidRPr="002C0E6D">
              <w:rPr>
                <w:rStyle w:val="Hyperlink"/>
                <w:rFonts w:asciiTheme="majorHAnsi" w:hAnsiTheme="majorHAnsi"/>
                <w:noProof/>
                <w:color w:val="548DD4" w:themeColor="text2" w:themeTint="99"/>
                <w:sz w:val="22"/>
              </w:rPr>
              <w:t>V.2</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Detyrimet e prapambetura</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_Toc76470031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46</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32" w:history="1">
            <w:r w:rsidR="002C0E6D" w:rsidRPr="002C0E6D">
              <w:rPr>
                <w:rStyle w:val="Hyperlink"/>
                <w:rFonts w:asciiTheme="majorHAnsi" w:hAnsiTheme="majorHAnsi"/>
                <w:noProof/>
                <w:color w:val="548DD4" w:themeColor="text2" w:themeTint="99"/>
                <w:sz w:val="22"/>
              </w:rPr>
              <w:t>V.2.1</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Detyrimet e prapambetura për njësitë e qeverisjes QENDRORE</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_Toc76470032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47</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33" w:history="1">
            <w:r w:rsidR="002C0E6D" w:rsidRPr="002C0E6D">
              <w:rPr>
                <w:rStyle w:val="Hyperlink"/>
                <w:rFonts w:asciiTheme="majorHAnsi" w:hAnsiTheme="majorHAnsi"/>
                <w:noProof/>
                <w:color w:val="548DD4" w:themeColor="text2" w:themeTint="99"/>
                <w:sz w:val="22"/>
              </w:rPr>
              <w:t>V.2.2</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Vendimet gjyqësore ADMINISTRATIVE, të formës së prerë</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_Toc76470033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48</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34" w:history="1">
            <w:r w:rsidR="002C0E6D" w:rsidRPr="002C0E6D">
              <w:rPr>
                <w:rStyle w:val="Hyperlink"/>
                <w:rFonts w:asciiTheme="majorHAnsi" w:hAnsiTheme="majorHAnsi"/>
                <w:noProof/>
                <w:color w:val="548DD4" w:themeColor="text2" w:themeTint="99"/>
                <w:sz w:val="22"/>
              </w:rPr>
              <w:t>V.2.3</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Detyrimet e prapambetura për njësitë e vetëqeverisjes VENDORE</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_Toc76470034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49</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35" w:history="1">
            <w:r w:rsidR="002C0E6D" w:rsidRPr="002C0E6D">
              <w:rPr>
                <w:rStyle w:val="Hyperlink"/>
                <w:rFonts w:asciiTheme="majorHAnsi" w:hAnsiTheme="majorHAnsi"/>
                <w:noProof/>
                <w:color w:val="548DD4" w:themeColor="text2" w:themeTint="99"/>
                <w:sz w:val="22"/>
              </w:rPr>
              <w:t>V.3</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Pagesat Faktike të Kontratave Koncesionare/PPP, me Mbështetje Buxhetore</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_Toc76470035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50</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36" w:history="1">
            <w:r w:rsidR="002C0E6D" w:rsidRPr="002C0E6D">
              <w:rPr>
                <w:rStyle w:val="Hyperlink"/>
                <w:rFonts w:asciiTheme="majorHAnsi" w:hAnsiTheme="majorHAnsi"/>
                <w:noProof/>
                <w:color w:val="548DD4" w:themeColor="text2" w:themeTint="99"/>
                <w:sz w:val="22"/>
              </w:rPr>
              <w:t>V.4</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Detyrime të tjera Kontigjente</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_Toc76470036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52</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37" w:history="1">
            <w:r w:rsidR="002C0E6D" w:rsidRPr="002C0E6D">
              <w:rPr>
                <w:rStyle w:val="Hyperlink"/>
                <w:rFonts w:asciiTheme="majorHAnsi" w:hAnsiTheme="majorHAnsi"/>
                <w:noProof/>
                <w:color w:val="548DD4" w:themeColor="text2" w:themeTint="99"/>
                <w:sz w:val="22"/>
              </w:rPr>
              <w:t>V.4.1</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Vendimet e Gjykatës së të Drejtave të Njeriut në Strasburg (GJEDNJ)</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_Toc76470037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52</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38" w:history="1">
            <w:r w:rsidR="002C0E6D" w:rsidRPr="002C0E6D">
              <w:rPr>
                <w:rStyle w:val="Hyperlink"/>
                <w:rFonts w:asciiTheme="majorHAnsi" w:hAnsiTheme="majorHAnsi"/>
                <w:noProof/>
                <w:color w:val="548DD4" w:themeColor="text2" w:themeTint="99"/>
                <w:sz w:val="22"/>
              </w:rPr>
              <w:t>V.4.2</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Vendimet e Gjykatës Ndërkombëtare të ARBITRAZHIT</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_Toc76470038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53</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1"/>
            <w:spacing w:line="276" w:lineRule="auto"/>
            <w:rPr>
              <w:rFonts w:asciiTheme="majorHAnsi" w:eastAsiaTheme="minorEastAsia" w:hAnsiTheme="majorHAnsi" w:cstheme="minorBidi"/>
              <w:b w:val="0"/>
              <w:color w:val="548DD4" w:themeColor="text2" w:themeTint="99"/>
              <w:sz w:val="22"/>
              <w:szCs w:val="24"/>
            </w:rPr>
          </w:pPr>
          <w:hyperlink w:anchor="_Toc76470039" w:history="1">
            <w:r w:rsidR="002C0E6D" w:rsidRPr="002C0E6D">
              <w:rPr>
                <w:rStyle w:val="Hyperlink"/>
                <w:rFonts w:asciiTheme="majorHAnsi" w:hAnsiTheme="majorHAnsi"/>
                <w:color w:val="548DD4" w:themeColor="text2" w:themeTint="99"/>
                <w:sz w:val="22"/>
                <w:szCs w:val="24"/>
              </w:rPr>
              <w:t>VI.</w:t>
            </w:r>
            <w:r w:rsidR="002C0E6D" w:rsidRPr="002C0E6D">
              <w:rPr>
                <w:rFonts w:asciiTheme="majorHAnsi" w:eastAsiaTheme="minorEastAsia" w:hAnsiTheme="majorHAnsi" w:cstheme="minorBidi"/>
                <w:b w:val="0"/>
                <w:color w:val="548DD4" w:themeColor="text2" w:themeTint="99"/>
                <w:sz w:val="22"/>
                <w:szCs w:val="24"/>
              </w:rPr>
              <w:tab/>
            </w:r>
            <w:r w:rsidR="002C0E6D" w:rsidRPr="002C0E6D">
              <w:rPr>
                <w:rStyle w:val="Hyperlink"/>
                <w:rFonts w:asciiTheme="majorHAnsi" w:hAnsiTheme="majorHAnsi"/>
                <w:color w:val="548DD4" w:themeColor="text2" w:themeTint="99"/>
                <w:sz w:val="22"/>
                <w:szCs w:val="24"/>
              </w:rPr>
              <w:t>KONKLUZIONE DHE PROPOZIME</w:t>
            </w:r>
            <w:r w:rsidR="002C0E6D" w:rsidRPr="002C0E6D">
              <w:rPr>
                <w:rFonts w:asciiTheme="majorHAnsi" w:hAnsiTheme="majorHAnsi"/>
                <w:webHidden/>
                <w:color w:val="548DD4" w:themeColor="text2" w:themeTint="99"/>
                <w:sz w:val="22"/>
                <w:szCs w:val="24"/>
              </w:rPr>
              <w:tab/>
            </w:r>
            <w:r w:rsidR="002C0E6D" w:rsidRPr="002C0E6D">
              <w:rPr>
                <w:rFonts w:asciiTheme="majorHAnsi" w:hAnsiTheme="majorHAnsi"/>
                <w:webHidden/>
                <w:color w:val="548DD4" w:themeColor="text2" w:themeTint="99"/>
                <w:sz w:val="22"/>
                <w:szCs w:val="24"/>
              </w:rPr>
              <w:fldChar w:fldCharType="begin"/>
            </w:r>
            <w:r w:rsidR="002C0E6D" w:rsidRPr="002C0E6D">
              <w:rPr>
                <w:rFonts w:asciiTheme="majorHAnsi" w:hAnsiTheme="majorHAnsi"/>
                <w:webHidden/>
                <w:color w:val="548DD4" w:themeColor="text2" w:themeTint="99"/>
                <w:sz w:val="22"/>
                <w:szCs w:val="24"/>
              </w:rPr>
              <w:instrText xml:space="preserve"> PAGEREF _Toc76470039 \h </w:instrText>
            </w:r>
            <w:r w:rsidR="002C0E6D" w:rsidRPr="002C0E6D">
              <w:rPr>
                <w:rFonts w:asciiTheme="majorHAnsi" w:hAnsiTheme="majorHAnsi"/>
                <w:webHidden/>
                <w:color w:val="548DD4" w:themeColor="text2" w:themeTint="99"/>
                <w:sz w:val="22"/>
                <w:szCs w:val="24"/>
              </w:rPr>
            </w:r>
            <w:r w:rsidR="002C0E6D" w:rsidRPr="002C0E6D">
              <w:rPr>
                <w:rFonts w:asciiTheme="majorHAnsi" w:hAnsiTheme="majorHAnsi"/>
                <w:webHidden/>
                <w:color w:val="548DD4" w:themeColor="text2" w:themeTint="99"/>
                <w:sz w:val="22"/>
                <w:szCs w:val="24"/>
              </w:rPr>
              <w:fldChar w:fldCharType="separate"/>
            </w:r>
            <w:r w:rsidR="00444766">
              <w:rPr>
                <w:rFonts w:asciiTheme="majorHAnsi" w:hAnsiTheme="majorHAnsi"/>
                <w:webHidden/>
                <w:color w:val="548DD4" w:themeColor="text2" w:themeTint="99"/>
                <w:sz w:val="22"/>
                <w:szCs w:val="24"/>
              </w:rPr>
              <w:t>55</w:t>
            </w:r>
            <w:r w:rsidR="002C0E6D" w:rsidRPr="002C0E6D">
              <w:rPr>
                <w:rFonts w:asciiTheme="majorHAnsi" w:hAnsiTheme="majorHAnsi"/>
                <w:webHidden/>
                <w:color w:val="548DD4" w:themeColor="text2" w:themeTint="99"/>
                <w:sz w:val="22"/>
                <w:szCs w:val="24"/>
              </w:rPr>
              <w:fldChar w:fldCharType="end"/>
            </w:r>
          </w:hyperlink>
        </w:p>
        <w:p w:rsidR="002C0E6D" w:rsidRPr="002C0E6D" w:rsidRDefault="00340A19" w:rsidP="002C0E6D">
          <w:pPr>
            <w:pStyle w:val="TOC1"/>
            <w:spacing w:line="276" w:lineRule="auto"/>
            <w:rPr>
              <w:rFonts w:asciiTheme="majorHAnsi" w:eastAsiaTheme="minorEastAsia" w:hAnsiTheme="majorHAnsi" w:cstheme="minorBidi"/>
              <w:b w:val="0"/>
              <w:color w:val="548DD4" w:themeColor="text2" w:themeTint="99"/>
              <w:sz w:val="22"/>
              <w:szCs w:val="24"/>
            </w:rPr>
          </w:pPr>
          <w:hyperlink w:anchor="_Toc76470040" w:history="1">
            <w:r w:rsidR="002C0E6D" w:rsidRPr="002C0E6D">
              <w:rPr>
                <w:rStyle w:val="Hyperlink"/>
                <w:rFonts w:asciiTheme="majorHAnsi" w:hAnsiTheme="majorHAnsi"/>
                <w:color w:val="548DD4" w:themeColor="text2" w:themeTint="99"/>
                <w:sz w:val="22"/>
                <w:szCs w:val="24"/>
              </w:rPr>
              <w:t>VII.</w:t>
            </w:r>
            <w:r w:rsidR="002C0E6D" w:rsidRPr="002C0E6D">
              <w:rPr>
                <w:rFonts w:asciiTheme="majorHAnsi" w:eastAsiaTheme="minorEastAsia" w:hAnsiTheme="majorHAnsi" w:cstheme="minorBidi"/>
                <w:b w:val="0"/>
                <w:color w:val="548DD4" w:themeColor="text2" w:themeTint="99"/>
                <w:sz w:val="22"/>
                <w:szCs w:val="24"/>
              </w:rPr>
              <w:tab/>
            </w:r>
            <w:r w:rsidR="002C0E6D" w:rsidRPr="002C0E6D">
              <w:rPr>
                <w:rStyle w:val="Hyperlink"/>
                <w:rFonts w:asciiTheme="majorHAnsi" w:hAnsiTheme="majorHAnsi"/>
                <w:color w:val="548DD4" w:themeColor="text2" w:themeTint="99"/>
                <w:sz w:val="22"/>
                <w:szCs w:val="24"/>
              </w:rPr>
              <w:t>SHTOJCAT</w:t>
            </w:r>
            <w:r w:rsidR="002C0E6D" w:rsidRPr="002C0E6D">
              <w:rPr>
                <w:rFonts w:asciiTheme="majorHAnsi" w:hAnsiTheme="majorHAnsi"/>
                <w:webHidden/>
                <w:color w:val="548DD4" w:themeColor="text2" w:themeTint="99"/>
                <w:sz w:val="22"/>
                <w:szCs w:val="24"/>
              </w:rPr>
              <w:tab/>
            </w:r>
            <w:r w:rsidR="002C0E6D" w:rsidRPr="002C0E6D">
              <w:rPr>
                <w:rFonts w:asciiTheme="majorHAnsi" w:hAnsiTheme="majorHAnsi"/>
                <w:webHidden/>
                <w:color w:val="548DD4" w:themeColor="text2" w:themeTint="99"/>
                <w:sz w:val="22"/>
                <w:szCs w:val="24"/>
              </w:rPr>
              <w:fldChar w:fldCharType="begin"/>
            </w:r>
            <w:r w:rsidR="002C0E6D" w:rsidRPr="002C0E6D">
              <w:rPr>
                <w:rFonts w:asciiTheme="majorHAnsi" w:hAnsiTheme="majorHAnsi"/>
                <w:webHidden/>
                <w:color w:val="548DD4" w:themeColor="text2" w:themeTint="99"/>
                <w:sz w:val="22"/>
                <w:szCs w:val="24"/>
              </w:rPr>
              <w:instrText xml:space="preserve"> PAGEREF _Toc76470040 \h </w:instrText>
            </w:r>
            <w:r w:rsidR="002C0E6D" w:rsidRPr="002C0E6D">
              <w:rPr>
                <w:rFonts w:asciiTheme="majorHAnsi" w:hAnsiTheme="majorHAnsi"/>
                <w:webHidden/>
                <w:color w:val="548DD4" w:themeColor="text2" w:themeTint="99"/>
                <w:sz w:val="22"/>
                <w:szCs w:val="24"/>
              </w:rPr>
            </w:r>
            <w:r w:rsidR="002C0E6D" w:rsidRPr="002C0E6D">
              <w:rPr>
                <w:rFonts w:asciiTheme="majorHAnsi" w:hAnsiTheme="majorHAnsi"/>
                <w:webHidden/>
                <w:color w:val="548DD4" w:themeColor="text2" w:themeTint="99"/>
                <w:sz w:val="22"/>
                <w:szCs w:val="24"/>
              </w:rPr>
              <w:fldChar w:fldCharType="separate"/>
            </w:r>
            <w:r w:rsidR="00444766">
              <w:rPr>
                <w:rFonts w:asciiTheme="majorHAnsi" w:hAnsiTheme="majorHAnsi"/>
                <w:webHidden/>
                <w:color w:val="548DD4" w:themeColor="text2" w:themeTint="99"/>
                <w:sz w:val="22"/>
                <w:szCs w:val="24"/>
              </w:rPr>
              <w:t>57</w:t>
            </w:r>
            <w:r w:rsidR="002C0E6D" w:rsidRPr="002C0E6D">
              <w:rPr>
                <w:rFonts w:asciiTheme="majorHAnsi" w:hAnsiTheme="majorHAnsi"/>
                <w:webHidden/>
                <w:color w:val="548DD4" w:themeColor="text2" w:themeTint="99"/>
                <w:sz w:val="22"/>
                <w:szCs w:val="24"/>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41" w:history="1">
            <w:r w:rsidR="002C0E6D" w:rsidRPr="002C0E6D">
              <w:rPr>
                <w:rStyle w:val="Hyperlink"/>
                <w:rFonts w:asciiTheme="majorHAnsi" w:hAnsiTheme="majorHAnsi"/>
                <w:noProof/>
                <w:color w:val="548DD4" w:themeColor="text2" w:themeTint="99"/>
                <w:sz w:val="22"/>
              </w:rPr>
              <w:t>VI.1</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Ecuria e detajuar e treguesve makroekonomikë gjatë janar-maj 2021</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_Toc76470041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57</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42" w:history="1">
            <w:r w:rsidR="002C0E6D" w:rsidRPr="002C0E6D">
              <w:rPr>
                <w:rStyle w:val="Hyperlink"/>
                <w:rFonts w:asciiTheme="majorHAnsi" w:hAnsiTheme="majorHAnsi"/>
                <w:noProof/>
                <w:color w:val="548DD4" w:themeColor="text2" w:themeTint="99"/>
                <w:sz w:val="22"/>
              </w:rPr>
              <w:t>VI.2</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Treguesit kryesorë të performancës sipas ministrive të linjës, 4M I 2021</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_Toc76470042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64</w:t>
            </w:r>
            <w:r w:rsidR="002C0E6D" w:rsidRPr="002C0E6D">
              <w:rPr>
                <w:rFonts w:asciiTheme="majorHAnsi" w:hAnsiTheme="majorHAnsi"/>
                <w:noProof/>
                <w:webHidden/>
                <w:color w:val="548DD4" w:themeColor="text2" w:themeTint="99"/>
                <w:sz w:val="22"/>
              </w:rPr>
              <w:fldChar w:fldCharType="end"/>
            </w:r>
          </w:hyperlink>
        </w:p>
        <w:p w:rsidR="002C0E6D" w:rsidRPr="002C0E6D" w:rsidRDefault="00340A19" w:rsidP="002C0E6D">
          <w:pPr>
            <w:pStyle w:val="TOC2"/>
            <w:spacing w:line="276" w:lineRule="auto"/>
            <w:rPr>
              <w:rFonts w:asciiTheme="majorHAnsi" w:eastAsiaTheme="minorEastAsia" w:hAnsiTheme="majorHAnsi" w:cstheme="minorBidi"/>
              <w:noProof/>
              <w:color w:val="548DD4" w:themeColor="text2" w:themeTint="99"/>
              <w:sz w:val="22"/>
            </w:rPr>
          </w:pPr>
          <w:hyperlink w:anchor="_Toc76470043" w:history="1">
            <w:r w:rsidR="002C0E6D" w:rsidRPr="002C0E6D">
              <w:rPr>
                <w:rStyle w:val="Hyperlink"/>
                <w:rFonts w:asciiTheme="majorHAnsi" w:hAnsiTheme="majorHAnsi"/>
                <w:noProof/>
                <w:color w:val="548DD4" w:themeColor="text2" w:themeTint="99"/>
                <w:sz w:val="22"/>
              </w:rPr>
              <w:t>VI.3</w:t>
            </w:r>
            <w:r w:rsidR="002C0E6D" w:rsidRPr="002C0E6D">
              <w:rPr>
                <w:rFonts w:asciiTheme="majorHAnsi" w:eastAsiaTheme="minorEastAsia" w:hAnsiTheme="majorHAnsi" w:cstheme="minorBidi"/>
                <w:noProof/>
                <w:color w:val="548DD4" w:themeColor="text2" w:themeTint="99"/>
                <w:sz w:val="22"/>
              </w:rPr>
              <w:tab/>
            </w:r>
            <w:r w:rsidR="002C0E6D" w:rsidRPr="002C0E6D">
              <w:rPr>
                <w:rStyle w:val="Hyperlink"/>
                <w:rFonts w:asciiTheme="majorHAnsi" w:hAnsiTheme="majorHAnsi"/>
                <w:noProof/>
                <w:color w:val="548DD4" w:themeColor="text2" w:themeTint="99"/>
                <w:sz w:val="22"/>
              </w:rPr>
              <w:t>Ecuria e detajuar e projekteve të investimeve publike, gjatë Janar-Maj 2021</w:t>
            </w:r>
            <w:r w:rsidR="002C0E6D" w:rsidRPr="002C0E6D">
              <w:rPr>
                <w:rFonts w:asciiTheme="majorHAnsi" w:hAnsiTheme="majorHAnsi"/>
                <w:noProof/>
                <w:webHidden/>
                <w:color w:val="548DD4" w:themeColor="text2" w:themeTint="99"/>
                <w:sz w:val="22"/>
              </w:rPr>
              <w:tab/>
            </w:r>
            <w:r w:rsidR="002C0E6D" w:rsidRPr="002C0E6D">
              <w:rPr>
                <w:rFonts w:asciiTheme="majorHAnsi" w:hAnsiTheme="majorHAnsi"/>
                <w:noProof/>
                <w:webHidden/>
                <w:color w:val="548DD4" w:themeColor="text2" w:themeTint="99"/>
                <w:sz w:val="22"/>
              </w:rPr>
              <w:fldChar w:fldCharType="begin"/>
            </w:r>
            <w:r w:rsidR="002C0E6D" w:rsidRPr="002C0E6D">
              <w:rPr>
                <w:rFonts w:asciiTheme="majorHAnsi" w:hAnsiTheme="majorHAnsi"/>
                <w:noProof/>
                <w:webHidden/>
                <w:color w:val="548DD4" w:themeColor="text2" w:themeTint="99"/>
                <w:sz w:val="22"/>
              </w:rPr>
              <w:instrText xml:space="preserve"> PAGEREF _Toc76470043 \h </w:instrText>
            </w:r>
            <w:r w:rsidR="002C0E6D" w:rsidRPr="002C0E6D">
              <w:rPr>
                <w:rFonts w:asciiTheme="majorHAnsi" w:hAnsiTheme="majorHAnsi"/>
                <w:noProof/>
                <w:webHidden/>
                <w:color w:val="548DD4" w:themeColor="text2" w:themeTint="99"/>
                <w:sz w:val="22"/>
              </w:rPr>
            </w:r>
            <w:r w:rsidR="002C0E6D" w:rsidRPr="002C0E6D">
              <w:rPr>
                <w:rFonts w:asciiTheme="majorHAnsi" w:hAnsiTheme="majorHAnsi"/>
                <w:noProof/>
                <w:webHidden/>
                <w:color w:val="548DD4" w:themeColor="text2" w:themeTint="99"/>
                <w:sz w:val="22"/>
              </w:rPr>
              <w:fldChar w:fldCharType="separate"/>
            </w:r>
            <w:r w:rsidR="00444766">
              <w:rPr>
                <w:rFonts w:asciiTheme="majorHAnsi" w:hAnsiTheme="majorHAnsi"/>
                <w:noProof/>
                <w:webHidden/>
                <w:color w:val="548DD4" w:themeColor="text2" w:themeTint="99"/>
                <w:sz w:val="22"/>
              </w:rPr>
              <w:t>89</w:t>
            </w:r>
            <w:r w:rsidR="002C0E6D" w:rsidRPr="002C0E6D">
              <w:rPr>
                <w:rFonts w:asciiTheme="majorHAnsi" w:hAnsiTheme="majorHAnsi"/>
                <w:noProof/>
                <w:webHidden/>
                <w:color w:val="548DD4" w:themeColor="text2" w:themeTint="99"/>
                <w:sz w:val="22"/>
              </w:rPr>
              <w:fldChar w:fldCharType="end"/>
            </w:r>
          </w:hyperlink>
        </w:p>
        <w:p w:rsidR="00EE2069" w:rsidRPr="00B4223B" w:rsidRDefault="00EE2069" w:rsidP="002C0E6D">
          <w:pPr>
            <w:pStyle w:val="TOC2"/>
            <w:spacing w:line="276" w:lineRule="auto"/>
            <w:rPr>
              <w:noProof/>
              <w:color w:val="365F91" w:themeColor="accent1" w:themeShade="BF"/>
              <w:sz w:val="22"/>
              <w:lang w:val="sq-AL"/>
            </w:rPr>
          </w:pPr>
          <w:r w:rsidRPr="002C0E6D">
            <w:rPr>
              <w:rFonts w:asciiTheme="majorHAnsi" w:hAnsiTheme="majorHAnsi"/>
              <w:noProof/>
              <w:color w:val="548DD4" w:themeColor="text2" w:themeTint="99"/>
              <w:sz w:val="22"/>
              <w:lang w:val="sq-AL"/>
            </w:rPr>
            <w:fldChar w:fldCharType="end"/>
          </w:r>
        </w:p>
      </w:sdtContent>
    </w:sdt>
    <w:p w:rsidR="00B4223B" w:rsidRDefault="00B4223B" w:rsidP="007A09E2">
      <w:pPr>
        <w:pStyle w:val="Heading1"/>
        <w:spacing w:before="0"/>
      </w:pPr>
      <w:bookmarkStart w:id="2" w:name="_Toc44321026"/>
    </w:p>
    <w:p w:rsidR="00B4223B" w:rsidRDefault="00B4223B" w:rsidP="00B4223B">
      <w:pPr>
        <w:rPr>
          <w:lang w:val="sq-AL"/>
        </w:rPr>
      </w:pPr>
    </w:p>
    <w:p w:rsidR="00630F48" w:rsidRPr="002C0E6D" w:rsidRDefault="002C0E6D" w:rsidP="00B4223B">
      <w:pPr>
        <w:pStyle w:val="Heading1"/>
        <w:spacing w:before="0"/>
        <w:jc w:val="center"/>
        <w:rPr>
          <w:color w:val="548DD4" w:themeColor="text2" w:themeTint="99"/>
        </w:rPr>
      </w:pPr>
      <w:bookmarkStart w:id="3" w:name="_Toc76470011"/>
      <w:r w:rsidRPr="002C0E6D">
        <w:rPr>
          <w:color w:val="548DD4" w:themeColor="text2" w:themeTint="99"/>
        </w:rPr>
        <w:lastRenderedPageBreak/>
        <w:t>LISTA E TABELA</w:t>
      </w:r>
      <w:bookmarkEnd w:id="2"/>
      <w:r w:rsidRPr="002C0E6D">
        <w:rPr>
          <w:color w:val="548DD4" w:themeColor="text2" w:themeTint="99"/>
        </w:rPr>
        <w:t>VE</w:t>
      </w:r>
      <w:bookmarkEnd w:id="3"/>
    </w:p>
    <w:p w:rsidR="004008C0" w:rsidRPr="004008C0" w:rsidRDefault="004008C0" w:rsidP="004008C0">
      <w:pPr>
        <w:rPr>
          <w:lang w:val="sq-AL"/>
        </w:rPr>
      </w:pPr>
    </w:p>
    <w:p w:rsidR="002C0E6D" w:rsidRPr="002C0E6D" w:rsidRDefault="00070183"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r w:rsidRPr="002C0E6D">
        <w:rPr>
          <w:rStyle w:val="Hyperlink"/>
          <w:rFonts w:asciiTheme="majorHAnsi" w:eastAsiaTheme="majorEastAsia" w:hAnsiTheme="majorHAnsi"/>
          <w:i/>
          <w:noProof/>
          <w:color w:val="548DD4" w:themeColor="text2" w:themeTint="99"/>
          <w:sz w:val="22"/>
          <w:szCs w:val="22"/>
          <w:lang w:val="sq-AL"/>
        </w:rPr>
        <w:fldChar w:fldCharType="begin"/>
      </w:r>
      <w:r w:rsidRPr="002C0E6D">
        <w:rPr>
          <w:rStyle w:val="Hyperlink"/>
          <w:rFonts w:asciiTheme="majorHAnsi" w:eastAsiaTheme="majorEastAsia" w:hAnsiTheme="majorHAnsi"/>
          <w:i/>
          <w:noProof/>
          <w:color w:val="548DD4" w:themeColor="text2" w:themeTint="99"/>
          <w:sz w:val="22"/>
          <w:szCs w:val="22"/>
          <w:lang w:val="sq-AL"/>
        </w:rPr>
        <w:instrText xml:space="preserve"> TOC \h \z \c "Tabela" </w:instrText>
      </w:r>
      <w:r w:rsidRPr="002C0E6D">
        <w:rPr>
          <w:rStyle w:val="Hyperlink"/>
          <w:rFonts w:asciiTheme="majorHAnsi" w:eastAsiaTheme="majorEastAsia" w:hAnsiTheme="majorHAnsi"/>
          <w:i/>
          <w:noProof/>
          <w:color w:val="548DD4" w:themeColor="text2" w:themeTint="99"/>
          <w:sz w:val="22"/>
          <w:szCs w:val="22"/>
          <w:lang w:val="sq-AL"/>
        </w:rPr>
        <w:fldChar w:fldCharType="separate"/>
      </w:r>
      <w:hyperlink w:anchor="_Toc76470055" w:history="1">
        <w:r w:rsidR="002C0E6D" w:rsidRPr="002C0E6D">
          <w:rPr>
            <w:rStyle w:val="Hyperlink"/>
            <w:rFonts w:asciiTheme="majorHAnsi" w:eastAsiaTheme="majorEastAsia" w:hAnsiTheme="majorHAnsi"/>
            <w:bCs/>
            <w:i/>
            <w:noProof/>
            <w:color w:val="548DD4" w:themeColor="text2" w:themeTint="99"/>
            <w:sz w:val="22"/>
            <w:szCs w:val="22"/>
            <w:lang w:val="sq-AL"/>
          </w:rPr>
          <w:t>Tabela 1: Të ardhurat Tatime &amp; Dogana për periudhën Janar – Maj 2021 (në milionë lekë)</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_Toc76470055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7</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56" w:history="1">
        <w:r w:rsidR="002C0E6D" w:rsidRPr="002C0E6D">
          <w:rPr>
            <w:rStyle w:val="Hyperlink"/>
            <w:rFonts w:asciiTheme="majorHAnsi" w:eastAsiaTheme="majorEastAsia" w:hAnsiTheme="majorHAnsi"/>
            <w:i/>
            <w:noProof/>
            <w:color w:val="548DD4" w:themeColor="text2" w:themeTint="99"/>
            <w:sz w:val="22"/>
            <w:szCs w:val="22"/>
            <w:lang w:val="sq-AL"/>
          </w:rPr>
          <w:t>Tabela 2: Kontribuesit pozitivë në të ardhurat nga TVSH/Diferencat Janar-Maj 2021/2020</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_Toc76470056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10</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57" w:history="1">
        <w:r w:rsidR="002C0E6D" w:rsidRPr="002C0E6D">
          <w:rPr>
            <w:rStyle w:val="Hyperlink"/>
            <w:rFonts w:asciiTheme="majorHAnsi" w:eastAsiaTheme="majorEastAsia" w:hAnsiTheme="majorHAnsi"/>
            <w:i/>
            <w:noProof/>
            <w:color w:val="548DD4" w:themeColor="text2" w:themeTint="99"/>
            <w:sz w:val="22"/>
            <w:szCs w:val="22"/>
            <w:lang w:val="sq-AL"/>
          </w:rPr>
          <w:t>Tabela 3: Kontribuesit negativë në të ardhurat nga TVSH/ Diferencat Janar-Maj 2021/2020</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_Toc76470057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10</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58" w:history="1">
        <w:r w:rsidR="002C0E6D" w:rsidRPr="002C0E6D">
          <w:rPr>
            <w:rStyle w:val="Hyperlink"/>
            <w:rFonts w:asciiTheme="majorHAnsi" w:eastAsiaTheme="majorEastAsia" w:hAnsiTheme="majorHAnsi"/>
            <w:i/>
            <w:noProof/>
            <w:color w:val="548DD4" w:themeColor="text2" w:themeTint="99"/>
            <w:sz w:val="22"/>
            <w:szCs w:val="22"/>
            <w:lang w:val="sq-AL"/>
          </w:rPr>
          <w:t>Tabela 4: Të ardhurat dhe shpenzimet faktike të pushtetit vendor sipas natyrës</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_Toc76470058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27</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59" w:history="1">
        <w:r w:rsidR="002C0E6D" w:rsidRPr="002C0E6D">
          <w:rPr>
            <w:rStyle w:val="Hyperlink"/>
            <w:rFonts w:asciiTheme="majorHAnsi" w:eastAsiaTheme="majorEastAsia" w:hAnsiTheme="majorHAnsi"/>
            <w:i/>
            <w:noProof/>
            <w:color w:val="548DD4" w:themeColor="text2" w:themeTint="99"/>
            <w:sz w:val="22"/>
            <w:szCs w:val="22"/>
          </w:rPr>
          <w:t>Tabela 5: Huamarrja shtetërore nga burime të brendshme në terma bruto&amp;neto (Janar-Mars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_Toc76470059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40</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60" w:history="1">
        <w:r w:rsidR="002C0E6D" w:rsidRPr="002C0E6D">
          <w:rPr>
            <w:rStyle w:val="Hyperlink"/>
            <w:rFonts w:asciiTheme="majorHAnsi" w:eastAsiaTheme="majorEastAsia" w:hAnsiTheme="majorHAnsi"/>
            <w:i/>
            <w:noProof/>
            <w:color w:val="548DD4" w:themeColor="text2" w:themeTint="99"/>
            <w:sz w:val="22"/>
            <w:szCs w:val="22"/>
          </w:rPr>
          <w:t>Tabela 6: Huamarrja e huaj në terma bruto (TM. I 2020-TM. I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_Toc76470060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40</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61" w:history="1">
        <w:r w:rsidR="002C0E6D" w:rsidRPr="002C0E6D">
          <w:rPr>
            <w:rStyle w:val="Hyperlink"/>
            <w:rFonts w:asciiTheme="majorHAnsi" w:eastAsiaTheme="majorEastAsia" w:hAnsiTheme="majorHAnsi"/>
            <w:i/>
            <w:noProof/>
            <w:color w:val="548DD4" w:themeColor="text2" w:themeTint="99"/>
            <w:sz w:val="22"/>
            <w:szCs w:val="22"/>
          </w:rPr>
          <w:t>Tabela 7: Treguesit e riskut të borxhit të brendshëm shtetëror (2018–Mars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_Toc76470061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42</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62" w:history="1">
        <w:r w:rsidR="002C0E6D" w:rsidRPr="002C0E6D">
          <w:rPr>
            <w:rStyle w:val="Hyperlink"/>
            <w:rFonts w:asciiTheme="majorHAnsi" w:eastAsiaTheme="majorEastAsia" w:hAnsiTheme="majorHAnsi"/>
            <w:bCs/>
            <w:i/>
            <w:noProof/>
            <w:color w:val="548DD4" w:themeColor="text2" w:themeTint="99"/>
            <w:sz w:val="22"/>
            <w:szCs w:val="22"/>
            <w:lang w:val="sq-AL"/>
          </w:rPr>
          <w:t>Tabela 8: Koncesionet/PPT-të aktive me mbështetje nga buxheti i shtetit (në mijë LEK)</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_Toc76470062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52</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63" w:history="1">
        <w:r w:rsidR="002C0E6D" w:rsidRPr="002C0E6D">
          <w:rPr>
            <w:rStyle w:val="Hyperlink"/>
            <w:rFonts w:asciiTheme="majorHAnsi" w:eastAsiaTheme="majorEastAsia" w:hAnsiTheme="majorHAnsi"/>
            <w:bCs/>
            <w:i/>
            <w:noProof/>
            <w:color w:val="548DD4" w:themeColor="text2" w:themeTint="99"/>
            <w:sz w:val="22"/>
            <w:szCs w:val="22"/>
            <w:lang w:val="sq-AL"/>
          </w:rPr>
          <w:t xml:space="preserve">Tabela 9: </w:t>
        </w:r>
        <w:r w:rsidR="002C0E6D" w:rsidRPr="002C0E6D">
          <w:rPr>
            <w:rStyle w:val="Hyperlink"/>
            <w:rFonts w:asciiTheme="majorHAnsi" w:eastAsiaTheme="majorEastAsia" w:hAnsiTheme="majorHAnsi"/>
            <w:i/>
            <w:noProof/>
            <w:color w:val="548DD4" w:themeColor="text2" w:themeTint="99"/>
            <w:sz w:val="22"/>
            <w:szCs w:val="22"/>
            <w:lang w:val="sq-AL"/>
          </w:rPr>
          <w:t>Detyrime për vendimet e Arbitrazhit Ndërkombëtar</w:t>
        </w:r>
        <w:r w:rsidR="002C0E6D" w:rsidRPr="002C0E6D">
          <w:rPr>
            <w:rStyle w:val="Hyperlink"/>
            <w:rFonts w:asciiTheme="majorHAnsi" w:eastAsiaTheme="majorEastAsia" w:hAnsiTheme="majorHAnsi"/>
            <w:noProof/>
            <w:color w:val="548DD4" w:themeColor="text2" w:themeTint="99"/>
            <w:sz w:val="22"/>
            <w:szCs w:val="22"/>
            <w:lang w:val="sq-AL"/>
          </w:rPr>
          <w:t xml:space="preserve"> (në EUR)</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_Toc76470063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54</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64" w:history="1">
        <w:r w:rsidR="002C0E6D" w:rsidRPr="002C0E6D">
          <w:rPr>
            <w:rStyle w:val="Hyperlink"/>
            <w:rFonts w:asciiTheme="majorHAnsi" w:eastAsiaTheme="majorEastAsia" w:hAnsiTheme="majorHAnsi"/>
            <w:i/>
            <w:noProof/>
            <w:color w:val="548DD4" w:themeColor="text2" w:themeTint="99"/>
            <w:sz w:val="22"/>
            <w:szCs w:val="22"/>
          </w:rPr>
          <w:t>Tabela 10: Rritja e eksportit të mallrave, sipas kategorive kryesore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_Toc76470064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58</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65" w:history="1">
        <w:r w:rsidR="002C0E6D" w:rsidRPr="002C0E6D">
          <w:rPr>
            <w:rStyle w:val="Hyperlink"/>
            <w:rFonts w:asciiTheme="majorHAnsi" w:eastAsiaTheme="majorEastAsia" w:hAnsiTheme="majorHAnsi"/>
            <w:i/>
            <w:noProof/>
            <w:color w:val="548DD4" w:themeColor="text2" w:themeTint="99"/>
            <w:sz w:val="22"/>
            <w:szCs w:val="22"/>
            <w:lang w:val="sq-AL"/>
          </w:rPr>
          <w:t>Tabela 11: Rritja e importit të mallrave, sipas kategorive kryesore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_Toc76470065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59</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66" w:history="1">
        <w:r w:rsidR="002C0E6D" w:rsidRPr="002C0E6D">
          <w:rPr>
            <w:rStyle w:val="Hyperlink"/>
            <w:rFonts w:asciiTheme="majorHAnsi" w:eastAsiaTheme="majorEastAsia" w:hAnsiTheme="majorHAnsi"/>
            <w:i/>
            <w:noProof/>
            <w:color w:val="548DD4" w:themeColor="text2" w:themeTint="99"/>
            <w:sz w:val="22"/>
            <w:szCs w:val="22"/>
            <w:lang w:val="sq-AL"/>
          </w:rPr>
          <w:t>Tabela 12: Bilanci tregtar, sipas kategorive kryesore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_Toc76470066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60</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67" w:history="1">
        <w:r w:rsidR="002C0E6D" w:rsidRPr="002C0E6D">
          <w:rPr>
            <w:rStyle w:val="Hyperlink"/>
            <w:rFonts w:asciiTheme="majorHAnsi" w:eastAsiaTheme="majorEastAsia" w:hAnsiTheme="majorHAnsi"/>
            <w:i/>
            <w:noProof/>
            <w:color w:val="548DD4" w:themeColor="text2" w:themeTint="99"/>
            <w:sz w:val="22"/>
            <w:szCs w:val="22"/>
            <w:lang w:val="sq-AL"/>
          </w:rPr>
          <w:t>Tabela 13: Rritja vjetore e çmimeve, në përqindje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_Toc76470067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60</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68" w:history="1">
        <w:r w:rsidR="002C0E6D" w:rsidRPr="002C0E6D">
          <w:rPr>
            <w:rStyle w:val="Hyperlink"/>
            <w:rFonts w:asciiTheme="majorHAnsi" w:eastAsiaTheme="majorEastAsia" w:hAnsiTheme="majorHAnsi"/>
            <w:i/>
            <w:noProof/>
            <w:color w:val="548DD4" w:themeColor="text2" w:themeTint="99"/>
            <w:sz w:val="22"/>
            <w:szCs w:val="22"/>
            <w:lang w:val="sq-AL"/>
          </w:rPr>
          <w:t>Tabela 14: Ecuria e kredisë për bizneset dhe individët, në përqindje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_Toc76470068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62</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69" w:history="1">
        <w:r w:rsidR="002C0E6D" w:rsidRPr="002C0E6D">
          <w:rPr>
            <w:rStyle w:val="Hyperlink"/>
            <w:rFonts w:asciiTheme="majorHAnsi" w:eastAsiaTheme="majorEastAsia" w:hAnsiTheme="majorHAnsi"/>
            <w:i/>
            <w:noProof/>
            <w:color w:val="548DD4" w:themeColor="text2" w:themeTint="99"/>
            <w:sz w:val="22"/>
            <w:szCs w:val="22"/>
            <w:lang w:val="sq-AL"/>
          </w:rPr>
          <w:t>Tabela 15: Ecuria e kredive të këqija, në përqindje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_Toc76470069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62</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70" w:history="1">
        <w:r w:rsidR="002C0E6D" w:rsidRPr="002C0E6D">
          <w:rPr>
            <w:rStyle w:val="Hyperlink"/>
            <w:rFonts w:asciiTheme="majorHAnsi" w:eastAsiaTheme="majorEastAsia" w:hAnsiTheme="majorHAnsi"/>
            <w:i/>
            <w:noProof/>
            <w:color w:val="548DD4" w:themeColor="text2" w:themeTint="99"/>
            <w:sz w:val="22"/>
            <w:szCs w:val="22"/>
            <w:lang w:val="sq-AL"/>
          </w:rPr>
          <w:t>Tabela 16: Ecuria e kursit të këmbimit 2015-2021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_Toc76470070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63</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71" w:history="1">
        <w:r w:rsidR="002C0E6D" w:rsidRPr="002C0E6D">
          <w:rPr>
            <w:rStyle w:val="Hyperlink"/>
            <w:rFonts w:asciiTheme="majorHAnsi" w:eastAsiaTheme="majorEastAsia" w:hAnsiTheme="majorHAnsi"/>
            <w:i/>
            <w:noProof/>
            <w:color w:val="548DD4" w:themeColor="text2" w:themeTint="99"/>
            <w:sz w:val="22"/>
            <w:szCs w:val="22"/>
          </w:rPr>
          <w:t>Tabela 17: Treguesit kryesorë të performancës sipas ministrive të linjës, 5M I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_Toc76470071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64</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72" w:history="1">
        <w:r w:rsidR="002C0E6D" w:rsidRPr="002C0E6D">
          <w:rPr>
            <w:rStyle w:val="Hyperlink"/>
            <w:rFonts w:asciiTheme="majorHAnsi" w:eastAsiaTheme="majorEastAsia" w:hAnsiTheme="majorHAnsi"/>
            <w:i/>
            <w:noProof/>
            <w:color w:val="548DD4" w:themeColor="text2" w:themeTint="99"/>
            <w:sz w:val="22"/>
            <w:szCs w:val="22"/>
          </w:rPr>
          <w:t>Tabela 18: Shëndetësia dhe mbrojtja sociale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_Toc76470072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65</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73" w:history="1">
        <w:r w:rsidR="002C0E6D" w:rsidRPr="002C0E6D">
          <w:rPr>
            <w:rStyle w:val="Hyperlink"/>
            <w:rFonts w:asciiTheme="majorHAnsi" w:eastAsiaTheme="majorEastAsia" w:hAnsiTheme="majorHAnsi"/>
            <w:i/>
            <w:noProof/>
            <w:color w:val="548DD4" w:themeColor="text2" w:themeTint="99"/>
            <w:sz w:val="22"/>
            <w:szCs w:val="22"/>
          </w:rPr>
          <w:t>Tabela 19: Arsimi</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_Toc76470073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67</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74" w:history="1">
        <w:r w:rsidR="002C0E6D" w:rsidRPr="002C0E6D">
          <w:rPr>
            <w:rStyle w:val="Hyperlink"/>
            <w:rFonts w:asciiTheme="majorHAnsi" w:eastAsiaTheme="majorEastAsia" w:hAnsiTheme="majorHAnsi"/>
            <w:i/>
            <w:noProof/>
            <w:color w:val="548DD4" w:themeColor="text2" w:themeTint="99"/>
            <w:sz w:val="22"/>
            <w:szCs w:val="22"/>
          </w:rPr>
          <w:t>Tabela 20: Infrastruktura dhe Energjia</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_Toc76470074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71</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75" w:history="1">
        <w:r w:rsidR="002C0E6D" w:rsidRPr="002C0E6D">
          <w:rPr>
            <w:rStyle w:val="Hyperlink"/>
            <w:rFonts w:asciiTheme="majorHAnsi" w:eastAsiaTheme="majorEastAsia" w:hAnsiTheme="majorHAnsi"/>
            <w:i/>
            <w:noProof/>
            <w:color w:val="548DD4" w:themeColor="text2" w:themeTint="99"/>
            <w:sz w:val="22"/>
            <w:szCs w:val="22"/>
            <w:lang w:val="sq-AL"/>
          </w:rPr>
          <w:t xml:space="preserve">Tabela 21: </w:t>
        </w:r>
        <w:r w:rsidR="002C0E6D">
          <w:rPr>
            <w:rStyle w:val="Hyperlink"/>
            <w:rFonts w:asciiTheme="majorHAnsi" w:eastAsiaTheme="majorEastAsia" w:hAnsiTheme="majorHAnsi"/>
            <w:i/>
            <w:noProof/>
            <w:color w:val="548DD4" w:themeColor="text2" w:themeTint="99"/>
            <w:sz w:val="22"/>
            <w:szCs w:val="22"/>
            <w:lang w:val="sq-AL"/>
          </w:rPr>
          <w:t>Turizmi d</w:t>
        </w:r>
        <w:r w:rsidR="002C0E6D" w:rsidRPr="002C0E6D">
          <w:rPr>
            <w:rStyle w:val="Hyperlink"/>
            <w:rFonts w:asciiTheme="majorHAnsi" w:eastAsiaTheme="majorEastAsia" w:hAnsiTheme="majorHAnsi"/>
            <w:i/>
            <w:noProof/>
            <w:color w:val="548DD4" w:themeColor="text2" w:themeTint="99"/>
            <w:sz w:val="22"/>
            <w:szCs w:val="22"/>
            <w:lang w:val="sq-AL"/>
          </w:rPr>
          <w:t>he Mjedisi</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_Toc76470075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74</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76" w:history="1">
        <w:r w:rsidR="002C0E6D" w:rsidRPr="002C0E6D">
          <w:rPr>
            <w:rStyle w:val="Hyperlink"/>
            <w:rFonts w:asciiTheme="majorHAnsi" w:eastAsiaTheme="majorEastAsia" w:hAnsiTheme="majorHAnsi"/>
            <w:i/>
            <w:noProof/>
            <w:color w:val="548DD4" w:themeColor="text2" w:themeTint="99"/>
            <w:sz w:val="22"/>
            <w:szCs w:val="22"/>
          </w:rPr>
          <w:t>Tabela 34: Institucionet e Sistemit të Drejtësisë</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_Toc76470076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76</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77" w:history="1">
        <w:r w:rsidR="002C0E6D" w:rsidRPr="002C0E6D">
          <w:rPr>
            <w:rStyle w:val="Hyperlink"/>
            <w:rFonts w:asciiTheme="majorHAnsi" w:eastAsiaTheme="majorEastAsia" w:hAnsiTheme="majorHAnsi"/>
            <w:i/>
            <w:noProof/>
            <w:color w:val="548DD4" w:themeColor="text2" w:themeTint="99"/>
            <w:sz w:val="22"/>
            <w:szCs w:val="22"/>
          </w:rPr>
          <w:t>Tabela 23: Mbrojtja</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_Toc76470077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79</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78" w:history="1">
        <w:r w:rsidR="002C0E6D" w:rsidRPr="002C0E6D">
          <w:rPr>
            <w:rStyle w:val="Hyperlink"/>
            <w:rFonts w:asciiTheme="majorHAnsi" w:eastAsiaTheme="majorEastAsia" w:hAnsiTheme="majorHAnsi"/>
            <w:i/>
            <w:noProof/>
            <w:color w:val="548DD4" w:themeColor="text2" w:themeTint="99"/>
            <w:sz w:val="22"/>
            <w:szCs w:val="22"/>
            <w:lang w:val="fr-FR"/>
          </w:rPr>
          <w:t>Tabela 24:  Rendi dhe Siguria Publike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_Toc76470078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82</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079" w:history="1">
        <w:r w:rsidR="002C0E6D" w:rsidRPr="002C0E6D">
          <w:rPr>
            <w:rStyle w:val="Hyperlink"/>
            <w:rFonts w:asciiTheme="majorHAnsi" w:eastAsiaTheme="majorEastAsia" w:hAnsiTheme="majorHAnsi"/>
            <w:i/>
            <w:noProof/>
            <w:color w:val="548DD4" w:themeColor="text2" w:themeTint="99"/>
            <w:sz w:val="22"/>
            <w:szCs w:val="22"/>
          </w:rPr>
          <w:t>Tabela 25: Kultura</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_Toc76470079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85</w:t>
        </w:r>
        <w:r w:rsidR="002C0E6D" w:rsidRPr="002C0E6D">
          <w:rPr>
            <w:rFonts w:asciiTheme="majorHAnsi" w:hAnsiTheme="majorHAnsi"/>
            <w:noProof/>
            <w:webHidden/>
            <w:color w:val="548DD4" w:themeColor="text2" w:themeTint="99"/>
            <w:sz w:val="22"/>
            <w:szCs w:val="22"/>
          </w:rPr>
          <w:fldChar w:fldCharType="end"/>
        </w:r>
      </w:hyperlink>
    </w:p>
    <w:p w:rsidR="00C74FE0" w:rsidRDefault="00070183" w:rsidP="003D3F53">
      <w:pPr>
        <w:pStyle w:val="TableofFigures"/>
        <w:tabs>
          <w:tab w:val="right" w:leader="dot" w:pos="9620"/>
        </w:tabs>
        <w:spacing w:line="276" w:lineRule="auto"/>
        <w:rPr>
          <w:rStyle w:val="Hyperlink"/>
          <w:rFonts w:eastAsiaTheme="majorEastAsia"/>
          <w:i/>
          <w:noProof/>
          <w:color w:val="31849B" w:themeColor="accent5" w:themeShade="BF"/>
          <w:sz w:val="20"/>
          <w:szCs w:val="22"/>
          <w:lang w:val="sq-AL"/>
        </w:rPr>
      </w:pPr>
      <w:r w:rsidRPr="002C0E6D">
        <w:rPr>
          <w:rStyle w:val="Hyperlink"/>
          <w:rFonts w:asciiTheme="majorHAnsi" w:eastAsiaTheme="majorEastAsia" w:hAnsiTheme="majorHAnsi"/>
          <w:i/>
          <w:noProof/>
          <w:color w:val="548DD4" w:themeColor="text2" w:themeTint="99"/>
          <w:sz w:val="22"/>
          <w:szCs w:val="22"/>
          <w:lang w:val="sq-AL"/>
        </w:rPr>
        <w:fldChar w:fldCharType="end"/>
      </w:r>
    </w:p>
    <w:p w:rsidR="004008C0" w:rsidRDefault="004008C0" w:rsidP="004008C0">
      <w:pPr>
        <w:pStyle w:val="Heading1"/>
        <w:spacing w:before="0"/>
      </w:pPr>
    </w:p>
    <w:p w:rsidR="004008C0" w:rsidRPr="002C0E6D" w:rsidRDefault="002C0E6D" w:rsidP="00B4223B">
      <w:pPr>
        <w:pStyle w:val="Heading1"/>
        <w:spacing w:before="0" w:line="276" w:lineRule="auto"/>
        <w:jc w:val="center"/>
        <w:rPr>
          <w:color w:val="548DD4" w:themeColor="text2" w:themeTint="99"/>
          <w:szCs w:val="22"/>
        </w:rPr>
      </w:pPr>
      <w:bookmarkStart w:id="4" w:name="_Toc76470012"/>
      <w:r w:rsidRPr="002C0E6D">
        <w:rPr>
          <w:color w:val="548DD4" w:themeColor="text2" w:themeTint="99"/>
          <w:szCs w:val="22"/>
        </w:rPr>
        <w:t>LISTA E GRAFIKËVE</w:t>
      </w:r>
      <w:bookmarkEnd w:id="4"/>
    </w:p>
    <w:p w:rsidR="004008C0" w:rsidRPr="00B4223B" w:rsidRDefault="004008C0" w:rsidP="00B4223B">
      <w:pPr>
        <w:spacing w:line="276" w:lineRule="auto"/>
        <w:rPr>
          <w:rFonts w:asciiTheme="majorHAnsi" w:eastAsiaTheme="majorEastAsia" w:hAnsiTheme="majorHAnsi"/>
          <w:i/>
          <w:sz w:val="20"/>
          <w:szCs w:val="22"/>
          <w:lang w:val="sq-AL"/>
        </w:rPr>
      </w:pPr>
    </w:p>
    <w:p w:rsidR="002C0E6D" w:rsidRPr="002C0E6D" w:rsidRDefault="005D4A4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r w:rsidRPr="002C0E6D">
        <w:rPr>
          <w:rStyle w:val="Hyperlink"/>
          <w:rFonts w:asciiTheme="majorHAnsi" w:eastAsiaTheme="majorEastAsia" w:hAnsiTheme="majorHAnsi"/>
          <w:i/>
          <w:noProof/>
          <w:color w:val="548DD4" w:themeColor="text2" w:themeTint="99"/>
          <w:sz w:val="22"/>
          <w:szCs w:val="22"/>
          <w:lang w:val="sq-AL"/>
        </w:rPr>
        <w:fldChar w:fldCharType="begin"/>
      </w:r>
      <w:r w:rsidRPr="002C0E6D">
        <w:rPr>
          <w:rStyle w:val="Hyperlink"/>
          <w:rFonts w:asciiTheme="majorHAnsi" w:eastAsiaTheme="majorEastAsia" w:hAnsiTheme="majorHAnsi"/>
          <w:i/>
          <w:noProof/>
          <w:color w:val="548DD4" w:themeColor="text2" w:themeTint="99"/>
          <w:sz w:val="22"/>
          <w:szCs w:val="22"/>
          <w:lang w:val="sq-AL"/>
        </w:rPr>
        <w:instrText xml:space="preserve"> TOC \h \z \c "Grafiku" </w:instrText>
      </w:r>
      <w:r w:rsidRPr="002C0E6D">
        <w:rPr>
          <w:rStyle w:val="Hyperlink"/>
          <w:rFonts w:asciiTheme="majorHAnsi" w:eastAsiaTheme="majorEastAsia" w:hAnsiTheme="majorHAnsi"/>
          <w:i/>
          <w:noProof/>
          <w:color w:val="548DD4" w:themeColor="text2" w:themeTint="99"/>
          <w:sz w:val="22"/>
          <w:szCs w:val="22"/>
          <w:lang w:val="sq-AL"/>
        </w:rPr>
        <w:fldChar w:fldCharType="separate"/>
      </w:r>
      <w:hyperlink w:anchor="_Toc76470120" w:history="1">
        <w:r w:rsidR="002C0E6D" w:rsidRPr="002C0E6D">
          <w:rPr>
            <w:rStyle w:val="Hyperlink"/>
            <w:rFonts w:asciiTheme="majorHAnsi" w:eastAsiaTheme="majorEastAsia" w:hAnsiTheme="majorHAnsi"/>
            <w:i/>
            <w:noProof/>
            <w:color w:val="548DD4" w:themeColor="text2" w:themeTint="99"/>
            <w:sz w:val="22"/>
            <w:szCs w:val="22"/>
            <w:lang w:val="sq-AL"/>
          </w:rPr>
          <w:t>Grafiku 1: Të ardhurat Doganore për Janar- Maj 2021, mujore dhe progresive (në milion lekë)</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_Toc76470120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10</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21" w:history="1">
        <w:r w:rsidR="002C0E6D" w:rsidRPr="002C0E6D">
          <w:rPr>
            <w:rStyle w:val="Hyperlink"/>
            <w:rFonts w:asciiTheme="majorHAnsi" w:eastAsiaTheme="majorEastAsia" w:hAnsiTheme="majorHAnsi"/>
            <w:i/>
            <w:noProof/>
            <w:color w:val="548DD4" w:themeColor="text2" w:themeTint="99"/>
            <w:sz w:val="22"/>
            <w:szCs w:val="22"/>
            <w:lang w:val="sq-AL"/>
          </w:rPr>
          <w:t>Grafiku 2: Kontribuesit kryesor në të ardhurat doganore Janar- Maj 2021/2020 (në milion lekë)</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_Toc76470121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10</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22" w:history="1">
        <w:r w:rsidR="002C0E6D" w:rsidRPr="002C0E6D">
          <w:rPr>
            <w:rStyle w:val="Hyperlink"/>
            <w:rFonts w:asciiTheme="majorHAnsi" w:eastAsiaTheme="majorEastAsia" w:hAnsiTheme="majorHAnsi"/>
            <w:i/>
            <w:noProof/>
            <w:color w:val="548DD4" w:themeColor="text2" w:themeTint="99"/>
            <w:sz w:val="22"/>
            <w:szCs w:val="22"/>
            <w:lang w:val="sq-AL"/>
          </w:rPr>
          <w:t>Grafiku 3: Të ardhurat nga Tatimet Janar- Maj 2021, Mujore dhe Progresive (në milionë lekë)</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_Toc76470122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12</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23" w:history="1">
        <w:r w:rsidR="002C0E6D" w:rsidRPr="002C0E6D">
          <w:rPr>
            <w:rStyle w:val="Hyperlink"/>
            <w:rFonts w:asciiTheme="majorHAnsi" w:eastAsiaTheme="majorEastAsia" w:hAnsiTheme="majorHAnsi"/>
            <w:i/>
            <w:noProof/>
            <w:color w:val="548DD4" w:themeColor="text2" w:themeTint="99"/>
            <w:sz w:val="22"/>
            <w:szCs w:val="22"/>
            <w:lang w:val="sq-AL"/>
          </w:rPr>
          <w:t>Grafiku 4: Të ardhurat nga Tatim Fitimi, 5 mujori në vite (në miliardë lekë)</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_Toc76470123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13</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24" w:history="1">
        <w:r w:rsidR="002C0E6D" w:rsidRPr="002C0E6D">
          <w:rPr>
            <w:rStyle w:val="Hyperlink"/>
            <w:rFonts w:asciiTheme="majorHAnsi" w:eastAsiaTheme="majorEastAsia" w:hAnsiTheme="majorHAnsi"/>
            <w:i/>
            <w:noProof/>
            <w:color w:val="548DD4" w:themeColor="text2" w:themeTint="99"/>
            <w:sz w:val="22"/>
            <w:szCs w:val="22"/>
          </w:rPr>
          <w:t>Grafiku 5: Borxhi publik në vlerë absolute dhe relative ndaj PBB (2016–Mars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_Toc76470124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38</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25" w:history="1">
        <w:r w:rsidR="002C0E6D" w:rsidRPr="002C0E6D">
          <w:rPr>
            <w:rStyle w:val="Hyperlink"/>
            <w:rFonts w:asciiTheme="majorHAnsi" w:eastAsiaTheme="majorEastAsia" w:hAnsiTheme="majorHAnsi"/>
            <w:i/>
            <w:noProof/>
            <w:color w:val="548DD4" w:themeColor="text2" w:themeTint="99"/>
            <w:sz w:val="22"/>
            <w:szCs w:val="22"/>
          </w:rPr>
          <w:t>Grafiku 6: Përbërja e borxhit të qeverisjes qendrore në raport me totalin (2016-Mars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_Toc76470125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39</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26" w:history="1">
        <w:r w:rsidR="002C0E6D" w:rsidRPr="002C0E6D">
          <w:rPr>
            <w:rStyle w:val="Hyperlink"/>
            <w:rFonts w:asciiTheme="majorHAnsi" w:eastAsiaTheme="majorEastAsia" w:hAnsiTheme="majorHAnsi"/>
            <w:i/>
            <w:noProof/>
            <w:color w:val="548DD4" w:themeColor="text2" w:themeTint="99"/>
            <w:sz w:val="22"/>
            <w:szCs w:val="22"/>
          </w:rPr>
          <w:t>Grafiku 7: Kompozimi i portofolit të borxhit shtetëror sipas instrumenteve (2016–Mars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_Toc76470126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39</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27" w:history="1">
        <w:r w:rsidR="002C0E6D" w:rsidRPr="002C0E6D">
          <w:rPr>
            <w:rStyle w:val="Hyperlink"/>
            <w:rFonts w:asciiTheme="majorHAnsi" w:eastAsiaTheme="majorEastAsia" w:hAnsiTheme="majorHAnsi"/>
            <w:i/>
            <w:noProof/>
            <w:color w:val="548DD4" w:themeColor="text2" w:themeTint="99"/>
            <w:sz w:val="22"/>
            <w:szCs w:val="22"/>
          </w:rPr>
          <w:t>Grafiku 8: Kompozimi i borxhit të brendshëm shtetëror (2016-Mars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_Toc76470127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39</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28" w:history="1">
        <w:r w:rsidR="002C0E6D" w:rsidRPr="002C0E6D">
          <w:rPr>
            <w:rStyle w:val="Hyperlink"/>
            <w:rFonts w:asciiTheme="majorHAnsi" w:eastAsiaTheme="majorEastAsia" w:hAnsiTheme="majorHAnsi"/>
            <w:i/>
            <w:noProof/>
            <w:color w:val="548DD4" w:themeColor="text2" w:themeTint="99"/>
            <w:sz w:val="22"/>
            <w:szCs w:val="22"/>
          </w:rPr>
          <w:t>Grafiku 9: Kompozimi i borxhit të jashtëm shtetëror sipas interesit&amp;instrumenteve (2016-Mars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_Toc76470128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40</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29" w:history="1">
        <w:r w:rsidR="002C0E6D" w:rsidRPr="002C0E6D">
          <w:rPr>
            <w:rStyle w:val="Hyperlink"/>
            <w:rFonts w:asciiTheme="majorHAnsi" w:eastAsiaTheme="majorEastAsia" w:hAnsiTheme="majorHAnsi"/>
            <w:i/>
            <w:noProof/>
            <w:color w:val="548DD4" w:themeColor="text2" w:themeTint="99"/>
            <w:sz w:val="22"/>
            <w:szCs w:val="22"/>
          </w:rPr>
          <w:t>Grafiku 10: Huamarrja e brendshme në raport me të ardhurat tatimore (TM. I 2016-TM. I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_Toc76470129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41</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30" w:history="1">
        <w:r w:rsidR="002C0E6D" w:rsidRPr="002C0E6D">
          <w:rPr>
            <w:rStyle w:val="Hyperlink"/>
            <w:rFonts w:asciiTheme="majorHAnsi" w:eastAsiaTheme="majorEastAsia" w:hAnsiTheme="majorHAnsi"/>
            <w:i/>
            <w:noProof/>
            <w:color w:val="548DD4" w:themeColor="text2" w:themeTint="99"/>
            <w:sz w:val="22"/>
            <w:szCs w:val="22"/>
          </w:rPr>
          <w:t>Grafiku 11: Interesat e borxhit shtetëror në vlerë absolute dhe relative, ndaj PBB dhe të ardhurave tatimore (TM. I 2016-TM. I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_Toc76470130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42</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31" w:history="1">
        <w:r w:rsidR="002C0E6D" w:rsidRPr="002C0E6D">
          <w:rPr>
            <w:rStyle w:val="Hyperlink"/>
            <w:rFonts w:asciiTheme="majorHAnsi" w:eastAsiaTheme="majorEastAsia" w:hAnsiTheme="majorHAnsi"/>
            <w:i/>
            <w:noProof/>
            <w:color w:val="548DD4" w:themeColor="text2" w:themeTint="99"/>
            <w:sz w:val="22"/>
            <w:szCs w:val="22"/>
          </w:rPr>
          <w:t>Grafiku 12: Jetëgjatësia&amp;kosto mesatare e portofolit të borxhit të brendshëm shtetëror (</w:t>
        </w:r>
        <w:r w:rsidR="002C0E6D" w:rsidRPr="00BD070D">
          <w:rPr>
            <w:rStyle w:val="Hyperlink"/>
            <w:rFonts w:asciiTheme="majorHAnsi" w:eastAsiaTheme="majorEastAsia" w:hAnsiTheme="majorHAnsi"/>
            <w:i/>
            <w:noProof/>
            <w:color w:val="548DD4" w:themeColor="text2" w:themeTint="99"/>
            <w:sz w:val="18"/>
            <w:szCs w:val="22"/>
          </w:rPr>
          <w:t>2016-Mars 2021</w:t>
        </w:r>
        <w:r w:rsidR="002C0E6D" w:rsidRPr="002C0E6D">
          <w:rPr>
            <w:rStyle w:val="Hyperlink"/>
            <w:rFonts w:asciiTheme="majorHAnsi" w:eastAsiaTheme="majorEastAsia" w:hAnsiTheme="majorHAnsi"/>
            <w:i/>
            <w:noProof/>
            <w:color w:val="548DD4" w:themeColor="text2" w:themeTint="99"/>
            <w:sz w:val="22"/>
            <w:szCs w:val="22"/>
          </w:rPr>
          <w:t>)</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_Toc76470131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42</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32" w:history="1">
        <w:r w:rsidR="002C0E6D" w:rsidRPr="002C0E6D">
          <w:rPr>
            <w:rStyle w:val="Hyperlink"/>
            <w:rFonts w:asciiTheme="majorHAnsi" w:eastAsiaTheme="majorEastAsia" w:hAnsiTheme="majorHAnsi"/>
            <w:i/>
            <w:noProof/>
            <w:color w:val="548DD4" w:themeColor="text2" w:themeTint="99"/>
            <w:sz w:val="22"/>
            <w:szCs w:val="22"/>
          </w:rPr>
          <w:t>Grafiku 13: Raporti i mbulimit të ankandeve të titujve shtetërorë (Janar–Mars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_Toc76470132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43</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33" w:history="1">
        <w:r w:rsidR="002C0E6D" w:rsidRPr="002C0E6D">
          <w:rPr>
            <w:rStyle w:val="Hyperlink"/>
            <w:rFonts w:asciiTheme="majorHAnsi" w:eastAsiaTheme="majorEastAsia" w:hAnsiTheme="majorHAnsi"/>
            <w:i/>
            <w:noProof/>
            <w:color w:val="548DD4" w:themeColor="text2" w:themeTint="99"/>
            <w:sz w:val="22"/>
            <w:szCs w:val="22"/>
          </w:rPr>
          <w:t>Grafiku 14: Norma mesatare e ponderuar e titujve shtetërorë (2019-Mars 2021)</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_Toc76470133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44</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34" w:history="1">
        <w:r w:rsidR="002C0E6D" w:rsidRPr="002C0E6D">
          <w:rPr>
            <w:rStyle w:val="Hyperlink"/>
            <w:rFonts w:asciiTheme="majorHAnsi" w:eastAsiaTheme="majorEastAsia" w:hAnsiTheme="majorHAnsi"/>
            <w:i/>
            <w:noProof/>
            <w:color w:val="548DD4" w:themeColor="text2" w:themeTint="99"/>
            <w:sz w:val="22"/>
            <w:szCs w:val="22"/>
          </w:rPr>
          <w:t>Grafiku 15: Rritja mujore e totalit të eksporteve, në përqindje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_Toc76470134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59</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35" w:history="1">
        <w:r w:rsidR="002C0E6D" w:rsidRPr="002C0E6D">
          <w:rPr>
            <w:rStyle w:val="Hyperlink"/>
            <w:rFonts w:asciiTheme="majorHAnsi" w:eastAsiaTheme="majorEastAsia" w:hAnsiTheme="majorHAnsi"/>
            <w:i/>
            <w:noProof/>
            <w:color w:val="548DD4" w:themeColor="text2" w:themeTint="99"/>
            <w:sz w:val="22"/>
            <w:szCs w:val="22"/>
            <w:lang w:val="sq-AL"/>
          </w:rPr>
          <w:t>Grafiku 16: Rritja mujore e totalit të importeve, në përqindje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_Toc76470135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60</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36" w:history="1">
        <w:r w:rsidR="002C0E6D" w:rsidRPr="002C0E6D">
          <w:rPr>
            <w:rStyle w:val="Hyperlink"/>
            <w:rFonts w:asciiTheme="majorHAnsi" w:eastAsiaTheme="majorEastAsia" w:hAnsiTheme="majorHAnsi"/>
            <w:i/>
            <w:noProof/>
            <w:color w:val="548DD4" w:themeColor="text2" w:themeTint="99"/>
            <w:sz w:val="22"/>
            <w:szCs w:val="22"/>
            <w:lang w:val="sq-AL"/>
          </w:rPr>
          <w:t>Grafiku 17: Ndryshimi vjetor i Inflacionit, në përqindje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_Toc76470136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61</w:t>
        </w:r>
        <w:r w:rsidR="002C0E6D" w:rsidRPr="002C0E6D">
          <w:rPr>
            <w:rFonts w:asciiTheme="majorHAnsi" w:hAnsiTheme="majorHAnsi"/>
            <w:noProof/>
            <w:webHidden/>
            <w:color w:val="548DD4" w:themeColor="text2" w:themeTint="99"/>
            <w:sz w:val="22"/>
            <w:szCs w:val="22"/>
          </w:rPr>
          <w:fldChar w:fldCharType="end"/>
        </w:r>
      </w:hyperlink>
    </w:p>
    <w:p w:rsidR="002C0E6D" w:rsidRPr="002C0E6D" w:rsidRDefault="00340A19" w:rsidP="003D3F53">
      <w:pPr>
        <w:pStyle w:val="TableofFigures"/>
        <w:tabs>
          <w:tab w:val="right" w:leader="dot" w:pos="9623"/>
        </w:tabs>
        <w:spacing w:line="276" w:lineRule="auto"/>
        <w:rPr>
          <w:rFonts w:asciiTheme="majorHAnsi" w:eastAsiaTheme="minorEastAsia" w:hAnsiTheme="majorHAnsi" w:cstheme="minorBidi"/>
          <w:noProof/>
          <w:color w:val="548DD4" w:themeColor="text2" w:themeTint="99"/>
          <w:sz w:val="22"/>
          <w:szCs w:val="22"/>
        </w:rPr>
      </w:pPr>
      <w:hyperlink w:anchor="_Toc76470137" w:history="1">
        <w:r w:rsidR="002C0E6D" w:rsidRPr="002C0E6D">
          <w:rPr>
            <w:rStyle w:val="Hyperlink"/>
            <w:rFonts w:asciiTheme="majorHAnsi" w:eastAsiaTheme="majorEastAsia" w:hAnsiTheme="majorHAnsi"/>
            <w:i/>
            <w:noProof/>
            <w:color w:val="548DD4" w:themeColor="text2" w:themeTint="99"/>
            <w:sz w:val="22"/>
            <w:szCs w:val="22"/>
            <w:lang w:val="sq-AL"/>
          </w:rPr>
          <w:t>Grafiku 18: Ecuria e stokut të depozitave 2020-2021, në përqindje</w:t>
        </w:r>
        <w:r w:rsidR="002C0E6D" w:rsidRPr="002C0E6D">
          <w:rPr>
            <w:rFonts w:asciiTheme="majorHAnsi" w:hAnsiTheme="majorHAnsi"/>
            <w:noProof/>
            <w:webHidden/>
            <w:color w:val="548DD4" w:themeColor="text2" w:themeTint="99"/>
            <w:sz w:val="22"/>
            <w:szCs w:val="22"/>
          </w:rPr>
          <w:tab/>
        </w:r>
        <w:r w:rsidR="002C0E6D" w:rsidRPr="002C0E6D">
          <w:rPr>
            <w:rFonts w:asciiTheme="majorHAnsi" w:hAnsiTheme="majorHAnsi"/>
            <w:noProof/>
            <w:webHidden/>
            <w:color w:val="548DD4" w:themeColor="text2" w:themeTint="99"/>
            <w:sz w:val="22"/>
            <w:szCs w:val="22"/>
          </w:rPr>
          <w:fldChar w:fldCharType="begin"/>
        </w:r>
        <w:r w:rsidR="002C0E6D" w:rsidRPr="002C0E6D">
          <w:rPr>
            <w:rFonts w:asciiTheme="majorHAnsi" w:hAnsiTheme="majorHAnsi"/>
            <w:noProof/>
            <w:webHidden/>
            <w:color w:val="548DD4" w:themeColor="text2" w:themeTint="99"/>
            <w:sz w:val="22"/>
            <w:szCs w:val="22"/>
          </w:rPr>
          <w:instrText xml:space="preserve"> PAGEREF _Toc76470137 \h </w:instrText>
        </w:r>
        <w:r w:rsidR="002C0E6D" w:rsidRPr="002C0E6D">
          <w:rPr>
            <w:rFonts w:asciiTheme="majorHAnsi" w:hAnsiTheme="majorHAnsi"/>
            <w:noProof/>
            <w:webHidden/>
            <w:color w:val="548DD4" w:themeColor="text2" w:themeTint="99"/>
            <w:sz w:val="22"/>
            <w:szCs w:val="22"/>
          </w:rPr>
        </w:r>
        <w:r w:rsidR="002C0E6D" w:rsidRPr="002C0E6D">
          <w:rPr>
            <w:rFonts w:asciiTheme="majorHAnsi" w:hAnsiTheme="majorHAnsi"/>
            <w:noProof/>
            <w:webHidden/>
            <w:color w:val="548DD4" w:themeColor="text2" w:themeTint="99"/>
            <w:sz w:val="22"/>
            <w:szCs w:val="22"/>
          </w:rPr>
          <w:fldChar w:fldCharType="separate"/>
        </w:r>
        <w:r w:rsidR="002C0E6D" w:rsidRPr="002C0E6D">
          <w:rPr>
            <w:rFonts w:asciiTheme="majorHAnsi" w:hAnsiTheme="majorHAnsi"/>
            <w:noProof/>
            <w:webHidden/>
            <w:color w:val="548DD4" w:themeColor="text2" w:themeTint="99"/>
            <w:sz w:val="22"/>
            <w:szCs w:val="22"/>
          </w:rPr>
          <w:t>62</w:t>
        </w:r>
        <w:r w:rsidR="002C0E6D" w:rsidRPr="002C0E6D">
          <w:rPr>
            <w:rFonts w:asciiTheme="majorHAnsi" w:hAnsiTheme="majorHAnsi"/>
            <w:noProof/>
            <w:webHidden/>
            <w:color w:val="548DD4" w:themeColor="text2" w:themeTint="99"/>
            <w:sz w:val="22"/>
            <w:szCs w:val="22"/>
          </w:rPr>
          <w:fldChar w:fldCharType="end"/>
        </w:r>
      </w:hyperlink>
    </w:p>
    <w:p w:rsidR="007A09E2" w:rsidRPr="00524EBF" w:rsidRDefault="005D4A49" w:rsidP="003D3F53">
      <w:pPr>
        <w:pStyle w:val="TableofFigures"/>
        <w:tabs>
          <w:tab w:val="right" w:leader="dot" w:pos="9620"/>
        </w:tabs>
        <w:spacing w:line="276" w:lineRule="auto"/>
        <w:rPr>
          <w:rStyle w:val="Hyperlink"/>
          <w:rFonts w:eastAsiaTheme="majorEastAsia"/>
          <w:i/>
          <w:noProof/>
          <w:color w:val="31849B" w:themeColor="accent5" w:themeShade="BF"/>
          <w:sz w:val="20"/>
          <w:szCs w:val="22"/>
          <w:lang w:val="sq-AL"/>
        </w:rPr>
        <w:sectPr w:rsidR="007A09E2" w:rsidRPr="00524EBF" w:rsidSect="007A09E2">
          <w:headerReference w:type="first" r:id="rId9"/>
          <w:pgSz w:w="11907" w:h="16839" w:code="9"/>
          <w:pgMar w:top="851" w:right="1106" w:bottom="737" w:left="1168" w:header="720" w:footer="720" w:gutter="0"/>
          <w:cols w:space="720"/>
          <w:titlePg/>
          <w:docGrid w:linePitch="360"/>
        </w:sectPr>
      </w:pPr>
      <w:r w:rsidRPr="002C0E6D">
        <w:rPr>
          <w:rStyle w:val="Hyperlink"/>
          <w:rFonts w:asciiTheme="majorHAnsi" w:eastAsiaTheme="majorEastAsia" w:hAnsiTheme="majorHAnsi"/>
          <w:i/>
          <w:noProof/>
          <w:color w:val="548DD4" w:themeColor="text2" w:themeTint="99"/>
          <w:sz w:val="22"/>
          <w:szCs w:val="22"/>
          <w:lang w:val="sq-AL"/>
        </w:rPr>
        <w:fldChar w:fldCharType="end"/>
      </w:r>
    </w:p>
    <w:p w:rsidR="00685257" w:rsidRPr="0065598A" w:rsidRDefault="00685257" w:rsidP="00B95810">
      <w:pPr>
        <w:pStyle w:val="Heading1"/>
        <w:numPr>
          <w:ilvl w:val="0"/>
          <w:numId w:val="1"/>
        </w:numPr>
        <w:spacing w:before="0"/>
        <w:ind w:left="720"/>
        <w:rPr>
          <w:sz w:val="32"/>
          <w:u w:val="none"/>
        </w:rPr>
      </w:pPr>
      <w:bookmarkStart w:id="5" w:name="_Toc76470013"/>
      <w:r w:rsidRPr="0065598A">
        <w:rPr>
          <w:sz w:val="32"/>
          <w:u w:val="none"/>
        </w:rPr>
        <w:lastRenderedPageBreak/>
        <w:t>ZHVILLIMET NË EKONOMINË SHQIPTARE</w:t>
      </w:r>
      <w:bookmarkEnd w:id="5"/>
      <w:r w:rsidR="00FD3DF0">
        <w:rPr>
          <w:sz w:val="32"/>
          <w:u w:val="none"/>
        </w:rPr>
        <w:t xml:space="preserve"> </w:t>
      </w:r>
    </w:p>
    <w:p w:rsidR="000F540A" w:rsidRPr="0065598A" w:rsidRDefault="009216BE" w:rsidP="002334F6">
      <w:pPr>
        <w:pStyle w:val="Heading2"/>
      </w:pPr>
      <w:bookmarkStart w:id="6" w:name="_Toc76470014"/>
      <w:r w:rsidRPr="0065598A">
        <w:t>I.1</w:t>
      </w:r>
      <w:r w:rsidRPr="0065598A">
        <w:tab/>
      </w:r>
      <w:r w:rsidR="0094558D" w:rsidRPr="0065598A">
        <w:t>Ecuria e treguesve makroekonomikë</w:t>
      </w:r>
      <w:r w:rsidR="00DD1580" w:rsidRPr="0065598A">
        <w:t xml:space="preserve"> p</w:t>
      </w:r>
      <w:r w:rsidR="00AA2D73" w:rsidRPr="0065598A">
        <w:t>ë</w:t>
      </w:r>
      <w:r w:rsidR="00DD1580" w:rsidRPr="0065598A">
        <w:t>r periudh</w:t>
      </w:r>
      <w:r w:rsidR="00AA2D73" w:rsidRPr="0065598A">
        <w:t>ë</w:t>
      </w:r>
      <w:r w:rsidR="00DD1580" w:rsidRPr="0065598A">
        <w:t>n janar-</w:t>
      </w:r>
      <w:r w:rsidR="00D90476" w:rsidRPr="0065598A">
        <w:t>maj</w:t>
      </w:r>
      <w:r w:rsidR="00971C15" w:rsidRPr="0065598A">
        <w:rPr>
          <w:rStyle w:val="FootnoteReference"/>
        </w:rPr>
        <w:footnoteReference w:id="1"/>
      </w:r>
      <w:r w:rsidR="00DD1580" w:rsidRPr="0065598A">
        <w:t xml:space="preserve"> 20</w:t>
      </w:r>
      <w:r w:rsidR="008507F6" w:rsidRPr="0065598A">
        <w:t>2</w:t>
      </w:r>
      <w:r w:rsidR="004C7BDF">
        <w:t>1</w:t>
      </w:r>
      <w:bookmarkEnd w:id="6"/>
      <w:r w:rsidR="00685257" w:rsidRPr="0065598A">
        <w:t xml:space="preserve"> </w:t>
      </w:r>
    </w:p>
    <w:p w:rsidR="00B31CF7" w:rsidRPr="005C5B2F" w:rsidRDefault="00B31CF7" w:rsidP="00B31CF7">
      <w:pPr>
        <w:spacing w:before="240" w:after="120" w:line="276" w:lineRule="auto"/>
        <w:jc w:val="both"/>
        <w:rPr>
          <w:rFonts w:asciiTheme="minorHAnsi" w:hAnsiTheme="minorHAnsi" w:cstheme="minorHAnsi"/>
          <w:noProof/>
          <w:lang w:val="sq-AL"/>
        </w:rPr>
      </w:pPr>
      <w:r w:rsidRPr="005C5B2F">
        <w:rPr>
          <w:rFonts w:asciiTheme="minorHAnsi" w:hAnsiTheme="minorHAnsi" w:cstheme="minorHAnsi"/>
          <w:noProof/>
          <w:lang w:val="sq-AL"/>
        </w:rPr>
        <w:t>Mbë</w:t>
      </w:r>
      <w:r>
        <w:rPr>
          <w:rFonts w:asciiTheme="minorHAnsi" w:hAnsiTheme="minorHAnsi" w:cstheme="minorHAnsi"/>
          <w:noProof/>
          <w:lang w:val="sq-AL"/>
        </w:rPr>
        <w:t>shtetur në</w:t>
      </w:r>
      <w:r w:rsidRPr="005C5B2F">
        <w:rPr>
          <w:rFonts w:asciiTheme="minorHAnsi" w:hAnsiTheme="minorHAnsi" w:cstheme="minorHAnsi"/>
          <w:noProof/>
          <w:lang w:val="sq-AL"/>
        </w:rPr>
        <w:t xml:space="preserve"> infomacionet më të fundit të disponueshme, </w:t>
      </w:r>
      <w:r w:rsidRPr="005C5B2F">
        <w:rPr>
          <w:rFonts w:asciiTheme="minorHAnsi" w:hAnsiTheme="minorHAnsi" w:cstheme="minorHAnsi"/>
          <w:noProof/>
        </w:rPr>
        <w:t>në tremujorin e katërt të vitit 2020, ekonomia Shqiptare u tërhoq nga tkurrja prej katër tremujorëve radhazi, dhe regjistroi një rritje prej 3.0% me bazë vjetore, ndjekur nga ritmet e rritjes prej -10.2% në tremujorin e dytë dhe -2.8% në tremujorin e tretë. Në tremujorin e katërt, konsumi privat u rrit me 1.6%, duke u rikuperuar nga tkurrja në tremujorin e dytë dhe tremujorin e tretë dhe konsumi qeveritar u rrit me 3.9% në terma vjetorë. Rritja e investimeve u përshpejtua nga 5.9% në tremujorin e tretë, në 10.9% në tremujorin e katërt.</w:t>
      </w:r>
    </w:p>
    <w:p w:rsidR="00B31CF7" w:rsidRPr="005C5B2F" w:rsidRDefault="00B31CF7" w:rsidP="00B31CF7">
      <w:pPr>
        <w:spacing w:before="240" w:after="120" w:line="276" w:lineRule="auto"/>
        <w:jc w:val="both"/>
        <w:rPr>
          <w:rFonts w:asciiTheme="minorHAnsi" w:hAnsiTheme="minorHAnsi" w:cstheme="minorHAnsi"/>
          <w:noProof/>
        </w:rPr>
      </w:pPr>
      <w:r w:rsidRPr="005C5B2F">
        <w:rPr>
          <w:rFonts w:asciiTheme="minorHAnsi" w:hAnsiTheme="minorHAnsi" w:cstheme="minorHAnsi"/>
          <w:noProof/>
          <w:lang w:val="sq-AL"/>
        </w:rPr>
        <w:t xml:space="preserve">Në fillim të vitit 2021, situata </w:t>
      </w:r>
      <w:r w:rsidRPr="005C5B2F">
        <w:rPr>
          <w:rFonts w:asciiTheme="minorHAnsi" w:hAnsiTheme="minorHAnsi" w:cstheme="minorHAnsi"/>
          <w:noProof/>
        </w:rPr>
        <w:t xml:space="preserve">e përgjithshme makroekonomike ka pasqyruar shenja rimëkëmbje, ndonëse efektet e pandemisë në aktivitetin ekonomik mbeten ende të pranishme. Rritja ekonomike, gjatë tremujorit të fundit të vitit 2020 dhe përgjatë vitit 2021, ka kaluar në territor pozitiv, bazuar në zgjerimin e konsumit, investimeve dhe eksporteve, duke përfituar nga përmirësimi i besimit të biznesit dhe konsumatorit, nga ambienti monetar dhe financiar stimulues, nga zgjerimi i investimeve publike, si dhe së fundmi nga lehtësimi i masave kufizuese të ndërrmara për kontrollin e pandemisë. </w:t>
      </w:r>
    </w:p>
    <w:p w:rsidR="00B31CF7" w:rsidRPr="005C5B2F" w:rsidRDefault="00B31CF7" w:rsidP="00B31CF7">
      <w:pPr>
        <w:spacing w:before="240" w:after="120" w:line="276" w:lineRule="auto"/>
        <w:jc w:val="both"/>
        <w:rPr>
          <w:rFonts w:asciiTheme="minorHAnsi" w:hAnsiTheme="minorHAnsi" w:cstheme="minorHAnsi"/>
          <w:noProof/>
          <w:lang w:val="sq-AL"/>
        </w:rPr>
      </w:pPr>
      <w:r w:rsidRPr="005C5B2F">
        <w:rPr>
          <w:rFonts w:asciiTheme="minorHAnsi" w:hAnsiTheme="minorHAnsi" w:cstheme="minorHAnsi"/>
          <w:noProof/>
          <w:lang w:val="sq-AL"/>
        </w:rPr>
        <w:t>Deri në fund të vitit 2020, pasojat në tregun e punës nuk kanë qenë shumë shqetësuese, veçanërisht në lidhje me implikimet strukturore afatgjata, si rezultat i rihapjes graduale të ekonomisë dhe masave të marrave për subvencionimin e pagave. Shkalla e papunësisë për grup-moshёn 15 vjeç e lart në tremujorin e fundit të vitit 2020 ishte 11.8%, ndërsa në tremujor</w:t>
      </w:r>
      <w:r>
        <w:rPr>
          <w:rFonts w:asciiTheme="minorHAnsi" w:hAnsiTheme="minorHAnsi" w:cstheme="minorHAnsi"/>
          <w:noProof/>
          <w:lang w:val="sq-AL"/>
        </w:rPr>
        <w:t>i</w:t>
      </w:r>
      <w:r w:rsidRPr="005C5B2F">
        <w:rPr>
          <w:rFonts w:asciiTheme="minorHAnsi" w:hAnsiTheme="minorHAnsi" w:cstheme="minorHAnsi"/>
          <w:noProof/>
          <w:lang w:val="sq-AL"/>
        </w:rPr>
        <w:t>n e parë të 2021, pësoi një rritje të lehtë në nivelin prej 11.9%. Gjithashtu, punësimi u kontraktua me rreth 2.9% në tremujorin e parë të 2021, ku numri i tё punёsuarve nё Shqipёri ishte rreth 1,138,604 persona. Në terma vjetor, punësimi i përgjithshëm është ulur duke u reflektuar në rënien e indekseve të punësimit në industri të goditura rëndë nga pandemia, të tilla si transporti dhe bizneset e lidhur me mikpritjen, si dhe tekstilet dhe prodhimi i këpucëve. Shkalla e punёsimit ka arritur vlerёn 59.0% pёr grupmoshёn 15-64 vjeç, duke pësuar një rënie të lehtë nga mesatarja mё e lartё pёr tё paktёn dymbёdhjetё vitet e fundit.  Efektet e masave zbutëse të qeverisë në tregun e punës janë lehtësuar në periudhën e fundit (tremujori i katërt 2020 dhe tremujori i parë 2021).</w:t>
      </w:r>
    </w:p>
    <w:p w:rsidR="00B31CF7" w:rsidRPr="005C5B2F" w:rsidRDefault="00B31CF7" w:rsidP="00B31CF7">
      <w:pPr>
        <w:spacing w:before="240" w:after="120" w:line="276" w:lineRule="auto"/>
        <w:jc w:val="both"/>
        <w:rPr>
          <w:rFonts w:asciiTheme="minorHAnsi" w:hAnsiTheme="minorHAnsi" w:cstheme="minorHAnsi"/>
          <w:noProof/>
          <w:lang w:val="sq-AL"/>
        </w:rPr>
      </w:pPr>
      <w:r w:rsidRPr="005C5B2F">
        <w:rPr>
          <w:rFonts w:asciiTheme="minorHAnsi" w:hAnsiTheme="minorHAnsi" w:cstheme="minorHAnsi"/>
          <w:noProof/>
          <w:lang w:val="sq-AL"/>
        </w:rPr>
        <w:t xml:space="preserve">Një tjetër tregues i rëndësishëm që jep sinjale mbi rritjen ekonomike është treguesi i ndjesisë ekonomike (TNE) që në tremujorin e parë të vitit 2021 shënoi nivelin 91.8 duke </w:t>
      </w:r>
      <w:r>
        <w:rPr>
          <w:rFonts w:asciiTheme="minorHAnsi" w:hAnsiTheme="minorHAnsi" w:cstheme="minorHAnsi"/>
          <w:noProof/>
          <w:lang w:val="sq-AL"/>
        </w:rPr>
        <w:t>shënuar</w:t>
      </w:r>
      <w:r w:rsidRPr="005C5B2F">
        <w:rPr>
          <w:rFonts w:asciiTheme="minorHAnsi" w:hAnsiTheme="minorHAnsi" w:cstheme="minorHAnsi"/>
          <w:noProof/>
          <w:lang w:val="sq-AL"/>
        </w:rPr>
        <w:t xml:space="preserve"> një rritje prej 10.3 pikësh nga tremujori i kaluar dhe një rënie me 11.2 pikë përqindje në krahasim me </w:t>
      </w:r>
      <w:r w:rsidR="004C7BDF">
        <w:rPr>
          <w:rFonts w:asciiTheme="minorHAnsi" w:hAnsiTheme="minorHAnsi" w:cstheme="minorHAnsi"/>
          <w:noProof/>
          <w:lang w:val="sq-AL"/>
        </w:rPr>
        <w:t xml:space="preserve">               </w:t>
      </w:r>
      <w:r w:rsidRPr="005C5B2F">
        <w:rPr>
          <w:rFonts w:asciiTheme="minorHAnsi" w:hAnsiTheme="minorHAnsi" w:cstheme="minorHAnsi"/>
          <w:noProof/>
          <w:lang w:val="sq-AL"/>
        </w:rPr>
        <w:t>T1-2020. Niveli aktual i TNE-së qëndron 8.2 pikë nën mesataren afatgjatë (në nivelin 100), dhe rreth 7.8 pikë përqindje nën mesataren e 6 viteve të fundit (T1 2015 – T1 2021). Rritja tremujore e TNE-së i atribuohet si përmirësimit të besimit të bizneseve, ashtu edhe besimit të konsumatorëve.</w:t>
      </w:r>
    </w:p>
    <w:p w:rsidR="00CD7CF9" w:rsidRDefault="00CD7CF9" w:rsidP="00B31CF7">
      <w:pPr>
        <w:spacing w:before="240" w:after="120" w:line="276" w:lineRule="auto"/>
        <w:jc w:val="both"/>
        <w:rPr>
          <w:rFonts w:asciiTheme="minorHAnsi" w:hAnsiTheme="minorHAnsi" w:cstheme="minorHAnsi"/>
          <w:noProof/>
          <w:lang w:val="sq-AL"/>
        </w:rPr>
      </w:pPr>
    </w:p>
    <w:p w:rsidR="00B31CF7" w:rsidRPr="005C5B2F" w:rsidRDefault="00B31CF7" w:rsidP="00B31CF7">
      <w:pPr>
        <w:spacing w:before="240" w:after="120" w:line="276" w:lineRule="auto"/>
        <w:jc w:val="both"/>
        <w:rPr>
          <w:rFonts w:asciiTheme="minorHAnsi" w:hAnsiTheme="minorHAnsi" w:cstheme="minorHAnsi"/>
          <w:noProof/>
          <w:lang w:val="sq-AL"/>
        </w:rPr>
      </w:pPr>
      <w:r w:rsidRPr="005C5B2F">
        <w:rPr>
          <w:rFonts w:asciiTheme="minorHAnsi" w:hAnsiTheme="minorHAnsi" w:cstheme="minorHAnsi"/>
          <w:noProof/>
          <w:lang w:val="sq-AL"/>
        </w:rPr>
        <w:lastRenderedPageBreak/>
        <w:t xml:space="preserve">Të dhënat e tregtisë së jashtme të mallrave për periudhën </w:t>
      </w:r>
      <w:r>
        <w:rPr>
          <w:rFonts w:asciiTheme="minorHAnsi" w:hAnsiTheme="minorHAnsi" w:cstheme="minorHAnsi"/>
          <w:noProof/>
          <w:lang w:val="sq-AL"/>
        </w:rPr>
        <w:t>5-mujore</w:t>
      </w:r>
      <w:r w:rsidRPr="005C5B2F">
        <w:rPr>
          <w:rFonts w:asciiTheme="minorHAnsi" w:hAnsiTheme="minorHAnsi" w:cstheme="minorHAnsi"/>
          <w:noProof/>
          <w:lang w:val="sq-AL"/>
        </w:rPr>
        <w:t xml:space="preserve"> të vitit 2021 treguan një rritje të qenësishme, si në eksporte ashtu edhe në importe. Eksportet e mallrav</w:t>
      </w:r>
      <w:r>
        <w:rPr>
          <w:rFonts w:asciiTheme="minorHAnsi" w:hAnsiTheme="minorHAnsi" w:cstheme="minorHAnsi"/>
          <w:noProof/>
          <w:lang w:val="sq-AL"/>
        </w:rPr>
        <w:t>e për periudhën janar-m</w:t>
      </w:r>
      <w:r w:rsidRPr="005C5B2F">
        <w:rPr>
          <w:rFonts w:asciiTheme="minorHAnsi" w:hAnsiTheme="minorHAnsi" w:cstheme="minorHAnsi"/>
          <w:noProof/>
          <w:lang w:val="sq-AL"/>
        </w:rPr>
        <w:t>aj 2021 shënuan rritje vjetore prej +38.6% krahasuar me të njëjtën periudhë të një viti më parë, gjithashtu importet e mallrave shënuan rritje prej +30.9%. Këto zhvillime në tregtinë e jashtme tё mallrave janë reflektuar dhe tek deficiti tregtar, i cili për periudhën janar-maj 2021 ёshtё rritur me rreth 24.2% krahasuar me të njëjtën periudhë të një viti më parë. Ndërsa, norma e mbulimit të eksporteve ndaj importeve për këtë periudhë është 49.4%.</w:t>
      </w:r>
    </w:p>
    <w:p w:rsidR="00B31CF7" w:rsidRPr="005C5B2F" w:rsidRDefault="00B31CF7" w:rsidP="00B31CF7">
      <w:pPr>
        <w:spacing w:before="240" w:after="120" w:line="276" w:lineRule="auto"/>
        <w:jc w:val="both"/>
        <w:rPr>
          <w:rFonts w:asciiTheme="minorHAnsi" w:hAnsiTheme="minorHAnsi" w:cstheme="minorHAnsi"/>
          <w:noProof/>
          <w:lang w:val="sq-AL"/>
        </w:rPr>
      </w:pPr>
      <w:r w:rsidRPr="005C5B2F">
        <w:rPr>
          <w:rFonts w:asciiTheme="minorHAnsi" w:hAnsiTheme="minorHAnsi" w:cstheme="minorHAnsi"/>
          <w:noProof/>
          <w:lang w:val="sq-AL"/>
        </w:rPr>
        <w:t>Inflacioni mesatar për periudhën janar-maj 2021 ishte +1.3%, nga +1.8% që rezultonte një vit më parë gjatë së njëjtës periudhë. Pёrgjatё kёsaj periudhe, nga tërësia e mallrave dhe shërbimeve që përbëjnë shportën e konsumit, kontributin dhe rritjen vjetore mё tё lartё nё inflacionin e pёrgjithshёm e ka pasur zёri i ushqimeve dhe pijeve jo alk</w:t>
      </w:r>
      <w:r>
        <w:rPr>
          <w:rFonts w:asciiTheme="minorHAnsi" w:hAnsiTheme="minorHAnsi" w:cstheme="minorHAnsi"/>
          <w:noProof/>
          <w:lang w:val="sq-AL"/>
        </w:rPr>
        <w:t>o</w:t>
      </w:r>
      <w:r w:rsidRPr="005C5B2F">
        <w:rPr>
          <w:rFonts w:asciiTheme="minorHAnsi" w:hAnsiTheme="minorHAnsi" w:cstheme="minorHAnsi"/>
          <w:noProof/>
          <w:lang w:val="sq-AL"/>
        </w:rPr>
        <w:t xml:space="preserve">olike. </w:t>
      </w:r>
    </w:p>
    <w:p w:rsidR="00B31CF7" w:rsidRPr="005C5B2F" w:rsidRDefault="00B31CF7" w:rsidP="00B31CF7">
      <w:pPr>
        <w:spacing w:before="240" w:after="120" w:line="276" w:lineRule="auto"/>
        <w:jc w:val="both"/>
        <w:rPr>
          <w:rFonts w:asciiTheme="minorHAnsi" w:hAnsiTheme="minorHAnsi" w:cstheme="minorHAnsi"/>
          <w:noProof/>
          <w:lang w:val="sq-AL"/>
        </w:rPr>
      </w:pPr>
      <w:r w:rsidRPr="005C5B2F">
        <w:rPr>
          <w:rFonts w:asciiTheme="minorHAnsi" w:hAnsiTheme="minorHAnsi" w:cstheme="minorHAnsi"/>
          <w:noProof/>
          <w:lang w:val="sq-AL"/>
        </w:rPr>
        <w:t>Gjatë muajit prill të vitit 2021, stoku total i kredive bankare pati një rritje me 6.4% krahasuar me muajin prill të vitit 2020. Stoku i kredive në lekë shënoi një rritje prej 9.9%, ndërsa ai në valutë rritje prej 2.7%, krahasuar me muajin prill të vitit të kaluar. Stoku i kredive akorduar individëve deri në muajin prill të vitit 2021, ka shënuar rritje prej 7.6%, krahasuar me prillin e vitit 2020, duke kontribuar pozitivisht në ndryshimin e stokut total të kredisë me 2.6 pikë përqindje. Në prill 2021 rezulton se rreth 53.1% e totalit të stokut të kredive përbëhet nga kreditë në Lekë, ndërsa pjesa tjetër prej 46.9% përbëhet nga kreditë në valutë.</w:t>
      </w:r>
    </w:p>
    <w:p w:rsidR="00B31CF7" w:rsidRPr="005C5B2F" w:rsidRDefault="00B31CF7" w:rsidP="00B31CF7">
      <w:pPr>
        <w:spacing w:after="120" w:line="276" w:lineRule="auto"/>
        <w:jc w:val="both"/>
        <w:rPr>
          <w:rFonts w:asciiTheme="minorHAnsi" w:hAnsiTheme="minorHAnsi" w:cstheme="minorHAnsi"/>
          <w:noProof/>
          <w:lang w:val="sq-AL"/>
        </w:rPr>
      </w:pPr>
      <w:r w:rsidRPr="005C5B2F">
        <w:rPr>
          <w:rFonts w:asciiTheme="minorHAnsi" w:hAnsiTheme="minorHAnsi" w:cstheme="minorHAnsi"/>
          <w:noProof/>
          <w:lang w:val="sq-AL"/>
        </w:rPr>
        <w:t>Stoku total i depozitave bankare, gjatë muajit prill të vitit 2021, ka shënuar rritje me 8.3% krahasuar me njё vit mё parё. Stoku total i depozitave në Lekë pësoi rritje me 8.5%, ndërsa ai në valutë është rritur me 8.1% krahasuar me të njëjtin muaj të vitit 2020. Në muajin prill 2021 rezulton se rreth 46.3% e totalit të stokut të depozitave përbëhet nga depozitat në Lekë, ndërsa pjesa tjetër prej 53.7% përbëhet nga depozitimet në valutë të huaj. Stoku total i depozitave të bizneseve në muajin prill të vitit 2021 shënoi rritje prej 22.9% krahasuar me muajin prill të  vitit të kaluar, ndërsa stoku total i depozitave të individëve ka shënuar rritje prej 6.1% krahasuar me të njëjtin muaj të një viti më parë.</w:t>
      </w:r>
    </w:p>
    <w:p w:rsidR="00B31CF7" w:rsidRPr="00C0650B" w:rsidRDefault="00B31CF7" w:rsidP="00B31CF7">
      <w:pPr>
        <w:spacing w:after="120" w:line="276" w:lineRule="auto"/>
        <w:jc w:val="both"/>
        <w:rPr>
          <w:rFonts w:asciiTheme="minorHAnsi" w:hAnsiTheme="minorHAnsi" w:cstheme="minorHAnsi"/>
          <w:lang w:val="sq-AL"/>
        </w:rPr>
      </w:pPr>
      <w:r w:rsidRPr="005C5B2F">
        <w:rPr>
          <w:rFonts w:asciiTheme="minorHAnsi" w:hAnsiTheme="minorHAnsi" w:cstheme="minorHAnsi"/>
          <w:noProof/>
          <w:lang w:val="sq-AL"/>
        </w:rPr>
        <w:t xml:space="preserve">Tregu valutor është shfaqur i qetë gjatë muajve të parë të vitit 2021, karakterizuar nga parametra normalë të tregtimit të monedhave të huaja. Kursi mesatar i kёmbimit i monedhёs vendase ndaj Euros rezultoi mesatarisht 123.01 lekë/euro në </w:t>
      </w:r>
      <w:r>
        <w:rPr>
          <w:rFonts w:asciiTheme="minorHAnsi" w:hAnsiTheme="minorHAnsi" w:cstheme="minorHAnsi"/>
          <w:noProof/>
          <w:lang w:val="sq-AL"/>
        </w:rPr>
        <w:t>5-</w:t>
      </w:r>
      <w:r w:rsidRPr="005C5B2F">
        <w:rPr>
          <w:rFonts w:asciiTheme="minorHAnsi" w:hAnsiTheme="minorHAnsi" w:cstheme="minorHAnsi"/>
          <w:noProof/>
          <w:lang w:val="sq-AL"/>
        </w:rPr>
        <w:t>mujorin e parë të vitit 2021, duke pёsuar rёnie nga 123.91 lekё/euro qё shёnonte pёr tё njёjtёn periudhё tё njё viti mё parё. Nё terma vjetor, ecuria e euros nё tregun vendas ka reflektuar mbiçmim tё lekut prej 0.7% pёrgjatё janar-maj 2021. Kursi mesatar i kёmbimit i monedhёs vendase ndaj Dollarit Amerikan rezultoi mesatarisht 101.24</w:t>
      </w:r>
      <w:r>
        <w:rPr>
          <w:rFonts w:asciiTheme="minorHAnsi" w:hAnsiTheme="minorHAnsi" w:cstheme="minorHAnsi"/>
          <w:noProof/>
          <w:lang w:val="sq-AL"/>
        </w:rPr>
        <w:t xml:space="preserve"> lekë/usd në 5-</w:t>
      </w:r>
      <w:r w:rsidRPr="005C5B2F">
        <w:rPr>
          <w:rFonts w:asciiTheme="minorHAnsi" w:hAnsiTheme="minorHAnsi" w:cstheme="minorHAnsi"/>
          <w:noProof/>
          <w:lang w:val="sq-AL"/>
        </w:rPr>
        <w:t>mujorin e parë të vitit 2021, duke shёnuar rёnie nga 113.8 lekë/usd që shënonte pёr tё njёjtёn periudhё tё njё viti mё parё. Nё terma vjetor, ecuria e dollarit amerikan nё tregun vendas ka reflektuar mbiçmim tё lekut prej 11.04% pёrgja</w:t>
      </w:r>
      <w:r>
        <w:rPr>
          <w:rFonts w:asciiTheme="minorHAnsi" w:hAnsiTheme="minorHAnsi" w:cstheme="minorHAnsi"/>
          <w:noProof/>
          <w:lang w:val="sq-AL"/>
        </w:rPr>
        <w:t>tё 5-</w:t>
      </w:r>
      <w:r w:rsidRPr="005C5B2F">
        <w:rPr>
          <w:rFonts w:asciiTheme="minorHAnsi" w:hAnsiTheme="minorHAnsi" w:cstheme="minorHAnsi"/>
          <w:noProof/>
          <w:lang w:val="sq-AL"/>
        </w:rPr>
        <w:t>mujorit tё parё 2021.</w:t>
      </w:r>
      <w:r w:rsidRPr="00C0650B">
        <w:rPr>
          <w:rFonts w:asciiTheme="minorHAnsi" w:hAnsiTheme="minorHAnsi" w:cstheme="minorHAnsi"/>
          <w:lang w:val="sq-AL"/>
        </w:rPr>
        <w:t xml:space="preserve"> </w:t>
      </w:r>
    </w:p>
    <w:p w:rsidR="00F720EE" w:rsidRDefault="00F720EE" w:rsidP="008507F6">
      <w:pPr>
        <w:spacing w:before="240" w:after="120" w:line="276" w:lineRule="auto"/>
        <w:jc w:val="both"/>
        <w:rPr>
          <w:rFonts w:ascii="Calibri" w:hAnsi="Calibri"/>
          <w:noProof/>
          <w:sz w:val="4"/>
          <w:lang w:val="sq-AL"/>
        </w:rPr>
      </w:pPr>
    </w:p>
    <w:p w:rsidR="004C7BDF" w:rsidRDefault="004C7BDF" w:rsidP="008507F6">
      <w:pPr>
        <w:spacing w:before="240" w:after="120" w:line="276" w:lineRule="auto"/>
        <w:jc w:val="both"/>
        <w:rPr>
          <w:rFonts w:ascii="Calibri" w:hAnsi="Calibri"/>
          <w:noProof/>
          <w:sz w:val="4"/>
          <w:lang w:val="sq-AL"/>
        </w:rPr>
      </w:pPr>
    </w:p>
    <w:p w:rsidR="004C7BDF" w:rsidRDefault="004C7BDF" w:rsidP="008507F6">
      <w:pPr>
        <w:spacing w:before="240" w:after="120" w:line="276" w:lineRule="auto"/>
        <w:jc w:val="both"/>
        <w:rPr>
          <w:rFonts w:ascii="Calibri" w:hAnsi="Calibri"/>
          <w:noProof/>
          <w:sz w:val="4"/>
          <w:lang w:val="sq-AL"/>
        </w:rPr>
      </w:pPr>
    </w:p>
    <w:p w:rsidR="004C7BDF" w:rsidRPr="0065598A" w:rsidRDefault="004C7BDF" w:rsidP="008507F6">
      <w:pPr>
        <w:spacing w:before="240" w:after="120" w:line="276" w:lineRule="auto"/>
        <w:jc w:val="both"/>
        <w:rPr>
          <w:rFonts w:ascii="Calibri" w:hAnsi="Calibri"/>
          <w:noProof/>
          <w:sz w:val="4"/>
          <w:lang w:val="sq-AL"/>
        </w:rPr>
      </w:pPr>
    </w:p>
    <w:p w:rsidR="009216BE" w:rsidRPr="0065598A" w:rsidRDefault="009216BE" w:rsidP="002334F6">
      <w:pPr>
        <w:pStyle w:val="Heading2"/>
      </w:pPr>
      <w:bookmarkStart w:id="7" w:name="_Toc76470015"/>
      <w:r w:rsidRPr="0065598A">
        <w:lastRenderedPageBreak/>
        <w:t>I.2</w:t>
      </w:r>
      <w:r w:rsidRPr="0065598A">
        <w:tab/>
      </w:r>
      <w:r w:rsidR="00BD7B2B" w:rsidRPr="0065598A">
        <w:t>Pritshmëritë e treguesve makroekonomikë deri n</w:t>
      </w:r>
      <w:r w:rsidR="00AA2D73" w:rsidRPr="0065598A">
        <w:t>ë</w:t>
      </w:r>
      <w:r w:rsidR="00BD7B2B" w:rsidRPr="0065598A">
        <w:t xml:space="preserve"> fund t</w:t>
      </w:r>
      <w:r w:rsidR="00AA2D73" w:rsidRPr="0065598A">
        <w:t>ë</w:t>
      </w:r>
      <w:r w:rsidR="00BD7B2B" w:rsidRPr="0065598A">
        <w:t xml:space="preserve"> vitit 20</w:t>
      </w:r>
      <w:r w:rsidR="008507F6" w:rsidRPr="0065598A">
        <w:t>2</w:t>
      </w:r>
      <w:r w:rsidR="004C7BDF">
        <w:t>1</w:t>
      </w:r>
      <w:bookmarkEnd w:id="7"/>
    </w:p>
    <w:p w:rsidR="00B31CF7" w:rsidRPr="005C5B2F" w:rsidRDefault="00B31CF7" w:rsidP="00B31CF7">
      <w:pPr>
        <w:spacing w:after="120" w:line="276" w:lineRule="auto"/>
        <w:jc w:val="both"/>
        <w:rPr>
          <w:rFonts w:ascii="Calibri" w:hAnsi="Calibri"/>
          <w:noProof/>
          <w:lang w:val="sq-AL"/>
        </w:rPr>
      </w:pPr>
      <w:r w:rsidRPr="005C5B2F">
        <w:rPr>
          <w:rFonts w:ascii="Calibri" w:hAnsi="Calibri"/>
          <w:noProof/>
          <w:lang w:val="sq-AL"/>
        </w:rPr>
        <w:t xml:space="preserve">Prodhimi i Brendshëm Bruto (PBB) nominal u kontraktua me 3.3% në vitin 2020 krahasuar me vitin 2019, duke shënuar vlerën 1,607.9 miliardë lekë. Ky është recesioni i parë në Shqipëri për më shumë se dy dekada, por ekonomia shqiptare dëshmoi qendrueshmëri dhe rënia ekonomike rezultoi shumë më e përmbajtur sesa parashikimi fillestar, që varionte nga -6.1% deri në -8%. Gjithashtu edhe parametrat e tjerë më të rëndësishëm mbetën përgjithësisht të qendrueshëm, duke marrë parasysh përhapjen e pandemisë Covid-19 në gjithë botën dhe masat kufizuese të ndërmarra nga autoritetet publike për të frenuar përhapjen e saj që në mars 2020. </w:t>
      </w:r>
    </w:p>
    <w:p w:rsidR="00B31CF7" w:rsidRPr="005C5B2F" w:rsidRDefault="00B31CF7" w:rsidP="00B31CF7">
      <w:pPr>
        <w:spacing w:after="120" w:line="276" w:lineRule="auto"/>
        <w:jc w:val="both"/>
        <w:rPr>
          <w:rFonts w:ascii="Calibri" w:hAnsi="Calibri"/>
          <w:noProof/>
          <w:lang w:val="sq-AL"/>
        </w:rPr>
      </w:pPr>
      <w:r w:rsidRPr="005C5B2F">
        <w:rPr>
          <w:rFonts w:ascii="Calibri" w:hAnsi="Calibri"/>
          <w:noProof/>
          <w:lang w:val="sq-AL"/>
        </w:rPr>
        <w:t>Perspektiva për ekonominë shqiptare ka ardhur në përmirësim, duke faktorizuar fleksibilitetin e deritanishëm të ekonomisë për t’iu përshtatur kushteve të reja, mbështetjen e vazhduar me politika ekonomike stimuluese, dhe rritjen e imunitetit të popullsisë, në linjë me vazhdimin e programeve të vaksinimit.</w:t>
      </w:r>
    </w:p>
    <w:p w:rsidR="00B31CF7" w:rsidRPr="005C5B2F" w:rsidRDefault="00B31CF7" w:rsidP="00B31CF7">
      <w:pPr>
        <w:spacing w:after="120" w:line="276" w:lineRule="auto"/>
        <w:jc w:val="both"/>
        <w:rPr>
          <w:rFonts w:ascii="Calibri" w:hAnsi="Calibri"/>
          <w:noProof/>
          <w:lang w:val="sq-AL"/>
        </w:rPr>
      </w:pPr>
      <w:r w:rsidRPr="005C5B2F">
        <w:rPr>
          <w:rFonts w:ascii="Calibri" w:hAnsi="Calibri"/>
          <w:noProof/>
          <w:lang w:val="sq-AL"/>
        </w:rPr>
        <w:t xml:space="preserve">Parashikimi per vitin aktual 2021 është pozitiv dhe pritet që ekonomia të rikthehet në ritmet pozitive të rritjes, në nivelin prej 5.5%. Pёrgjatё periudhёs afatmesme, rritja ekonomike pritet të gjenerohet kryesisht nga kërkesa e brendshme, si konsumi privat ashtu edhe investimet. Ndërkohë kërkesa e huaj neto (eksport – import) pritet të sjellë gjithashtu një efekt pozitiv, por marxhinal. </w:t>
      </w:r>
    </w:p>
    <w:p w:rsidR="00B31CF7" w:rsidRPr="005C5B2F" w:rsidRDefault="00B31CF7" w:rsidP="00B31CF7">
      <w:pPr>
        <w:spacing w:after="120" w:line="276" w:lineRule="auto"/>
        <w:jc w:val="both"/>
        <w:rPr>
          <w:rFonts w:ascii="Calibri" w:hAnsi="Calibri"/>
          <w:noProof/>
          <w:lang w:val="sq-AL"/>
        </w:rPr>
      </w:pPr>
      <w:r w:rsidRPr="005C5B2F">
        <w:rPr>
          <w:rFonts w:ascii="Calibri" w:hAnsi="Calibri"/>
          <w:noProof/>
          <w:lang w:val="sq-AL"/>
        </w:rPr>
        <w:t xml:space="preserve">Konsumi privat pritet të nxitet kryesisht nga përmirësimi i besimit të konsumatorit, si dhe nga përmirësimet në tregun e punës. Këto të fundit pritet të transmetohen në një rritje graduale të pagave të cilat më tej pritet të stimulojnë të ardhurat reale të disponueshme të individëve, duke krijuar efektin e raundit të dytë në nxitjen e konsumit, si dhe duke intensifikuar prirjen e konsumatorëve për financimin e mëtejshëm të konsumit nëpërmjet një kredi-marrje më të lartë. </w:t>
      </w:r>
    </w:p>
    <w:p w:rsidR="00B31CF7" w:rsidRPr="005C5B2F" w:rsidRDefault="00B31CF7" w:rsidP="00B31CF7">
      <w:pPr>
        <w:spacing w:after="120" w:line="276" w:lineRule="auto"/>
        <w:jc w:val="both"/>
        <w:rPr>
          <w:rFonts w:ascii="Calibri" w:hAnsi="Calibri"/>
          <w:noProof/>
          <w:lang w:val="sq-AL"/>
        </w:rPr>
      </w:pPr>
      <w:r w:rsidRPr="005C5B2F">
        <w:rPr>
          <w:rFonts w:ascii="Calibri" w:hAnsi="Calibri"/>
          <w:noProof/>
          <w:lang w:val="sq-AL"/>
        </w:rPr>
        <w:t>Ndërkohë, kredimarrja për konsum parashikohet të nxitet si nga përmirësimi i kushteve financiare të individëve, ashtu edhe nga lehtësimi i pritshëm i standardeve të huadhënies nga sistemi bankar.</w:t>
      </w:r>
    </w:p>
    <w:p w:rsidR="00B31CF7" w:rsidRPr="006F616E" w:rsidRDefault="00B31CF7" w:rsidP="00B31CF7">
      <w:pPr>
        <w:spacing w:after="120" w:line="276" w:lineRule="auto"/>
        <w:jc w:val="both"/>
        <w:rPr>
          <w:rFonts w:ascii="Calibri" w:hAnsi="Calibri"/>
          <w:noProof/>
          <w:lang w:val="sq-AL"/>
        </w:rPr>
      </w:pPr>
      <w:r w:rsidRPr="005C5B2F">
        <w:rPr>
          <w:rFonts w:ascii="Calibri" w:hAnsi="Calibri"/>
          <w:noProof/>
          <w:lang w:val="sq-AL"/>
        </w:rPr>
        <w:t>Performanca pozitive e ekonomisё pritet tё reflektohet edhe nё pёrmirёsimin e tregut tё punёs. Punësimi parashikohet të vijojё trendin rritёs tё periudhёs sё mёparshme, para goditjes nga pandemia, konform me trendin e pritshëm të aktivitetit ekonomik. Shkalla më e lartë e pjesëmarrjes në forcat e punës do të jetë gjeneruesi kryesor i rritjes së ofertës së punës. Ndërsa rritja e kërkesës për punë pritet të reflektojë pak a shumë të njëjtën strukturë të perspektivës së ofertës agregate të aktivitetit ekonomik. Rrjedhimisht pritet që shërbimet të kontribuojnë më shumë në rritjen e kërkesës për punë në krahasim me sektorët e tjerë të ekonomisë.</w:t>
      </w:r>
    </w:p>
    <w:p w:rsidR="00AB4E09" w:rsidRPr="00F720EE" w:rsidRDefault="00AB4E09" w:rsidP="00B95810">
      <w:pPr>
        <w:pStyle w:val="Heading1"/>
        <w:numPr>
          <w:ilvl w:val="0"/>
          <w:numId w:val="1"/>
        </w:numPr>
        <w:spacing w:line="276" w:lineRule="auto"/>
        <w:ind w:left="720"/>
        <w:rPr>
          <w:sz w:val="32"/>
          <w:u w:val="none"/>
        </w:rPr>
      </w:pPr>
      <w:bookmarkStart w:id="8" w:name="_Toc76470016"/>
      <w:r w:rsidRPr="00F720EE">
        <w:rPr>
          <w:sz w:val="32"/>
          <w:u w:val="none"/>
        </w:rPr>
        <w:t>POLITIKA FISKALE</w:t>
      </w:r>
      <w:bookmarkEnd w:id="8"/>
      <w:r w:rsidRPr="00F720EE">
        <w:rPr>
          <w:sz w:val="32"/>
          <w:u w:val="none"/>
        </w:rPr>
        <w:t xml:space="preserve"> </w:t>
      </w:r>
    </w:p>
    <w:p w:rsidR="00AB4E09" w:rsidRPr="0065598A" w:rsidRDefault="005F249C" w:rsidP="002334F6">
      <w:pPr>
        <w:pStyle w:val="Heading2"/>
      </w:pPr>
      <w:bookmarkStart w:id="9" w:name="_Toc76470017"/>
      <w:r w:rsidRPr="0065598A">
        <w:t>II.1</w:t>
      </w:r>
      <w:r w:rsidRPr="0065598A">
        <w:tab/>
      </w:r>
      <w:r w:rsidR="0094558D" w:rsidRPr="0065598A">
        <w:t xml:space="preserve">Performanca </w:t>
      </w:r>
      <w:r w:rsidR="00AB4E09" w:rsidRPr="0065598A">
        <w:t xml:space="preserve">fiskale </w:t>
      </w:r>
      <w:r w:rsidR="00E40045" w:rsidRPr="0065598A">
        <w:t>për periudhën janar-maj 20</w:t>
      </w:r>
      <w:r w:rsidR="00F720EE">
        <w:t>2</w:t>
      </w:r>
      <w:r w:rsidR="0034657E">
        <w:t>1</w:t>
      </w:r>
      <w:bookmarkEnd w:id="9"/>
    </w:p>
    <w:p w:rsidR="0034657E" w:rsidRPr="00DD6D17" w:rsidRDefault="0034657E" w:rsidP="0034657E">
      <w:pPr>
        <w:spacing w:before="240" w:line="276" w:lineRule="auto"/>
        <w:jc w:val="both"/>
        <w:rPr>
          <w:rFonts w:asciiTheme="minorHAnsi" w:hAnsiTheme="minorHAnsi"/>
          <w:lang w:val="sq-AL"/>
        </w:rPr>
      </w:pPr>
      <w:r w:rsidRPr="004E355C">
        <w:rPr>
          <w:rFonts w:asciiTheme="minorHAnsi" w:eastAsiaTheme="minorEastAsia" w:hAnsiTheme="minorHAnsi" w:cstheme="minorHAnsi"/>
          <w:b/>
          <w:lang w:val="sq-AL"/>
        </w:rPr>
        <w:t>Të ardhurat nga “Tatime dhe Dogana”</w:t>
      </w:r>
      <w:r w:rsidRPr="004E355C">
        <w:rPr>
          <w:rFonts w:asciiTheme="minorHAnsi" w:eastAsiaTheme="minorEastAsia" w:hAnsiTheme="minorHAnsi" w:cstheme="minorHAnsi"/>
          <w:lang w:val="sq-AL"/>
        </w:rPr>
        <w:t xml:space="preserve"> (përfshirë ko</w:t>
      </w:r>
      <w:r>
        <w:rPr>
          <w:rFonts w:asciiTheme="minorHAnsi" w:eastAsiaTheme="minorEastAsia" w:hAnsiTheme="minorHAnsi" w:cstheme="minorHAnsi"/>
          <w:lang w:val="sq-AL"/>
        </w:rPr>
        <w:t xml:space="preserve">ntributet e mbledhura nga DPT) </w:t>
      </w:r>
      <w:r w:rsidRPr="004E355C">
        <w:rPr>
          <w:rFonts w:asciiTheme="minorHAnsi" w:eastAsiaTheme="minorEastAsia" w:hAnsiTheme="minorHAnsi" w:cstheme="minorHAnsi"/>
          <w:lang w:val="sq-AL"/>
        </w:rPr>
        <w:t>për 5 mujorin 20</w:t>
      </w:r>
      <w:r>
        <w:rPr>
          <w:rFonts w:asciiTheme="minorHAnsi" w:eastAsiaTheme="minorEastAsia" w:hAnsiTheme="minorHAnsi" w:cstheme="minorHAnsi"/>
          <w:lang w:val="sq-AL"/>
        </w:rPr>
        <w:t>21</w:t>
      </w:r>
      <w:r w:rsidRPr="004E355C">
        <w:rPr>
          <w:rFonts w:asciiTheme="minorHAnsi" w:eastAsiaTheme="minorEastAsia" w:hAnsiTheme="minorHAnsi" w:cstheme="minorHAnsi"/>
          <w:lang w:val="sq-AL"/>
        </w:rPr>
        <w:t xml:space="preserve">, u realizuan në </w:t>
      </w:r>
      <w:r w:rsidRPr="00492CB7">
        <w:rPr>
          <w:rFonts w:asciiTheme="minorHAnsi" w:eastAsiaTheme="minorEastAsia" w:hAnsiTheme="minorHAnsi" w:cstheme="minorHAnsi"/>
          <w:color w:val="000000" w:themeColor="text1"/>
          <w:lang w:val="sq-AL"/>
        </w:rPr>
        <w:t>vlerën 166.</w:t>
      </w:r>
      <w:r>
        <w:rPr>
          <w:rFonts w:asciiTheme="minorHAnsi" w:eastAsiaTheme="minorEastAsia" w:hAnsiTheme="minorHAnsi" w:cstheme="minorHAnsi"/>
          <w:color w:val="000000" w:themeColor="text1"/>
          <w:lang w:val="sq-AL"/>
        </w:rPr>
        <w:t>7</w:t>
      </w:r>
      <w:r w:rsidRPr="00492CB7">
        <w:rPr>
          <w:rFonts w:asciiTheme="minorHAnsi" w:eastAsiaTheme="minorEastAsia" w:hAnsiTheme="minorHAnsi" w:cstheme="minorHAnsi"/>
          <w:color w:val="000000" w:themeColor="text1"/>
          <w:lang w:val="sq-AL"/>
        </w:rPr>
        <w:t xml:space="preserve"> miliardë lekë, 17.</w:t>
      </w:r>
      <w:r>
        <w:rPr>
          <w:rFonts w:asciiTheme="minorHAnsi" w:eastAsiaTheme="minorEastAsia" w:hAnsiTheme="minorHAnsi" w:cstheme="minorHAnsi"/>
          <w:color w:val="000000" w:themeColor="text1"/>
          <w:lang w:val="sq-AL"/>
        </w:rPr>
        <w:t>7</w:t>
      </w:r>
      <w:r w:rsidRPr="00492CB7">
        <w:rPr>
          <w:rFonts w:asciiTheme="minorHAnsi" w:eastAsiaTheme="minorEastAsia" w:hAnsiTheme="minorHAnsi" w:cstheme="minorHAnsi"/>
          <w:color w:val="000000" w:themeColor="text1"/>
          <w:lang w:val="sq-AL"/>
        </w:rPr>
        <w:t>% ose 2</w:t>
      </w:r>
      <w:r>
        <w:rPr>
          <w:rFonts w:asciiTheme="minorHAnsi" w:eastAsiaTheme="minorEastAsia" w:hAnsiTheme="minorHAnsi" w:cstheme="minorHAnsi"/>
          <w:color w:val="000000" w:themeColor="text1"/>
          <w:lang w:val="sq-AL"/>
        </w:rPr>
        <w:t xml:space="preserve">5 </w:t>
      </w:r>
      <w:r w:rsidRPr="00492CB7">
        <w:rPr>
          <w:rFonts w:asciiTheme="minorHAnsi" w:eastAsiaTheme="minorEastAsia" w:hAnsiTheme="minorHAnsi" w:cstheme="minorHAnsi"/>
          <w:color w:val="000000" w:themeColor="text1"/>
          <w:lang w:val="sq-AL"/>
        </w:rPr>
        <w:t>miliardë lekë më shum</w:t>
      </w:r>
      <w:r>
        <w:rPr>
          <w:rFonts w:asciiTheme="minorHAnsi" w:eastAsiaTheme="minorEastAsia" w:hAnsiTheme="minorHAnsi" w:cstheme="minorHAnsi"/>
          <w:color w:val="000000" w:themeColor="text1"/>
          <w:lang w:val="sq-AL"/>
        </w:rPr>
        <w:t>ë</w:t>
      </w:r>
      <w:r w:rsidRPr="00492CB7">
        <w:rPr>
          <w:rFonts w:asciiTheme="minorHAnsi" w:eastAsiaTheme="minorEastAsia" w:hAnsiTheme="minorHAnsi" w:cstheme="minorHAnsi"/>
          <w:color w:val="000000" w:themeColor="text1"/>
          <w:lang w:val="sq-AL"/>
        </w:rPr>
        <w:t xml:space="preserve"> se 5 mujori i vitit 2020 </w:t>
      </w:r>
      <w:r w:rsidRPr="004E355C">
        <w:rPr>
          <w:rFonts w:asciiTheme="minorHAnsi" w:eastAsiaTheme="minorEastAsia" w:hAnsiTheme="minorHAnsi" w:cstheme="minorHAnsi"/>
          <w:lang w:val="sq-AL"/>
        </w:rPr>
        <w:t xml:space="preserve">me realizim kundrejt planit të periudhës në masën </w:t>
      </w:r>
      <w:r w:rsidRPr="00492CB7">
        <w:rPr>
          <w:rFonts w:asciiTheme="minorHAnsi" w:eastAsiaTheme="minorEastAsia" w:hAnsiTheme="minorHAnsi" w:cstheme="minorHAnsi"/>
          <w:color w:val="000000" w:themeColor="text1"/>
          <w:lang w:val="sq-AL"/>
        </w:rPr>
        <w:t>1.5% ose 2.</w:t>
      </w:r>
      <w:r>
        <w:rPr>
          <w:rFonts w:asciiTheme="minorHAnsi" w:eastAsiaTheme="minorEastAsia" w:hAnsiTheme="minorHAnsi" w:cstheme="minorHAnsi"/>
          <w:color w:val="000000" w:themeColor="text1"/>
          <w:lang w:val="sq-AL"/>
        </w:rPr>
        <w:t>4</w:t>
      </w:r>
      <w:r w:rsidRPr="00492CB7">
        <w:rPr>
          <w:rFonts w:asciiTheme="minorHAnsi" w:eastAsiaTheme="minorEastAsia" w:hAnsiTheme="minorHAnsi" w:cstheme="minorHAnsi"/>
          <w:color w:val="000000" w:themeColor="text1"/>
          <w:lang w:val="sq-AL"/>
        </w:rPr>
        <w:t xml:space="preserve"> miliardë lekë më shum</w:t>
      </w:r>
      <w:r>
        <w:rPr>
          <w:rFonts w:asciiTheme="minorHAnsi" w:eastAsiaTheme="minorEastAsia" w:hAnsiTheme="minorHAnsi" w:cstheme="minorHAnsi"/>
          <w:color w:val="000000" w:themeColor="text1"/>
          <w:lang w:val="sq-AL"/>
        </w:rPr>
        <w:t>ë</w:t>
      </w:r>
      <w:r w:rsidRPr="00492CB7">
        <w:rPr>
          <w:rFonts w:asciiTheme="minorHAnsi" w:eastAsiaTheme="minorEastAsia" w:hAnsiTheme="minorHAnsi" w:cstheme="minorHAnsi"/>
          <w:color w:val="000000" w:themeColor="text1"/>
          <w:lang w:val="sq-AL"/>
        </w:rPr>
        <w:t xml:space="preserve"> </w:t>
      </w:r>
      <w:r>
        <w:rPr>
          <w:rFonts w:asciiTheme="minorHAnsi" w:eastAsiaTheme="minorEastAsia" w:hAnsiTheme="minorHAnsi" w:cstheme="minorHAnsi"/>
          <w:lang w:val="sq-AL"/>
        </w:rPr>
        <w:t>se plani 5 mujor për vitin 2021</w:t>
      </w:r>
      <w:r w:rsidRPr="004E355C">
        <w:rPr>
          <w:rFonts w:asciiTheme="minorHAnsi" w:eastAsiaTheme="minorEastAsia" w:hAnsiTheme="minorHAnsi" w:cstheme="minorHAnsi"/>
          <w:lang w:val="sq-AL"/>
        </w:rPr>
        <w:t xml:space="preserve">. </w:t>
      </w:r>
      <w:r>
        <w:rPr>
          <w:rFonts w:asciiTheme="minorHAnsi" w:hAnsiTheme="minorHAnsi" w:cstheme="minorHAnsi"/>
          <w:noProof/>
          <w:lang w:val="sq-AL"/>
        </w:rPr>
        <w:t>Në këtë realizim kanë ndikuar faktorët të cilët do të shpjegohen në analizën specifike të secilit prej tatimeve.</w:t>
      </w:r>
    </w:p>
    <w:p w:rsidR="0034657E" w:rsidRPr="0034657E" w:rsidRDefault="0034657E" w:rsidP="0034657E">
      <w:pPr>
        <w:spacing w:before="240" w:line="276" w:lineRule="auto"/>
        <w:jc w:val="both"/>
        <w:rPr>
          <w:rFonts w:asciiTheme="minorHAnsi" w:hAnsiTheme="minorHAnsi"/>
          <w:bCs/>
          <w:i/>
          <w:sz w:val="22"/>
          <w:lang w:val="sq-AL"/>
        </w:rPr>
      </w:pPr>
      <w:bookmarkStart w:id="10" w:name="_Toc76470055"/>
      <w:r w:rsidRPr="0034657E">
        <w:rPr>
          <w:rFonts w:asciiTheme="minorHAnsi" w:hAnsiTheme="minorHAnsi"/>
          <w:bCs/>
          <w:i/>
          <w:sz w:val="22"/>
          <w:lang w:val="sq-AL"/>
        </w:rPr>
        <w:lastRenderedPageBreak/>
        <w:t xml:space="preserve">Tabela </w:t>
      </w:r>
      <w:r w:rsidRPr="0034657E">
        <w:rPr>
          <w:rFonts w:asciiTheme="minorHAnsi" w:hAnsiTheme="minorHAnsi"/>
          <w:bCs/>
          <w:i/>
          <w:sz w:val="22"/>
          <w:lang w:val="sq-AL"/>
        </w:rPr>
        <w:fldChar w:fldCharType="begin"/>
      </w:r>
      <w:r w:rsidRPr="0034657E">
        <w:rPr>
          <w:rFonts w:asciiTheme="minorHAnsi" w:hAnsiTheme="minorHAnsi"/>
          <w:bCs/>
          <w:i/>
          <w:sz w:val="22"/>
          <w:lang w:val="sq-AL"/>
        </w:rPr>
        <w:instrText xml:space="preserve"> SEQ Tabela \* ARABIC </w:instrText>
      </w:r>
      <w:r w:rsidRPr="0034657E">
        <w:rPr>
          <w:rFonts w:asciiTheme="minorHAnsi" w:hAnsiTheme="minorHAnsi"/>
          <w:bCs/>
          <w:i/>
          <w:sz w:val="22"/>
          <w:lang w:val="sq-AL"/>
        </w:rPr>
        <w:fldChar w:fldCharType="separate"/>
      </w:r>
      <w:r w:rsidR="003C5F40">
        <w:rPr>
          <w:rFonts w:asciiTheme="minorHAnsi" w:hAnsiTheme="minorHAnsi"/>
          <w:bCs/>
          <w:i/>
          <w:noProof/>
          <w:sz w:val="22"/>
          <w:lang w:val="sq-AL"/>
        </w:rPr>
        <w:t>1</w:t>
      </w:r>
      <w:r w:rsidRPr="0034657E">
        <w:rPr>
          <w:rFonts w:asciiTheme="minorHAnsi" w:hAnsiTheme="minorHAnsi"/>
          <w:bCs/>
          <w:i/>
          <w:sz w:val="22"/>
          <w:lang w:val="sq-AL"/>
        </w:rPr>
        <w:fldChar w:fldCharType="end"/>
      </w:r>
      <w:r w:rsidRPr="0034657E">
        <w:rPr>
          <w:rFonts w:asciiTheme="minorHAnsi" w:hAnsiTheme="minorHAnsi"/>
          <w:bCs/>
          <w:i/>
          <w:sz w:val="22"/>
          <w:lang w:val="sq-AL"/>
        </w:rPr>
        <w:t>: Të ardhurat Tatime &amp; Dogana për periudhën Janar – Maj 2021 (në milionë lekë)</w:t>
      </w:r>
      <w:bookmarkEnd w:id="10"/>
    </w:p>
    <w:tbl>
      <w:tblPr>
        <w:tblW w:w="10405" w:type="dxa"/>
        <w:jc w:val="center"/>
        <w:tblLook w:val="04A0" w:firstRow="1" w:lastRow="0" w:firstColumn="1" w:lastColumn="0" w:noHBand="0" w:noVBand="1"/>
      </w:tblPr>
      <w:tblGrid>
        <w:gridCol w:w="2062"/>
        <w:gridCol w:w="1548"/>
        <w:gridCol w:w="1635"/>
        <w:gridCol w:w="1032"/>
        <w:gridCol w:w="1032"/>
        <w:gridCol w:w="1032"/>
        <w:gridCol w:w="1032"/>
        <w:gridCol w:w="1032"/>
      </w:tblGrid>
      <w:tr w:rsidR="0034657E" w:rsidTr="0034657E">
        <w:trPr>
          <w:trHeight w:val="324"/>
          <w:jc w:val="center"/>
        </w:trPr>
        <w:tc>
          <w:tcPr>
            <w:tcW w:w="2062" w:type="dxa"/>
            <w:vMerge w:val="restart"/>
            <w:tcBorders>
              <w:top w:val="single" w:sz="8" w:space="0" w:color="4BACC6"/>
              <w:left w:val="single" w:sz="8" w:space="0" w:color="4BACC6"/>
              <w:bottom w:val="single" w:sz="8" w:space="0" w:color="4BACC6"/>
              <w:right w:val="nil"/>
            </w:tcBorders>
            <w:shd w:val="clear" w:color="000000" w:fill="4BACC6"/>
            <w:vAlign w:val="center"/>
            <w:hideMark/>
          </w:tcPr>
          <w:p w:rsidR="0034657E" w:rsidRDefault="0034657E" w:rsidP="0034657E">
            <w:pPr>
              <w:rPr>
                <w:rFonts w:ascii="Calibri" w:hAnsi="Calibri" w:cs="Calibri"/>
                <w:b/>
                <w:bCs/>
                <w:color w:val="FFFFFF"/>
                <w:sz w:val="16"/>
                <w:szCs w:val="16"/>
              </w:rPr>
            </w:pPr>
            <w:r>
              <w:rPr>
                <w:rFonts w:ascii="Calibri" w:hAnsi="Calibri" w:cs="Calibri"/>
                <w:b/>
                <w:bCs/>
                <w:color w:val="FFFFFF"/>
                <w:sz w:val="16"/>
                <w:szCs w:val="16"/>
              </w:rPr>
              <w:t>Lloji i taksave</w:t>
            </w:r>
          </w:p>
        </w:tc>
        <w:tc>
          <w:tcPr>
            <w:tcW w:w="1548" w:type="dxa"/>
            <w:vMerge w:val="restart"/>
            <w:tcBorders>
              <w:top w:val="single" w:sz="8" w:space="0" w:color="4BACC6"/>
              <w:left w:val="nil"/>
              <w:bottom w:val="single" w:sz="8" w:space="0" w:color="4BACC6"/>
              <w:right w:val="nil"/>
            </w:tcBorders>
            <w:shd w:val="clear" w:color="000000" w:fill="4BACC6"/>
            <w:vAlign w:val="center"/>
            <w:hideMark/>
          </w:tcPr>
          <w:p w:rsidR="0034657E" w:rsidRDefault="0034657E" w:rsidP="0034657E">
            <w:pPr>
              <w:jc w:val="center"/>
              <w:rPr>
                <w:rFonts w:ascii="Calibri" w:hAnsi="Calibri" w:cs="Calibri"/>
                <w:b/>
                <w:bCs/>
                <w:color w:val="FFFFFF"/>
                <w:sz w:val="16"/>
                <w:szCs w:val="16"/>
              </w:rPr>
            </w:pPr>
            <w:r>
              <w:rPr>
                <w:rFonts w:ascii="Calibri" w:hAnsi="Calibri" w:cs="Calibri"/>
                <w:b/>
                <w:bCs/>
                <w:color w:val="FFFFFF"/>
                <w:sz w:val="16"/>
                <w:szCs w:val="16"/>
              </w:rPr>
              <w:t>Fakt 5 mujor 2020</w:t>
            </w:r>
          </w:p>
        </w:tc>
        <w:tc>
          <w:tcPr>
            <w:tcW w:w="1635" w:type="dxa"/>
            <w:tcBorders>
              <w:top w:val="single" w:sz="8" w:space="0" w:color="4BACC6"/>
              <w:left w:val="nil"/>
              <w:bottom w:val="nil"/>
              <w:right w:val="nil"/>
            </w:tcBorders>
            <w:shd w:val="clear" w:color="000000" w:fill="4BACC6"/>
            <w:vAlign w:val="center"/>
            <w:hideMark/>
          </w:tcPr>
          <w:p w:rsidR="0034657E" w:rsidRDefault="0034657E" w:rsidP="0034657E">
            <w:pPr>
              <w:jc w:val="center"/>
              <w:rPr>
                <w:rFonts w:ascii="Calibri" w:hAnsi="Calibri" w:cs="Calibri"/>
                <w:b/>
                <w:bCs/>
                <w:color w:val="FFFFFF"/>
                <w:sz w:val="16"/>
                <w:szCs w:val="16"/>
              </w:rPr>
            </w:pPr>
            <w:r>
              <w:rPr>
                <w:rFonts w:ascii="Calibri" w:hAnsi="Calibri" w:cs="Calibri"/>
                <w:b/>
                <w:bCs/>
                <w:color w:val="FFFFFF"/>
                <w:sz w:val="16"/>
                <w:szCs w:val="16"/>
              </w:rPr>
              <w:t xml:space="preserve"> Fakt 5 mujor </w:t>
            </w:r>
          </w:p>
        </w:tc>
        <w:tc>
          <w:tcPr>
            <w:tcW w:w="1032" w:type="dxa"/>
            <w:tcBorders>
              <w:top w:val="single" w:sz="8" w:space="0" w:color="4BACC6"/>
              <w:left w:val="nil"/>
              <w:bottom w:val="nil"/>
              <w:right w:val="nil"/>
            </w:tcBorders>
            <w:shd w:val="clear" w:color="000000" w:fill="4BACC6"/>
            <w:vAlign w:val="center"/>
            <w:hideMark/>
          </w:tcPr>
          <w:p w:rsidR="0034657E" w:rsidRDefault="0034657E" w:rsidP="0034657E">
            <w:pPr>
              <w:jc w:val="center"/>
              <w:rPr>
                <w:rFonts w:ascii="Calibri" w:hAnsi="Calibri" w:cs="Calibri"/>
                <w:b/>
                <w:bCs/>
                <w:color w:val="FFFFFF"/>
                <w:sz w:val="16"/>
                <w:szCs w:val="16"/>
              </w:rPr>
            </w:pPr>
            <w:r>
              <w:rPr>
                <w:rFonts w:ascii="Calibri" w:hAnsi="Calibri" w:cs="Calibri"/>
                <w:b/>
                <w:bCs/>
                <w:color w:val="FFFFFF"/>
                <w:sz w:val="16"/>
                <w:szCs w:val="16"/>
              </w:rPr>
              <w:t xml:space="preserve">Plan 5 mujor </w:t>
            </w:r>
          </w:p>
        </w:tc>
        <w:tc>
          <w:tcPr>
            <w:tcW w:w="1032" w:type="dxa"/>
            <w:vMerge w:val="restart"/>
            <w:tcBorders>
              <w:top w:val="single" w:sz="8" w:space="0" w:color="4BACC6"/>
              <w:left w:val="nil"/>
              <w:bottom w:val="single" w:sz="8" w:space="0" w:color="4BACC6"/>
              <w:right w:val="nil"/>
            </w:tcBorders>
            <w:shd w:val="clear" w:color="000000" w:fill="4BACC6"/>
            <w:vAlign w:val="center"/>
            <w:hideMark/>
          </w:tcPr>
          <w:p w:rsidR="0034657E" w:rsidRDefault="0034657E" w:rsidP="0034657E">
            <w:pPr>
              <w:jc w:val="center"/>
              <w:rPr>
                <w:rFonts w:ascii="Calibri" w:hAnsi="Calibri" w:cs="Calibri"/>
                <w:b/>
                <w:bCs/>
                <w:color w:val="FFFFFF"/>
                <w:sz w:val="16"/>
                <w:szCs w:val="16"/>
              </w:rPr>
            </w:pPr>
            <w:r>
              <w:rPr>
                <w:rFonts w:ascii="Calibri" w:hAnsi="Calibri" w:cs="Calibri"/>
                <w:b/>
                <w:bCs/>
                <w:color w:val="FFFFFF"/>
                <w:sz w:val="16"/>
                <w:szCs w:val="16"/>
              </w:rPr>
              <w:t>Diferenca 2021/2020</w:t>
            </w:r>
          </w:p>
        </w:tc>
        <w:tc>
          <w:tcPr>
            <w:tcW w:w="1032" w:type="dxa"/>
            <w:vMerge w:val="restart"/>
            <w:tcBorders>
              <w:top w:val="single" w:sz="8" w:space="0" w:color="4BACC6"/>
              <w:left w:val="nil"/>
              <w:bottom w:val="single" w:sz="8" w:space="0" w:color="4BACC6"/>
              <w:right w:val="nil"/>
            </w:tcBorders>
            <w:shd w:val="clear" w:color="000000" w:fill="4BACC6"/>
            <w:vAlign w:val="center"/>
            <w:hideMark/>
          </w:tcPr>
          <w:p w:rsidR="0034657E" w:rsidRDefault="0034657E" w:rsidP="0034657E">
            <w:pPr>
              <w:jc w:val="center"/>
              <w:rPr>
                <w:rFonts w:ascii="Calibri" w:hAnsi="Calibri" w:cs="Calibri"/>
                <w:b/>
                <w:bCs/>
                <w:color w:val="FFFFFF"/>
                <w:sz w:val="16"/>
                <w:szCs w:val="16"/>
              </w:rPr>
            </w:pPr>
            <w:r>
              <w:rPr>
                <w:rFonts w:ascii="Calibri" w:hAnsi="Calibri" w:cs="Calibri"/>
                <w:b/>
                <w:bCs/>
                <w:color w:val="FFFFFF"/>
                <w:sz w:val="16"/>
                <w:szCs w:val="16"/>
              </w:rPr>
              <w:t>Ndryshimi në % 2021/2020</w:t>
            </w:r>
          </w:p>
        </w:tc>
        <w:tc>
          <w:tcPr>
            <w:tcW w:w="1032" w:type="dxa"/>
            <w:vMerge w:val="restart"/>
            <w:tcBorders>
              <w:top w:val="single" w:sz="8" w:space="0" w:color="4BACC6"/>
              <w:left w:val="nil"/>
              <w:bottom w:val="single" w:sz="8" w:space="0" w:color="4BACC6"/>
              <w:right w:val="nil"/>
            </w:tcBorders>
            <w:shd w:val="clear" w:color="000000" w:fill="4BACC6"/>
            <w:vAlign w:val="center"/>
            <w:hideMark/>
          </w:tcPr>
          <w:p w:rsidR="0034657E" w:rsidRDefault="0034657E" w:rsidP="0034657E">
            <w:pPr>
              <w:jc w:val="center"/>
              <w:rPr>
                <w:rFonts w:ascii="Calibri" w:hAnsi="Calibri" w:cs="Calibri"/>
                <w:b/>
                <w:bCs/>
                <w:color w:val="FFFFFF"/>
                <w:sz w:val="16"/>
                <w:szCs w:val="16"/>
              </w:rPr>
            </w:pPr>
            <w:r>
              <w:rPr>
                <w:rFonts w:ascii="Calibri" w:hAnsi="Calibri" w:cs="Calibri"/>
                <w:b/>
                <w:bCs/>
                <w:color w:val="FFFFFF"/>
                <w:sz w:val="16"/>
                <w:szCs w:val="16"/>
              </w:rPr>
              <w:t>Diferenca Fakt/ Plan 2021</w:t>
            </w:r>
          </w:p>
        </w:tc>
        <w:tc>
          <w:tcPr>
            <w:tcW w:w="1032" w:type="dxa"/>
            <w:vMerge w:val="restart"/>
            <w:tcBorders>
              <w:top w:val="single" w:sz="8" w:space="0" w:color="4BACC6"/>
              <w:left w:val="nil"/>
              <w:bottom w:val="single" w:sz="8" w:space="0" w:color="4BACC6"/>
              <w:right w:val="single" w:sz="8" w:space="0" w:color="4BACC6"/>
            </w:tcBorders>
            <w:shd w:val="clear" w:color="000000" w:fill="4BACC6"/>
            <w:vAlign w:val="center"/>
            <w:hideMark/>
          </w:tcPr>
          <w:p w:rsidR="0034657E" w:rsidRDefault="0034657E" w:rsidP="0034657E">
            <w:pPr>
              <w:jc w:val="center"/>
              <w:rPr>
                <w:rFonts w:ascii="Calibri" w:hAnsi="Calibri" w:cs="Calibri"/>
                <w:b/>
                <w:bCs/>
                <w:color w:val="FFFFFF"/>
                <w:sz w:val="16"/>
                <w:szCs w:val="16"/>
              </w:rPr>
            </w:pPr>
            <w:r>
              <w:rPr>
                <w:rFonts w:ascii="Calibri" w:hAnsi="Calibri" w:cs="Calibri"/>
                <w:b/>
                <w:bCs/>
                <w:color w:val="FFFFFF"/>
                <w:sz w:val="16"/>
                <w:szCs w:val="16"/>
              </w:rPr>
              <w:t>Ndryshimi në %  Fakt/Plan 2021</w:t>
            </w:r>
          </w:p>
        </w:tc>
      </w:tr>
      <w:tr w:rsidR="0034657E" w:rsidTr="0034657E">
        <w:trPr>
          <w:trHeight w:val="358"/>
          <w:jc w:val="center"/>
        </w:trPr>
        <w:tc>
          <w:tcPr>
            <w:tcW w:w="2062" w:type="dxa"/>
            <w:vMerge/>
            <w:tcBorders>
              <w:top w:val="single" w:sz="8" w:space="0" w:color="4BACC6"/>
              <w:left w:val="single" w:sz="8" w:space="0" w:color="4BACC6"/>
              <w:bottom w:val="single" w:sz="8" w:space="0" w:color="4BACC6"/>
              <w:right w:val="nil"/>
            </w:tcBorders>
            <w:vAlign w:val="center"/>
            <w:hideMark/>
          </w:tcPr>
          <w:p w:rsidR="0034657E" w:rsidRDefault="0034657E" w:rsidP="0034657E">
            <w:pPr>
              <w:rPr>
                <w:rFonts w:ascii="Calibri" w:hAnsi="Calibri" w:cs="Calibri"/>
                <w:b/>
                <w:bCs/>
                <w:color w:val="FFFFFF"/>
                <w:sz w:val="16"/>
                <w:szCs w:val="16"/>
              </w:rPr>
            </w:pPr>
          </w:p>
        </w:tc>
        <w:tc>
          <w:tcPr>
            <w:tcW w:w="1548" w:type="dxa"/>
            <w:vMerge/>
            <w:tcBorders>
              <w:top w:val="single" w:sz="8" w:space="0" w:color="4BACC6"/>
              <w:left w:val="nil"/>
              <w:bottom w:val="single" w:sz="8" w:space="0" w:color="4BACC6"/>
              <w:right w:val="nil"/>
            </w:tcBorders>
            <w:vAlign w:val="center"/>
            <w:hideMark/>
          </w:tcPr>
          <w:p w:rsidR="0034657E" w:rsidRDefault="0034657E" w:rsidP="0034657E">
            <w:pPr>
              <w:rPr>
                <w:rFonts w:ascii="Calibri" w:hAnsi="Calibri" w:cs="Calibri"/>
                <w:b/>
                <w:bCs/>
                <w:color w:val="FFFFFF"/>
                <w:sz w:val="16"/>
                <w:szCs w:val="16"/>
              </w:rPr>
            </w:pPr>
          </w:p>
        </w:tc>
        <w:tc>
          <w:tcPr>
            <w:tcW w:w="1635" w:type="dxa"/>
            <w:tcBorders>
              <w:top w:val="nil"/>
              <w:left w:val="nil"/>
              <w:bottom w:val="single" w:sz="8" w:space="0" w:color="4BACC6"/>
              <w:right w:val="nil"/>
            </w:tcBorders>
            <w:shd w:val="clear" w:color="000000" w:fill="4BACC6"/>
            <w:vAlign w:val="center"/>
            <w:hideMark/>
          </w:tcPr>
          <w:p w:rsidR="0034657E" w:rsidRDefault="0034657E" w:rsidP="0034657E">
            <w:pPr>
              <w:jc w:val="center"/>
              <w:rPr>
                <w:rFonts w:ascii="Calibri" w:hAnsi="Calibri" w:cs="Calibri"/>
                <w:b/>
                <w:bCs/>
                <w:color w:val="FFFFFF"/>
                <w:sz w:val="16"/>
                <w:szCs w:val="16"/>
              </w:rPr>
            </w:pPr>
            <w:r>
              <w:rPr>
                <w:rFonts w:ascii="Calibri" w:hAnsi="Calibri" w:cs="Calibri"/>
                <w:b/>
                <w:bCs/>
                <w:color w:val="FFFFFF"/>
                <w:sz w:val="16"/>
                <w:szCs w:val="16"/>
              </w:rPr>
              <w:t>2021</w:t>
            </w:r>
          </w:p>
        </w:tc>
        <w:tc>
          <w:tcPr>
            <w:tcW w:w="1032" w:type="dxa"/>
            <w:tcBorders>
              <w:top w:val="nil"/>
              <w:left w:val="nil"/>
              <w:bottom w:val="single" w:sz="8" w:space="0" w:color="4BACC6"/>
              <w:right w:val="nil"/>
            </w:tcBorders>
            <w:shd w:val="clear" w:color="000000" w:fill="4BACC6"/>
            <w:vAlign w:val="center"/>
            <w:hideMark/>
          </w:tcPr>
          <w:p w:rsidR="0034657E" w:rsidRDefault="0034657E" w:rsidP="0034657E">
            <w:pPr>
              <w:jc w:val="center"/>
              <w:rPr>
                <w:rFonts w:ascii="Calibri" w:hAnsi="Calibri" w:cs="Calibri"/>
                <w:b/>
                <w:bCs/>
                <w:color w:val="FFFFFF"/>
                <w:sz w:val="16"/>
                <w:szCs w:val="16"/>
              </w:rPr>
            </w:pPr>
            <w:r>
              <w:rPr>
                <w:rFonts w:ascii="Calibri" w:hAnsi="Calibri" w:cs="Calibri"/>
                <w:b/>
                <w:bCs/>
                <w:color w:val="FFFFFF"/>
                <w:sz w:val="16"/>
                <w:szCs w:val="16"/>
              </w:rPr>
              <w:t>2021</w:t>
            </w:r>
          </w:p>
        </w:tc>
        <w:tc>
          <w:tcPr>
            <w:tcW w:w="1032" w:type="dxa"/>
            <w:vMerge/>
            <w:tcBorders>
              <w:top w:val="single" w:sz="8" w:space="0" w:color="4BACC6"/>
              <w:left w:val="nil"/>
              <w:bottom w:val="single" w:sz="8" w:space="0" w:color="4BACC6"/>
              <w:right w:val="nil"/>
            </w:tcBorders>
            <w:vAlign w:val="center"/>
            <w:hideMark/>
          </w:tcPr>
          <w:p w:rsidR="0034657E" w:rsidRDefault="0034657E" w:rsidP="0034657E">
            <w:pPr>
              <w:rPr>
                <w:rFonts w:ascii="Calibri" w:hAnsi="Calibri" w:cs="Calibri"/>
                <w:b/>
                <w:bCs/>
                <w:color w:val="FFFFFF"/>
                <w:sz w:val="16"/>
                <w:szCs w:val="16"/>
              </w:rPr>
            </w:pPr>
          </w:p>
        </w:tc>
        <w:tc>
          <w:tcPr>
            <w:tcW w:w="1032" w:type="dxa"/>
            <w:vMerge/>
            <w:tcBorders>
              <w:top w:val="single" w:sz="8" w:space="0" w:color="4BACC6"/>
              <w:left w:val="nil"/>
              <w:bottom w:val="single" w:sz="8" w:space="0" w:color="4BACC6"/>
              <w:right w:val="nil"/>
            </w:tcBorders>
            <w:vAlign w:val="center"/>
            <w:hideMark/>
          </w:tcPr>
          <w:p w:rsidR="0034657E" w:rsidRDefault="0034657E" w:rsidP="0034657E">
            <w:pPr>
              <w:rPr>
                <w:rFonts w:ascii="Calibri" w:hAnsi="Calibri" w:cs="Calibri"/>
                <w:b/>
                <w:bCs/>
                <w:color w:val="FFFFFF"/>
                <w:sz w:val="16"/>
                <w:szCs w:val="16"/>
              </w:rPr>
            </w:pPr>
          </w:p>
        </w:tc>
        <w:tc>
          <w:tcPr>
            <w:tcW w:w="1032" w:type="dxa"/>
            <w:vMerge/>
            <w:tcBorders>
              <w:top w:val="single" w:sz="8" w:space="0" w:color="4BACC6"/>
              <w:left w:val="nil"/>
              <w:bottom w:val="single" w:sz="8" w:space="0" w:color="4BACC6"/>
              <w:right w:val="nil"/>
            </w:tcBorders>
            <w:vAlign w:val="center"/>
            <w:hideMark/>
          </w:tcPr>
          <w:p w:rsidR="0034657E" w:rsidRDefault="0034657E" w:rsidP="0034657E">
            <w:pPr>
              <w:rPr>
                <w:rFonts w:ascii="Calibri" w:hAnsi="Calibri" w:cs="Calibri"/>
                <w:b/>
                <w:bCs/>
                <w:color w:val="FFFFFF"/>
                <w:sz w:val="16"/>
                <w:szCs w:val="16"/>
              </w:rPr>
            </w:pPr>
          </w:p>
        </w:tc>
        <w:tc>
          <w:tcPr>
            <w:tcW w:w="1032" w:type="dxa"/>
            <w:vMerge/>
            <w:tcBorders>
              <w:top w:val="single" w:sz="8" w:space="0" w:color="4BACC6"/>
              <w:left w:val="nil"/>
              <w:bottom w:val="single" w:sz="8" w:space="0" w:color="4BACC6"/>
              <w:right w:val="single" w:sz="8" w:space="0" w:color="4BACC6"/>
            </w:tcBorders>
            <w:vAlign w:val="center"/>
            <w:hideMark/>
          </w:tcPr>
          <w:p w:rsidR="0034657E" w:rsidRDefault="0034657E" w:rsidP="0034657E">
            <w:pPr>
              <w:rPr>
                <w:rFonts w:ascii="Calibri" w:hAnsi="Calibri" w:cs="Calibri"/>
                <w:b/>
                <w:bCs/>
                <w:color w:val="FFFFFF"/>
                <w:sz w:val="16"/>
                <w:szCs w:val="16"/>
              </w:rPr>
            </w:pPr>
          </w:p>
        </w:tc>
      </w:tr>
      <w:tr w:rsidR="0034657E" w:rsidTr="0034657E">
        <w:trPr>
          <w:trHeight w:val="205"/>
          <w:jc w:val="center"/>
        </w:trPr>
        <w:tc>
          <w:tcPr>
            <w:tcW w:w="2062" w:type="dxa"/>
            <w:tcBorders>
              <w:top w:val="nil"/>
              <w:left w:val="single" w:sz="8" w:space="0" w:color="4BACC6"/>
              <w:bottom w:val="nil"/>
              <w:right w:val="nil"/>
            </w:tcBorders>
            <w:shd w:val="clear" w:color="000000" w:fill="FFFFFF"/>
            <w:vAlign w:val="center"/>
            <w:hideMark/>
          </w:tcPr>
          <w:p w:rsidR="0034657E" w:rsidRDefault="0034657E" w:rsidP="0034657E">
            <w:pPr>
              <w:rPr>
                <w:rFonts w:ascii="Calibri" w:hAnsi="Calibri" w:cs="Calibri"/>
                <w:b/>
                <w:bCs/>
                <w:color w:val="000000"/>
                <w:sz w:val="16"/>
                <w:szCs w:val="16"/>
              </w:rPr>
            </w:pPr>
            <w:r>
              <w:rPr>
                <w:rFonts w:ascii="Calibri" w:hAnsi="Calibri" w:cs="Calibri"/>
                <w:b/>
                <w:bCs/>
                <w:color w:val="000000"/>
                <w:sz w:val="16"/>
                <w:szCs w:val="16"/>
              </w:rPr>
              <w:t>TVSH TOTAL</w:t>
            </w:r>
          </w:p>
        </w:tc>
        <w:tc>
          <w:tcPr>
            <w:tcW w:w="1548"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47,922</w:t>
            </w:r>
          </w:p>
        </w:tc>
        <w:tc>
          <w:tcPr>
            <w:tcW w:w="1635"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55,237</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55,573</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7,315</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115.3%</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-336</w:t>
            </w:r>
          </w:p>
        </w:tc>
        <w:tc>
          <w:tcPr>
            <w:tcW w:w="1032" w:type="dxa"/>
            <w:tcBorders>
              <w:top w:val="nil"/>
              <w:left w:val="nil"/>
              <w:bottom w:val="nil"/>
              <w:right w:val="single" w:sz="8" w:space="0" w:color="4BACC6"/>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99.4%</w:t>
            </w:r>
          </w:p>
        </w:tc>
      </w:tr>
      <w:tr w:rsidR="0034657E" w:rsidTr="0034657E">
        <w:trPr>
          <w:trHeight w:val="205"/>
          <w:jc w:val="center"/>
        </w:trPr>
        <w:tc>
          <w:tcPr>
            <w:tcW w:w="2062" w:type="dxa"/>
            <w:tcBorders>
              <w:top w:val="single" w:sz="8" w:space="0" w:color="4BACC6"/>
              <w:left w:val="single" w:sz="8" w:space="0" w:color="4BACC6"/>
              <w:bottom w:val="single" w:sz="8" w:space="0" w:color="4BACC6"/>
              <w:right w:val="nil"/>
            </w:tcBorders>
            <w:shd w:val="clear" w:color="000000" w:fill="FFFFFF"/>
            <w:vAlign w:val="center"/>
            <w:hideMark/>
          </w:tcPr>
          <w:p w:rsidR="0034657E" w:rsidRDefault="0034657E" w:rsidP="0034657E">
            <w:pPr>
              <w:rPr>
                <w:rFonts w:ascii="Calibri" w:hAnsi="Calibri" w:cs="Calibri"/>
                <w:b/>
                <w:bCs/>
                <w:i/>
                <w:iCs/>
                <w:color w:val="000000"/>
                <w:sz w:val="16"/>
                <w:szCs w:val="16"/>
              </w:rPr>
            </w:pPr>
            <w:r>
              <w:rPr>
                <w:rFonts w:ascii="Calibri" w:hAnsi="Calibri" w:cs="Calibri"/>
                <w:b/>
                <w:bCs/>
                <w:i/>
                <w:iCs/>
                <w:color w:val="000000"/>
                <w:sz w:val="16"/>
                <w:szCs w:val="16"/>
              </w:rPr>
              <w:t xml:space="preserve">Tvsh në import </w:t>
            </w:r>
          </w:p>
        </w:tc>
        <w:tc>
          <w:tcPr>
            <w:tcW w:w="1548"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36,078</w:t>
            </w:r>
          </w:p>
        </w:tc>
        <w:tc>
          <w:tcPr>
            <w:tcW w:w="1635"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45,758</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45,183</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9,680</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126.8%</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575</w:t>
            </w:r>
          </w:p>
        </w:tc>
        <w:tc>
          <w:tcPr>
            <w:tcW w:w="1032" w:type="dxa"/>
            <w:tcBorders>
              <w:top w:val="single" w:sz="8" w:space="0" w:color="4BACC6"/>
              <w:left w:val="nil"/>
              <w:bottom w:val="single" w:sz="8" w:space="0" w:color="4BACC6"/>
              <w:right w:val="single" w:sz="8" w:space="0" w:color="4BACC6"/>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101.3%</w:t>
            </w:r>
          </w:p>
        </w:tc>
      </w:tr>
      <w:tr w:rsidR="0034657E" w:rsidTr="0034657E">
        <w:trPr>
          <w:trHeight w:val="205"/>
          <w:jc w:val="center"/>
        </w:trPr>
        <w:tc>
          <w:tcPr>
            <w:tcW w:w="2062" w:type="dxa"/>
            <w:tcBorders>
              <w:top w:val="nil"/>
              <w:left w:val="single" w:sz="8" w:space="0" w:color="4BACC6"/>
              <w:bottom w:val="nil"/>
              <w:right w:val="nil"/>
            </w:tcBorders>
            <w:shd w:val="clear" w:color="000000" w:fill="FFFFFF"/>
            <w:vAlign w:val="center"/>
            <w:hideMark/>
          </w:tcPr>
          <w:p w:rsidR="0034657E" w:rsidRDefault="0034657E" w:rsidP="0034657E">
            <w:pPr>
              <w:rPr>
                <w:rFonts w:ascii="Calibri" w:hAnsi="Calibri" w:cs="Calibri"/>
                <w:b/>
                <w:bCs/>
                <w:i/>
                <w:iCs/>
                <w:color w:val="000000"/>
                <w:sz w:val="16"/>
                <w:szCs w:val="16"/>
              </w:rPr>
            </w:pPr>
            <w:r>
              <w:rPr>
                <w:rFonts w:ascii="Calibri" w:hAnsi="Calibri" w:cs="Calibri"/>
                <w:b/>
                <w:bCs/>
                <w:i/>
                <w:iCs/>
                <w:color w:val="000000"/>
                <w:sz w:val="16"/>
                <w:szCs w:val="16"/>
              </w:rPr>
              <w:t>Tvsh brenda vendit</w:t>
            </w:r>
          </w:p>
        </w:tc>
        <w:tc>
          <w:tcPr>
            <w:tcW w:w="1548"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11,844</w:t>
            </w:r>
          </w:p>
        </w:tc>
        <w:tc>
          <w:tcPr>
            <w:tcW w:w="1635"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9,479</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10,390</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-2,365</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80%</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-911</w:t>
            </w:r>
          </w:p>
        </w:tc>
        <w:tc>
          <w:tcPr>
            <w:tcW w:w="1032" w:type="dxa"/>
            <w:tcBorders>
              <w:top w:val="nil"/>
              <w:left w:val="nil"/>
              <w:bottom w:val="nil"/>
              <w:right w:val="single" w:sz="8" w:space="0" w:color="4BACC6"/>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91.2%</w:t>
            </w:r>
          </w:p>
        </w:tc>
      </w:tr>
      <w:tr w:rsidR="0034657E" w:rsidTr="0034657E">
        <w:trPr>
          <w:trHeight w:val="205"/>
          <w:jc w:val="center"/>
        </w:trPr>
        <w:tc>
          <w:tcPr>
            <w:tcW w:w="2062" w:type="dxa"/>
            <w:tcBorders>
              <w:top w:val="single" w:sz="8" w:space="0" w:color="4BACC6"/>
              <w:left w:val="single" w:sz="8" w:space="0" w:color="4BACC6"/>
              <w:bottom w:val="single" w:sz="8" w:space="0" w:color="4BACC6"/>
              <w:right w:val="nil"/>
            </w:tcBorders>
            <w:shd w:val="clear" w:color="000000" w:fill="FFFFFF"/>
            <w:vAlign w:val="center"/>
            <w:hideMark/>
          </w:tcPr>
          <w:p w:rsidR="0034657E" w:rsidRDefault="0034657E" w:rsidP="0034657E">
            <w:pPr>
              <w:rPr>
                <w:rFonts w:ascii="Calibri" w:hAnsi="Calibri" w:cs="Calibri"/>
                <w:b/>
                <w:bCs/>
                <w:color w:val="000000"/>
                <w:sz w:val="16"/>
                <w:szCs w:val="16"/>
              </w:rPr>
            </w:pPr>
            <w:r>
              <w:rPr>
                <w:rFonts w:ascii="Calibri" w:hAnsi="Calibri" w:cs="Calibri"/>
                <w:b/>
                <w:bCs/>
                <w:color w:val="000000"/>
                <w:sz w:val="16"/>
                <w:szCs w:val="16"/>
              </w:rPr>
              <w:t>Rimbursim TVSH</w:t>
            </w:r>
          </w:p>
        </w:tc>
        <w:tc>
          <w:tcPr>
            <w:tcW w:w="1548"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5,921</w:t>
            </w:r>
          </w:p>
        </w:tc>
        <w:tc>
          <w:tcPr>
            <w:tcW w:w="1635"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12,349</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mbria" w:hAnsi="Cambria" w:cs="Calibri"/>
                <w:color w:val="000000"/>
                <w:sz w:val="16"/>
                <w:szCs w:val="16"/>
              </w:rPr>
            </w:pPr>
            <w:r>
              <w:rPr>
                <w:rFonts w:ascii="Cambria" w:hAnsi="Cambria" w:cs="Calibri"/>
                <w:color w:val="000000"/>
                <w:sz w:val="16"/>
                <w:szCs w:val="16"/>
              </w:rPr>
              <w:t>8,250</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6,428</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208.6%</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4099</w:t>
            </w:r>
          </w:p>
        </w:tc>
        <w:tc>
          <w:tcPr>
            <w:tcW w:w="1032" w:type="dxa"/>
            <w:tcBorders>
              <w:top w:val="single" w:sz="8" w:space="0" w:color="4BACC6"/>
              <w:left w:val="nil"/>
              <w:bottom w:val="single" w:sz="8" w:space="0" w:color="4BACC6"/>
              <w:right w:val="single" w:sz="8" w:space="0" w:color="4BACC6"/>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149.7%</w:t>
            </w:r>
          </w:p>
        </w:tc>
      </w:tr>
      <w:tr w:rsidR="0034657E" w:rsidTr="0034657E">
        <w:trPr>
          <w:trHeight w:val="205"/>
          <w:jc w:val="center"/>
        </w:trPr>
        <w:tc>
          <w:tcPr>
            <w:tcW w:w="2062" w:type="dxa"/>
            <w:tcBorders>
              <w:top w:val="nil"/>
              <w:left w:val="single" w:sz="8" w:space="0" w:color="4BACC6"/>
              <w:bottom w:val="nil"/>
              <w:right w:val="nil"/>
            </w:tcBorders>
            <w:shd w:val="clear" w:color="000000" w:fill="FFFFFF"/>
            <w:vAlign w:val="center"/>
            <w:hideMark/>
          </w:tcPr>
          <w:p w:rsidR="0034657E" w:rsidRDefault="0034657E" w:rsidP="0034657E">
            <w:pPr>
              <w:rPr>
                <w:rFonts w:ascii="Calibri" w:hAnsi="Calibri" w:cs="Calibri"/>
                <w:b/>
                <w:bCs/>
                <w:color w:val="000000"/>
                <w:sz w:val="16"/>
                <w:szCs w:val="16"/>
              </w:rPr>
            </w:pPr>
            <w:r>
              <w:rPr>
                <w:rFonts w:ascii="Calibri" w:hAnsi="Calibri" w:cs="Calibri"/>
                <w:b/>
                <w:bCs/>
                <w:color w:val="000000"/>
                <w:sz w:val="16"/>
                <w:szCs w:val="16"/>
              </w:rPr>
              <w:t>Tatimi mbi fitimin</w:t>
            </w:r>
          </w:p>
        </w:tc>
        <w:tc>
          <w:tcPr>
            <w:tcW w:w="1548"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11,443</w:t>
            </w:r>
          </w:p>
        </w:tc>
        <w:tc>
          <w:tcPr>
            <w:tcW w:w="1635"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15,134</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15,270</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3,691</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132.3%</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-136</w:t>
            </w:r>
          </w:p>
        </w:tc>
        <w:tc>
          <w:tcPr>
            <w:tcW w:w="1032" w:type="dxa"/>
            <w:tcBorders>
              <w:top w:val="nil"/>
              <w:left w:val="nil"/>
              <w:bottom w:val="nil"/>
              <w:right w:val="single" w:sz="8" w:space="0" w:color="4BACC6"/>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99.1%</w:t>
            </w:r>
          </w:p>
        </w:tc>
      </w:tr>
      <w:tr w:rsidR="0034657E" w:rsidTr="0034657E">
        <w:trPr>
          <w:trHeight w:val="205"/>
          <w:jc w:val="center"/>
        </w:trPr>
        <w:tc>
          <w:tcPr>
            <w:tcW w:w="2062" w:type="dxa"/>
            <w:tcBorders>
              <w:top w:val="single" w:sz="8" w:space="0" w:color="4BACC6"/>
              <w:left w:val="single" w:sz="8" w:space="0" w:color="4BACC6"/>
              <w:bottom w:val="single" w:sz="8" w:space="0" w:color="4BACC6"/>
              <w:right w:val="nil"/>
            </w:tcBorders>
            <w:shd w:val="clear" w:color="000000" w:fill="FFFFFF"/>
            <w:vAlign w:val="center"/>
            <w:hideMark/>
          </w:tcPr>
          <w:p w:rsidR="0034657E" w:rsidRDefault="0034657E" w:rsidP="0034657E">
            <w:pPr>
              <w:rPr>
                <w:rFonts w:ascii="Calibri" w:hAnsi="Calibri" w:cs="Calibri"/>
                <w:b/>
                <w:bCs/>
                <w:color w:val="000000"/>
                <w:sz w:val="16"/>
                <w:szCs w:val="16"/>
              </w:rPr>
            </w:pPr>
            <w:r>
              <w:rPr>
                <w:rFonts w:ascii="Calibri" w:hAnsi="Calibri" w:cs="Calibri"/>
                <w:b/>
                <w:bCs/>
                <w:color w:val="000000"/>
                <w:sz w:val="16"/>
                <w:szCs w:val="16"/>
              </w:rPr>
              <w:t xml:space="preserve">Akciza </w:t>
            </w:r>
          </w:p>
        </w:tc>
        <w:tc>
          <w:tcPr>
            <w:tcW w:w="1548"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15,810</w:t>
            </w:r>
          </w:p>
        </w:tc>
        <w:tc>
          <w:tcPr>
            <w:tcW w:w="1635"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18,393</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17,766</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2583</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116.3%</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627</w:t>
            </w:r>
          </w:p>
        </w:tc>
        <w:tc>
          <w:tcPr>
            <w:tcW w:w="1032" w:type="dxa"/>
            <w:tcBorders>
              <w:top w:val="single" w:sz="8" w:space="0" w:color="4BACC6"/>
              <w:left w:val="nil"/>
              <w:bottom w:val="single" w:sz="8" w:space="0" w:color="4BACC6"/>
              <w:right w:val="single" w:sz="8" w:space="0" w:color="4BACC6"/>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103.5%</w:t>
            </w:r>
          </w:p>
        </w:tc>
      </w:tr>
      <w:tr w:rsidR="0034657E" w:rsidTr="0034657E">
        <w:trPr>
          <w:trHeight w:val="205"/>
          <w:jc w:val="center"/>
        </w:trPr>
        <w:tc>
          <w:tcPr>
            <w:tcW w:w="2062" w:type="dxa"/>
            <w:tcBorders>
              <w:top w:val="nil"/>
              <w:left w:val="single" w:sz="8" w:space="0" w:color="4BACC6"/>
              <w:bottom w:val="nil"/>
              <w:right w:val="nil"/>
            </w:tcBorders>
            <w:shd w:val="clear" w:color="000000" w:fill="FFFFFF"/>
            <w:vAlign w:val="center"/>
            <w:hideMark/>
          </w:tcPr>
          <w:p w:rsidR="0034657E" w:rsidRDefault="0034657E" w:rsidP="0034657E">
            <w:pPr>
              <w:rPr>
                <w:rFonts w:ascii="Calibri" w:hAnsi="Calibri" w:cs="Calibri"/>
                <w:b/>
                <w:bCs/>
                <w:color w:val="000000"/>
                <w:sz w:val="16"/>
                <w:szCs w:val="16"/>
              </w:rPr>
            </w:pPr>
            <w:r>
              <w:rPr>
                <w:rFonts w:ascii="Calibri" w:hAnsi="Calibri" w:cs="Calibri"/>
                <w:b/>
                <w:bCs/>
                <w:color w:val="000000"/>
                <w:sz w:val="16"/>
                <w:szCs w:val="16"/>
              </w:rPr>
              <w:t>Tatimi mbi të ardhurat personale</w:t>
            </w:r>
          </w:p>
        </w:tc>
        <w:tc>
          <w:tcPr>
            <w:tcW w:w="1548"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13,544</w:t>
            </w:r>
          </w:p>
        </w:tc>
        <w:tc>
          <w:tcPr>
            <w:tcW w:w="1635"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16,004</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16,181</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2,460</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118%</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-177</w:t>
            </w:r>
          </w:p>
        </w:tc>
        <w:tc>
          <w:tcPr>
            <w:tcW w:w="1032" w:type="dxa"/>
            <w:tcBorders>
              <w:top w:val="nil"/>
              <w:left w:val="nil"/>
              <w:bottom w:val="nil"/>
              <w:right w:val="single" w:sz="8" w:space="0" w:color="4BACC6"/>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98.9%</w:t>
            </w:r>
          </w:p>
        </w:tc>
      </w:tr>
      <w:tr w:rsidR="0034657E" w:rsidTr="0034657E">
        <w:trPr>
          <w:trHeight w:val="205"/>
          <w:jc w:val="center"/>
        </w:trPr>
        <w:tc>
          <w:tcPr>
            <w:tcW w:w="2062" w:type="dxa"/>
            <w:tcBorders>
              <w:top w:val="single" w:sz="8" w:space="0" w:color="4BACC6"/>
              <w:left w:val="single" w:sz="8" w:space="0" w:color="4BACC6"/>
              <w:bottom w:val="single" w:sz="8" w:space="0" w:color="4BACC6"/>
              <w:right w:val="nil"/>
            </w:tcBorders>
            <w:shd w:val="clear" w:color="000000" w:fill="FFFFFF"/>
            <w:vAlign w:val="center"/>
            <w:hideMark/>
          </w:tcPr>
          <w:p w:rsidR="0034657E" w:rsidRDefault="0034657E" w:rsidP="0034657E">
            <w:pPr>
              <w:rPr>
                <w:rFonts w:ascii="Calibri" w:hAnsi="Calibri" w:cs="Calibri"/>
                <w:b/>
                <w:bCs/>
                <w:color w:val="000000"/>
                <w:sz w:val="16"/>
                <w:szCs w:val="16"/>
              </w:rPr>
            </w:pPr>
            <w:r>
              <w:rPr>
                <w:rFonts w:ascii="Calibri" w:hAnsi="Calibri" w:cs="Calibri"/>
                <w:b/>
                <w:bCs/>
                <w:color w:val="000000"/>
                <w:sz w:val="16"/>
                <w:szCs w:val="16"/>
              </w:rPr>
              <w:t>Taksa Nacional dhe të tjera</w:t>
            </w:r>
          </w:p>
        </w:tc>
        <w:tc>
          <w:tcPr>
            <w:tcW w:w="1548"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12,376</w:t>
            </w:r>
          </w:p>
        </w:tc>
        <w:tc>
          <w:tcPr>
            <w:tcW w:w="1635"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15,875</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15,022</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3,499</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128.3%</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853</w:t>
            </w:r>
          </w:p>
        </w:tc>
        <w:tc>
          <w:tcPr>
            <w:tcW w:w="1032" w:type="dxa"/>
            <w:tcBorders>
              <w:top w:val="single" w:sz="8" w:space="0" w:color="4BACC6"/>
              <w:left w:val="nil"/>
              <w:bottom w:val="single" w:sz="8" w:space="0" w:color="4BACC6"/>
              <w:right w:val="single" w:sz="8" w:space="0" w:color="4BACC6"/>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105.7%</w:t>
            </w:r>
          </w:p>
        </w:tc>
      </w:tr>
      <w:tr w:rsidR="0034657E" w:rsidTr="0034657E">
        <w:trPr>
          <w:trHeight w:val="281"/>
          <w:jc w:val="center"/>
        </w:trPr>
        <w:tc>
          <w:tcPr>
            <w:tcW w:w="2062" w:type="dxa"/>
            <w:tcBorders>
              <w:top w:val="nil"/>
              <w:left w:val="single" w:sz="8" w:space="0" w:color="4BACC6"/>
              <w:bottom w:val="nil"/>
              <w:right w:val="nil"/>
            </w:tcBorders>
            <w:shd w:val="clear" w:color="000000" w:fill="FFFFFF"/>
            <w:vAlign w:val="center"/>
            <w:hideMark/>
          </w:tcPr>
          <w:p w:rsidR="0034657E" w:rsidRDefault="0034657E" w:rsidP="0034657E">
            <w:pPr>
              <w:rPr>
                <w:rFonts w:ascii="Calibri" w:hAnsi="Calibri" w:cs="Calibri"/>
                <w:b/>
                <w:bCs/>
                <w:i/>
                <w:iCs/>
                <w:color w:val="000000"/>
                <w:sz w:val="16"/>
                <w:szCs w:val="16"/>
              </w:rPr>
            </w:pPr>
            <w:r>
              <w:rPr>
                <w:rFonts w:ascii="Calibri" w:hAnsi="Calibri" w:cs="Calibri"/>
                <w:b/>
                <w:bCs/>
                <w:i/>
                <w:iCs/>
                <w:color w:val="000000"/>
                <w:sz w:val="16"/>
                <w:szCs w:val="16"/>
              </w:rPr>
              <w:t>Taksat nacionale</w:t>
            </w:r>
          </w:p>
        </w:tc>
        <w:tc>
          <w:tcPr>
            <w:tcW w:w="1548"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11,585</w:t>
            </w:r>
          </w:p>
        </w:tc>
        <w:tc>
          <w:tcPr>
            <w:tcW w:w="1635"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14,820</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14,006</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3,235</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128%</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814</w:t>
            </w:r>
          </w:p>
        </w:tc>
        <w:tc>
          <w:tcPr>
            <w:tcW w:w="1032" w:type="dxa"/>
            <w:tcBorders>
              <w:top w:val="nil"/>
              <w:left w:val="nil"/>
              <w:bottom w:val="nil"/>
              <w:right w:val="single" w:sz="8" w:space="0" w:color="4BACC6"/>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105.8%</w:t>
            </w:r>
          </w:p>
        </w:tc>
      </w:tr>
      <w:tr w:rsidR="0034657E" w:rsidTr="0034657E">
        <w:trPr>
          <w:trHeight w:val="205"/>
          <w:jc w:val="center"/>
        </w:trPr>
        <w:tc>
          <w:tcPr>
            <w:tcW w:w="2062" w:type="dxa"/>
            <w:tcBorders>
              <w:top w:val="single" w:sz="8" w:space="0" w:color="4BACC6"/>
              <w:left w:val="single" w:sz="8" w:space="0" w:color="4BACC6"/>
              <w:bottom w:val="single" w:sz="8" w:space="0" w:color="4BACC6"/>
              <w:right w:val="nil"/>
            </w:tcBorders>
            <w:shd w:val="clear" w:color="000000" w:fill="FFFFFF"/>
            <w:vAlign w:val="center"/>
            <w:hideMark/>
          </w:tcPr>
          <w:p w:rsidR="0034657E" w:rsidRDefault="0034657E" w:rsidP="0034657E">
            <w:pPr>
              <w:rPr>
                <w:rFonts w:ascii="Calibri" w:hAnsi="Calibri" w:cs="Calibri"/>
                <w:b/>
                <w:bCs/>
                <w:i/>
                <w:iCs/>
                <w:color w:val="000000"/>
                <w:sz w:val="16"/>
                <w:szCs w:val="16"/>
              </w:rPr>
            </w:pPr>
            <w:r>
              <w:rPr>
                <w:rFonts w:ascii="Calibri" w:hAnsi="Calibri" w:cs="Calibri"/>
                <w:b/>
                <w:bCs/>
                <w:i/>
                <w:iCs/>
                <w:color w:val="000000"/>
                <w:sz w:val="16"/>
                <w:szCs w:val="16"/>
              </w:rPr>
              <w:t>Renta Minerare</w:t>
            </w:r>
          </w:p>
        </w:tc>
        <w:tc>
          <w:tcPr>
            <w:tcW w:w="1548"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791</w:t>
            </w:r>
          </w:p>
        </w:tc>
        <w:tc>
          <w:tcPr>
            <w:tcW w:w="1635"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1,055</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1,015</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264</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133.4%</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40</w:t>
            </w:r>
          </w:p>
        </w:tc>
        <w:tc>
          <w:tcPr>
            <w:tcW w:w="1032" w:type="dxa"/>
            <w:tcBorders>
              <w:top w:val="single" w:sz="8" w:space="0" w:color="4BACC6"/>
              <w:left w:val="nil"/>
              <w:bottom w:val="single" w:sz="8" w:space="0" w:color="4BACC6"/>
              <w:right w:val="single" w:sz="8" w:space="0" w:color="4BACC6"/>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103.9%</w:t>
            </w:r>
          </w:p>
        </w:tc>
      </w:tr>
      <w:tr w:rsidR="0034657E" w:rsidTr="0034657E">
        <w:trPr>
          <w:trHeight w:val="205"/>
          <w:jc w:val="center"/>
        </w:trPr>
        <w:tc>
          <w:tcPr>
            <w:tcW w:w="2062" w:type="dxa"/>
            <w:tcBorders>
              <w:top w:val="nil"/>
              <w:left w:val="single" w:sz="8" w:space="0" w:color="4BACC6"/>
              <w:bottom w:val="nil"/>
              <w:right w:val="nil"/>
            </w:tcBorders>
            <w:shd w:val="clear" w:color="000000" w:fill="FFFFFF"/>
            <w:vAlign w:val="center"/>
            <w:hideMark/>
          </w:tcPr>
          <w:p w:rsidR="0034657E" w:rsidRDefault="0034657E" w:rsidP="0034657E">
            <w:pPr>
              <w:rPr>
                <w:rFonts w:ascii="Calibri" w:hAnsi="Calibri" w:cs="Calibri"/>
                <w:b/>
                <w:bCs/>
                <w:color w:val="000000"/>
                <w:sz w:val="16"/>
                <w:szCs w:val="16"/>
              </w:rPr>
            </w:pPr>
            <w:r>
              <w:rPr>
                <w:rFonts w:ascii="Calibri" w:hAnsi="Calibri" w:cs="Calibri"/>
                <w:b/>
                <w:bCs/>
                <w:color w:val="000000"/>
                <w:sz w:val="16"/>
                <w:szCs w:val="16"/>
              </w:rPr>
              <w:t>Taksë Doganore</w:t>
            </w:r>
          </w:p>
        </w:tc>
        <w:tc>
          <w:tcPr>
            <w:tcW w:w="1548"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2,247</w:t>
            </w:r>
          </w:p>
        </w:tc>
        <w:tc>
          <w:tcPr>
            <w:tcW w:w="1635"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2,675</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2,632</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428</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119%</w:t>
            </w:r>
          </w:p>
        </w:tc>
        <w:tc>
          <w:tcPr>
            <w:tcW w:w="1032" w:type="dxa"/>
            <w:tcBorders>
              <w:top w:val="nil"/>
              <w:left w:val="nil"/>
              <w:bottom w:val="nil"/>
              <w:right w:val="nil"/>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43</w:t>
            </w:r>
          </w:p>
        </w:tc>
        <w:tc>
          <w:tcPr>
            <w:tcW w:w="1032" w:type="dxa"/>
            <w:tcBorders>
              <w:top w:val="nil"/>
              <w:left w:val="nil"/>
              <w:bottom w:val="nil"/>
              <w:right w:val="single" w:sz="8" w:space="0" w:color="4BACC6"/>
            </w:tcBorders>
            <w:shd w:val="clear" w:color="000000" w:fill="FFFFFF"/>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101.6%</w:t>
            </w:r>
          </w:p>
        </w:tc>
      </w:tr>
      <w:tr w:rsidR="0034657E" w:rsidTr="0034657E">
        <w:trPr>
          <w:trHeight w:val="222"/>
          <w:jc w:val="center"/>
        </w:trPr>
        <w:tc>
          <w:tcPr>
            <w:tcW w:w="2062" w:type="dxa"/>
            <w:tcBorders>
              <w:top w:val="single" w:sz="8" w:space="0" w:color="4BACC6"/>
              <w:left w:val="single" w:sz="8" w:space="0" w:color="4BACC6"/>
              <w:bottom w:val="single" w:sz="8" w:space="0" w:color="4BACC6"/>
              <w:right w:val="nil"/>
            </w:tcBorders>
            <w:shd w:val="clear" w:color="000000" w:fill="FFFFFF"/>
            <w:vAlign w:val="center"/>
            <w:hideMark/>
          </w:tcPr>
          <w:p w:rsidR="0034657E" w:rsidRDefault="0034657E" w:rsidP="0034657E">
            <w:pPr>
              <w:rPr>
                <w:rFonts w:ascii="Calibri" w:hAnsi="Calibri" w:cs="Calibri"/>
                <w:b/>
                <w:bCs/>
                <w:color w:val="000000"/>
                <w:sz w:val="16"/>
                <w:szCs w:val="16"/>
              </w:rPr>
            </w:pPr>
            <w:r>
              <w:rPr>
                <w:rFonts w:ascii="Calibri" w:hAnsi="Calibri" w:cs="Calibri"/>
                <w:b/>
                <w:bCs/>
                <w:color w:val="000000"/>
                <w:sz w:val="16"/>
                <w:szCs w:val="16"/>
              </w:rPr>
              <w:t xml:space="preserve">TOTALI TATIME + DOGANA </w:t>
            </w:r>
          </w:p>
        </w:tc>
        <w:tc>
          <w:tcPr>
            <w:tcW w:w="1548"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103,342</w:t>
            </w:r>
          </w:p>
        </w:tc>
        <w:tc>
          <w:tcPr>
            <w:tcW w:w="1635"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123,318</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122,444</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19,976</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119.3%</w:t>
            </w:r>
          </w:p>
        </w:tc>
        <w:tc>
          <w:tcPr>
            <w:tcW w:w="1032" w:type="dxa"/>
            <w:tcBorders>
              <w:top w:val="single" w:sz="8" w:space="0" w:color="4BACC6"/>
              <w:left w:val="nil"/>
              <w:bottom w:val="single" w:sz="8" w:space="0" w:color="4BACC6"/>
              <w:right w:val="nil"/>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874</w:t>
            </w:r>
          </w:p>
        </w:tc>
        <w:tc>
          <w:tcPr>
            <w:tcW w:w="1032" w:type="dxa"/>
            <w:tcBorders>
              <w:top w:val="single" w:sz="8" w:space="0" w:color="4BACC6"/>
              <w:left w:val="nil"/>
              <w:bottom w:val="single" w:sz="8" w:space="0" w:color="4BACC6"/>
              <w:right w:val="single" w:sz="8" w:space="0" w:color="4BACC6"/>
            </w:tcBorders>
            <w:shd w:val="clear" w:color="000000" w:fill="FFFFFF"/>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100.7%</w:t>
            </w:r>
          </w:p>
        </w:tc>
      </w:tr>
      <w:tr w:rsidR="0034657E" w:rsidTr="0034657E">
        <w:trPr>
          <w:trHeight w:val="264"/>
          <w:jc w:val="center"/>
        </w:trPr>
        <w:tc>
          <w:tcPr>
            <w:tcW w:w="2062" w:type="dxa"/>
            <w:tcBorders>
              <w:top w:val="single" w:sz="8" w:space="0" w:color="4BACC6"/>
              <w:left w:val="single" w:sz="8" w:space="0" w:color="4BACC6"/>
              <w:bottom w:val="single" w:sz="4" w:space="0" w:color="auto"/>
              <w:right w:val="nil"/>
            </w:tcBorders>
            <w:shd w:val="clear" w:color="000000" w:fill="FFFFFF"/>
            <w:vAlign w:val="center"/>
            <w:hideMark/>
          </w:tcPr>
          <w:p w:rsidR="0034657E" w:rsidRDefault="0034657E" w:rsidP="0034657E">
            <w:pPr>
              <w:rPr>
                <w:rFonts w:ascii="Calibri" w:hAnsi="Calibri" w:cs="Calibri"/>
                <w:b/>
                <w:bCs/>
                <w:color w:val="000000"/>
                <w:sz w:val="16"/>
                <w:szCs w:val="16"/>
              </w:rPr>
            </w:pPr>
            <w:r>
              <w:rPr>
                <w:rFonts w:ascii="Calibri" w:hAnsi="Calibri" w:cs="Calibri"/>
                <w:b/>
                <w:bCs/>
                <w:color w:val="000000"/>
                <w:sz w:val="16"/>
                <w:szCs w:val="16"/>
              </w:rPr>
              <w:t>Kontributet e mbledhura (DPT)</w:t>
            </w:r>
          </w:p>
        </w:tc>
        <w:tc>
          <w:tcPr>
            <w:tcW w:w="1548" w:type="dxa"/>
            <w:tcBorders>
              <w:top w:val="single" w:sz="8" w:space="0" w:color="4BACC6"/>
              <w:left w:val="nil"/>
              <w:bottom w:val="single" w:sz="4" w:space="0" w:color="auto"/>
              <w:right w:val="nil"/>
            </w:tcBorders>
            <w:shd w:val="clear" w:color="auto" w:fill="auto"/>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38,362</w:t>
            </w:r>
          </w:p>
        </w:tc>
        <w:tc>
          <w:tcPr>
            <w:tcW w:w="1635" w:type="dxa"/>
            <w:tcBorders>
              <w:top w:val="single" w:sz="8" w:space="0" w:color="4BACC6"/>
              <w:left w:val="nil"/>
              <w:bottom w:val="single" w:sz="4" w:space="0" w:color="auto"/>
              <w:right w:val="nil"/>
            </w:tcBorders>
            <w:shd w:val="clear" w:color="auto" w:fill="auto"/>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43,406</w:t>
            </w:r>
          </w:p>
        </w:tc>
        <w:tc>
          <w:tcPr>
            <w:tcW w:w="1032" w:type="dxa"/>
            <w:tcBorders>
              <w:top w:val="single" w:sz="8" w:space="0" w:color="4BACC6"/>
              <w:left w:val="nil"/>
              <w:bottom w:val="single" w:sz="4" w:space="0" w:color="auto"/>
              <w:right w:val="nil"/>
            </w:tcBorders>
            <w:shd w:val="clear" w:color="auto" w:fill="auto"/>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41,860</w:t>
            </w:r>
          </w:p>
        </w:tc>
        <w:tc>
          <w:tcPr>
            <w:tcW w:w="1032" w:type="dxa"/>
            <w:tcBorders>
              <w:top w:val="single" w:sz="8" w:space="0" w:color="4BACC6"/>
              <w:left w:val="nil"/>
              <w:bottom w:val="single" w:sz="4" w:space="0" w:color="auto"/>
              <w:right w:val="nil"/>
            </w:tcBorders>
            <w:shd w:val="clear" w:color="auto" w:fill="auto"/>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5,044</w:t>
            </w:r>
          </w:p>
        </w:tc>
        <w:tc>
          <w:tcPr>
            <w:tcW w:w="1032" w:type="dxa"/>
            <w:tcBorders>
              <w:top w:val="single" w:sz="8" w:space="0" w:color="4BACC6"/>
              <w:left w:val="nil"/>
              <w:bottom w:val="single" w:sz="4" w:space="0" w:color="auto"/>
              <w:right w:val="nil"/>
            </w:tcBorders>
            <w:shd w:val="clear" w:color="auto" w:fill="auto"/>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113.1%</w:t>
            </w:r>
          </w:p>
        </w:tc>
        <w:tc>
          <w:tcPr>
            <w:tcW w:w="1032" w:type="dxa"/>
            <w:tcBorders>
              <w:top w:val="single" w:sz="8" w:space="0" w:color="4BACC6"/>
              <w:left w:val="nil"/>
              <w:bottom w:val="single" w:sz="4" w:space="0" w:color="auto"/>
              <w:right w:val="nil"/>
            </w:tcBorders>
            <w:shd w:val="clear" w:color="auto" w:fill="auto"/>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1,546</w:t>
            </w:r>
          </w:p>
        </w:tc>
        <w:tc>
          <w:tcPr>
            <w:tcW w:w="1032" w:type="dxa"/>
            <w:tcBorders>
              <w:top w:val="single" w:sz="8" w:space="0" w:color="4BACC6"/>
              <w:left w:val="nil"/>
              <w:bottom w:val="single" w:sz="4" w:space="0" w:color="auto"/>
              <w:right w:val="single" w:sz="8" w:space="0" w:color="4BACC6"/>
            </w:tcBorders>
            <w:shd w:val="clear" w:color="auto" w:fill="auto"/>
            <w:vAlign w:val="center"/>
            <w:hideMark/>
          </w:tcPr>
          <w:p w:rsidR="0034657E" w:rsidRDefault="0034657E" w:rsidP="0034657E">
            <w:pPr>
              <w:jc w:val="right"/>
              <w:rPr>
                <w:rFonts w:ascii="Calibri" w:hAnsi="Calibri" w:cs="Calibri"/>
                <w:color w:val="000000"/>
                <w:sz w:val="16"/>
                <w:szCs w:val="16"/>
              </w:rPr>
            </w:pPr>
            <w:r>
              <w:rPr>
                <w:rFonts w:ascii="Calibri" w:hAnsi="Calibri" w:cs="Calibri"/>
                <w:color w:val="000000"/>
                <w:sz w:val="16"/>
                <w:szCs w:val="16"/>
              </w:rPr>
              <w:t>103.7%</w:t>
            </w:r>
          </w:p>
        </w:tc>
      </w:tr>
      <w:tr w:rsidR="0034657E" w:rsidTr="0034657E">
        <w:trPr>
          <w:trHeight w:val="521"/>
          <w:jc w:val="center"/>
        </w:trPr>
        <w:tc>
          <w:tcPr>
            <w:tcW w:w="2062" w:type="dxa"/>
            <w:tcBorders>
              <w:top w:val="single" w:sz="4" w:space="0" w:color="auto"/>
              <w:left w:val="single" w:sz="8" w:space="0" w:color="4BACC6"/>
              <w:bottom w:val="single" w:sz="8" w:space="0" w:color="4BACC6"/>
              <w:right w:val="nil"/>
            </w:tcBorders>
            <w:shd w:val="clear" w:color="000000" w:fill="FFFFFF"/>
            <w:vAlign w:val="center"/>
            <w:hideMark/>
          </w:tcPr>
          <w:p w:rsidR="0034657E" w:rsidRDefault="0034657E" w:rsidP="0034657E">
            <w:pPr>
              <w:rPr>
                <w:rFonts w:ascii="Calibri" w:hAnsi="Calibri" w:cs="Calibri"/>
                <w:b/>
                <w:bCs/>
                <w:color w:val="000000"/>
                <w:sz w:val="16"/>
                <w:szCs w:val="16"/>
              </w:rPr>
            </w:pPr>
            <w:r>
              <w:rPr>
                <w:rFonts w:ascii="Calibri" w:hAnsi="Calibri" w:cs="Calibri"/>
                <w:b/>
                <w:bCs/>
                <w:color w:val="000000"/>
                <w:sz w:val="16"/>
                <w:szCs w:val="16"/>
              </w:rPr>
              <w:t>TOTALI TATIME + DOGANA (përfshirë kontributet)</w:t>
            </w:r>
          </w:p>
        </w:tc>
        <w:tc>
          <w:tcPr>
            <w:tcW w:w="1548" w:type="dxa"/>
            <w:tcBorders>
              <w:top w:val="single" w:sz="4" w:space="0" w:color="auto"/>
              <w:left w:val="nil"/>
              <w:bottom w:val="single" w:sz="8" w:space="0" w:color="4BACC6"/>
              <w:right w:val="nil"/>
            </w:tcBorders>
            <w:shd w:val="clear" w:color="auto" w:fill="auto"/>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141,704</w:t>
            </w:r>
          </w:p>
        </w:tc>
        <w:tc>
          <w:tcPr>
            <w:tcW w:w="1635" w:type="dxa"/>
            <w:tcBorders>
              <w:top w:val="single" w:sz="4" w:space="0" w:color="auto"/>
              <w:left w:val="nil"/>
              <w:bottom w:val="single" w:sz="8" w:space="0" w:color="4BACC6"/>
              <w:right w:val="nil"/>
            </w:tcBorders>
            <w:shd w:val="clear" w:color="auto" w:fill="auto"/>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166,724</w:t>
            </w:r>
          </w:p>
        </w:tc>
        <w:tc>
          <w:tcPr>
            <w:tcW w:w="1032" w:type="dxa"/>
            <w:tcBorders>
              <w:top w:val="single" w:sz="4" w:space="0" w:color="auto"/>
              <w:left w:val="nil"/>
              <w:bottom w:val="single" w:sz="8" w:space="0" w:color="4BACC6"/>
              <w:right w:val="nil"/>
            </w:tcBorders>
            <w:shd w:val="clear" w:color="auto" w:fill="auto"/>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164,304</w:t>
            </w:r>
          </w:p>
        </w:tc>
        <w:tc>
          <w:tcPr>
            <w:tcW w:w="1032" w:type="dxa"/>
            <w:tcBorders>
              <w:top w:val="single" w:sz="4" w:space="0" w:color="auto"/>
              <w:left w:val="nil"/>
              <w:bottom w:val="single" w:sz="8" w:space="0" w:color="4BACC6"/>
              <w:right w:val="nil"/>
            </w:tcBorders>
            <w:shd w:val="clear" w:color="auto" w:fill="auto"/>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25,020</w:t>
            </w:r>
          </w:p>
        </w:tc>
        <w:tc>
          <w:tcPr>
            <w:tcW w:w="1032" w:type="dxa"/>
            <w:tcBorders>
              <w:top w:val="single" w:sz="4" w:space="0" w:color="auto"/>
              <w:left w:val="nil"/>
              <w:bottom w:val="single" w:sz="8" w:space="0" w:color="4BACC6"/>
              <w:right w:val="nil"/>
            </w:tcBorders>
            <w:shd w:val="clear" w:color="auto" w:fill="auto"/>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117.7%</w:t>
            </w:r>
          </w:p>
        </w:tc>
        <w:tc>
          <w:tcPr>
            <w:tcW w:w="1032" w:type="dxa"/>
            <w:tcBorders>
              <w:top w:val="single" w:sz="4" w:space="0" w:color="auto"/>
              <w:left w:val="nil"/>
              <w:bottom w:val="single" w:sz="8" w:space="0" w:color="4BACC6"/>
              <w:right w:val="nil"/>
            </w:tcBorders>
            <w:shd w:val="clear" w:color="auto" w:fill="auto"/>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2,420</w:t>
            </w:r>
          </w:p>
        </w:tc>
        <w:tc>
          <w:tcPr>
            <w:tcW w:w="1032" w:type="dxa"/>
            <w:tcBorders>
              <w:top w:val="single" w:sz="4" w:space="0" w:color="auto"/>
              <w:left w:val="nil"/>
              <w:bottom w:val="single" w:sz="8" w:space="0" w:color="4BACC6"/>
              <w:right w:val="single" w:sz="8" w:space="0" w:color="4BACC6"/>
            </w:tcBorders>
            <w:shd w:val="clear" w:color="auto" w:fill="auto"/>
            <w:vAlign w:val="center"/>
            <w:hideMark/>
          </w:tcPr>
          <w:p w:rsidR="0034657E" w:rsidRDefault="0034657E" w:rsidP="0034657E">
            <w:pPr>
              <w:jc w:val="right"/>
              <w:rPr>
                <w:rFonts w:ascii="Calibri" w:hAnsi="Calibri" w:cs="Calibri"/>
                <w:b/>
                <w:bCs/>
                <w:color w:val="000000"/>
                <w:sz w:val="16"/>
                <w:szCs w:val="16"/>
              </w:rPr>
            </w:pPr>
            <w:r>
              <w:rPr>
                <w:rFonts w:ascii="Calibri" w:hAnsi="Calibri" w:cs="Calibri"/>
                <w:b/>
                <w:bCs/>
                <w:color w:val="000000"/>
                <w:sz w:val="16"/>
                <w:szCs w:val="16"/>
              </w:rPr>
              <w:t>101.5%</w:t>
            </w:r>
          </w:p>
        </w:tc>
      </w:tr>
    </w:tbl>
    <w:p w:rsidR="0034657E" w:rsidRPr="004E355C" w:rsidRDefault="0034657E" w:rsidP="0034657E">
      <w:pPr>
        <w:tabs>
          <w:tab w:val="left" w:pos="2511"/>
          <w:tab w:val="center" w:pos="4680"/>
          <w:tab w:val="left" w:pos="9360"/>
        </w:tabs>
        <w:spacing w:line="276" w:lineRule="auto"/>
        <w:jc w:val="both"/>
        <w:rPr>
          <w:rFonts w:asciiTheme="minorHAnsi" w:hAnsiTheme="minorHAnsi"/>
          <w:i/>
          <w:noProof/>
          <w:sz w:val="20"/>
          <w:szCs w:val="20"/>
          <w:lang w:val="sq-AL"/>
        </w:rPr>
      </w:pPr>
      <w:r w:rsidRPr="004E355C">
        <w:rPr>
          <w:rFonts w:asciiTheme="minorHAnsi" w:hAnsiTheme="minorHAnsi"/>
          <w:i/>
          <w:noProof/>
          <w:sz w:val="20"/>
          <w:szCs w:val="20"/>
          <w:lang w:val="sq-AL"/>
        </w:rPr>
        <w:t>Burimi: Ministria e Financave dhe Ekonomisë (20</w:t>
      </w:r>
      <w:r>
        <w:rPr>
          <w:rFonts w:asciiTheme="minorHAnsi" w:hAnsiTheme="minorHAnsi"/>
          <w:i/>
          <w:noProof/>
          <w:sz w:val="20"/>
          <w:szCs w:val="20"/>
          <w:lang w:val="sq-AL"/>
        </w:rPr>
        <w:t>21</w:t>
      </w:r>
      <w:r w:rsidRPr="004E355C">
        <w:rPr>
          <w:rFonts w:asciiTheme="minorHAnsi" w:hAnsiTheme="minorHAnsi"/>
          <w:i/>
          <w:noProof/>
          <w:sz w:val="20"/>
          <w:szCs w:val="20"/>
          <w:lang w:val="sq-AL"/>
        </w:rPr>
        <w:t>)</w:t>
      </w:r>
    </w:p>
    <w:p w:rsidR="0034657E" w:rsidRPr="00C23A06" w:rsidRDefault="0034657E" w:rsidP="0034657E">
      <w:pPr>
        <w:tabs>
          <w:tab w:val="left" w:pos="2511"/>
          <w:tab w:val="center" w:pos="4680"/>
          <w:tab w:val="left" w:pos="9360"/>
        </w:tabs>
        <w:spacing w:before="240" w:line="276" w:lineRule="auto"/>
        <w:jc w:val="both"/>
        <w:rPr>
          <w:rFonts w:asciiTheme="minorHAnsi" w:eastAsiaTheme="minorEastAsia" w:hAnsiTheme="minorHAnsi" w:cstheme="minorHAnsi"/>
          <w:noProof/>
          <w:color w:val="000000" w:themeColor="text1"/>
          <w:lang w:val="sq-AL"/>
        </w:rPr>
      </w:pPr>
      <w:r>
        <w:rPr>
          <w:rFonts w:asciiTheme="minorHAnsi" w:eastAsiaTheme="minorEastAsia" w:hAnsiTheme="minorHAnsi" w:cstheme="minorHAnsi"/>
          <w:noProof/>
          <w:lang w:val="sq-AL"/>
        </w:rPr>
        <w:t>Krahasuar me 5 mujorin 2020, performaca e të gjith</w:t>
      </w:r>
      <w:r w:rsidRPr="004E355C">
        <w:rPr>
          <w:rFonts w:asciiTheme="minorHAnsi" w:eastAsiaTheme="minorEastAsia" w:hAnsiTheme="minorHAnsi" w:cstheme="minorHAnsi"/>
          <w:noProof/>
          <w:lang w:val="sq-AL"/>
        </w:rPr>
        <w:t>ë</w:t>
      </w:r>
      <w:r>
        <w:rPr>
          <w:rFonts w:asciiTheme="minorHAnsi" w:eastAsiaTheme="minorEastAsia" w:hAnsiTheme="minorHAnsi" w:cstheme="minorHAnsi"/>
          <w:noProof/>
          <w:lang w:val="sq-AL"/>
        </w:rPr>
        <w:t xml:space="preserve"> </w:t>
      </w:r>
      <w:r w:rsidRPr="004E355C">
        <w:rPr>
          <w:rFonts w:asciiTheme="minorHAnsi" w:eastAsiaTheme="minorEastAsia" w:hAnsiTheme="minorHAnsi" w:cstheme="minorHAnsi"/>
          <w:noProof/>
          <w:lang w:val="sq-AL"/>
        </w:rPr>
        <w:t xml:space="preserve">zërave të të ardhurave “Nga Tatimet dhe Doganat” (përfshirë kontributet e mbledhura nga DPT), </w:t>
      </w:r>
      <w:r w:rsidRPr="00DF4CC7">
        <w:rPr>
          <w:rFonts w:asciiTheme="minorHAnsi" w:eastAsiaTheme="minorEastAsia" w:hAnsiTheme="minorHAnsi" w:cstheme="minorHAnsi"/>
          <w:noProof/>
          <w:color w:val="000000" w:themeColor="text1"/>
          <w:lang w:val="sq-AL"/>
        </w:rPr>
        <w:t>ka patur rritje</w:t>
      </w:r>
      <w:r>
        <w:rPr>
          <w:rFonts w:asciiTheme="minorHAnsi" w:eastAsiaTheme="minorEastAsia" w:hAnsiTheme="minorHAnsi" w:cstheme="minorHAnsi"/>
          <w:noProof/>
          <w:color w:val="000000" w:themeColor="text1"/>
          <w:lang w:val="sq-AL"/>
        </w:rPr>
        <w:t xml:space="preserve">. </w:t>
      </w:r>
      <w:r w:rsidRPr="00C56A21">
        <w:rPr>
          <w:rFonts w:asciiTheme="minorHAnsi" w:eastAsiaTheme="minorEastAsia" w:hAnsiTheme="minorHAnsi" w:cstheme="minorHAnsi"/>
          <w:noProof/>
          <w:color w:val="000000" w:themeColor="text1"/>
          <w:lang w:val="sq-AL"/>
        </w:rPr>
        <w:t>Konkretisht,</w:t>
      </w:r>
      <w:r>
        <w:rPr>
          <w:rFonts w:asciiTheme="minorHAnsi" w:eastAsiaTheme="minorEastAsia" w:hAnsiTheme="minorHAnsi" w:cstheme="minorHAnsi"/>
          <w:noProof/>
          <w:color w:val="000000" w:themeColor="text1"/>
          <w:lang w:val="sq-AL"/>
        </w:rPr>
        <w:t xml:space="preserve"> TVSH 15.3%</w:t>
      </w:r>
      <w:r w:rsidRPr="00C56A21">
        <w:rPr>
          <w:rFonts w:asciiTheme="minorHAnsi" w:eastAsiaTheme="minorEastAsia" w:hAnsiTheme="minorHAnsi" w:cstheme="minorHAnsi"/>
          <w:noProof/>
          <w:color w:val="000000" w:themeColor="text1"/>
          <w:lang w:val="sq-AL"/>
        </w:rPr>
        <w:t xml:space="preserve"> Tatim mbi të ardhurat personale</w:t>
      </w:r>
      <w:r>
        <w:rPr>
          <w:rFonts w:asciiTheme="minorHAnsi" w:eastAsiaTheme="minorEastAsia" w:hAnsiTheme="minorHAnsi" w:cstheme="minorHAnsi"/>
          <w:noProof/>
          <w:color w:val="000000" w:themeColor="text1"/>
          <w:lang w:val="sq-AL"/>
        </w:rPr>
        <w:t xml:space="preserve"> 18% </w:t>
      </w:r>
      <w:r w:rsidRPr="00C56A21">
        <w:rPr>
          <w:rFonts w:asciiTheme="minorHAnsi" w:eastAsiaTheme="minorEastAsia" w:hAnsiTheme="minorHAnsi" w:cstheme="minorHAnsi"/>
          <w:noProof/>
          <w:color w:val="000000" w:themeColor="text1"/>
          <w:lang w:val="sq-AL"/>
        </w:rPr>
        <w:t>,Tatim mbi fitimin u realizua n</w:t>
      </w:r>
      <w:r>
        <w:rPr>
          <w:rFonts w:asciiTheme="minorHAnsi" w:eastAsiaTheme="minorEastAsia" w:hAnsiTheme="minorHAnsi" w:cstheme="minorHAnsi"/>
          <w:noProof/>
          <w:color w:val="000000" w:themeColor="text1"/>
          <w:lang w:val="sq-AL"/>
        </w:rPr>
        <w:t>ë</w:t>
      </w:r>
      <w:r w:rsidRPr="00C56A21">
        <w:rPr>
          <w:rFonts w:asciiTheme="minorHAnsi" w:eastAsiaTheme="minorEastAsia" w:hAnsiTheme="minorHAnsi" w:cstheme="minorHAnsi"/>
          <w:noProof/>
          <w:color w:val="000000" w:themeColor="text1"/>
          <w:lang w:val="sq-AL"/>
        </w:rPr>
        <w:t xml:space="preserve"> mas</w:t>
      </w:r>
      <w:r>
        <w:rPr>
          <w:rFonts w:asciiTheme="minorHAnsi" w:eastAsiaTheme="minorEastAsia" w:hAnsiTheme="minorHAnsi" w:cstheme="minorHAnsi"/>
          <w:noProof/>
          <w:color w:val="000000" w:themeColor="text1"/>
          <w:lang w:val="sq-AL"/>
        </w:rPr>
        <w:t>ë</w:t>
      </w:r>
      <w:r w:rsidRPr="00C56A21">
        <w:rPr>
          <w:rFonts w:asciiTheme="minorHAnsi" w:eastAsiaTheme="minorEastAsia" w:hAnsiTheme="minorHAnsi" w:cstheme="minorHAnsi"/>
          <w:noProof/>
          <w:color w:val="000000" w:themeColor="text1"/>
          <w:lang w:val="sq-AL"/>
        </w:rPr>
        <w:t xml:space="preserve">n </w:t>
      </w:r>
      <w:r w:rsidRPr="00B765F8">
        <w:rPr>
          <w:rFonts w:asciiTheme="minorHAnsi" w:eastAsiaTheme="minorEastAsia" w:hAnsiTheme="minorHAnsi" w:cstheme="minorHAnsi"/>
          <w:noProof/>
          <w:color w:val="000000" w:themeColor="text1"/>
          <w:lang w:val="sq-AL"/>
        </w:rPr>
        <w:t>32,</w:t>
      </w:r>
      <w:r>
        <w:rPr>
          <w:rFonts w:asciiTheme="minorHAnsi" w:eastAsiaTheme="minorEastAsia" w:hAnsiTheme="minorHAnsi" w:cstheme="minorHAnsi"/>
          <w:noProof/>
          <w:color w:val="000000" w:themeColor="text1"/>
          <w:lang w:val="sq-AL"/>
        </w:rPr>
        <w:t>3</w:t>
      </w:r>
      <w:r w:rsidRPr="00B765F8">
        <w:rPr>
          <w:rFonts w:asciiTheme="minorHAnsi" w:eastAsiaTheme="minorEastAsia" w:hAnsiTheme="minorHAnsi" w:cstheme="minorHAnsi"/>
          <w:noProof/>
          <w:color w:val="000000" w:themeColor="text1"/>
          <w:lang w:val="sq-AL"/>
        </w:rPr>
        <w:t xml:space="preserve">% </w:t>
      </w:r>
      <w:r>
        <w:rPr>
          <w:rFonts w:asciiTheme="minorHAnsi" w:eastAsiaTheme="minorEastAsia" w:hAnsiTheme="minorHAnsi" w:cstheme="minorHAnsi"/>
          <w:noProof/>
          <w:color w:val="000000" w:themeColor="text1"/>
          <w:lang w:val="sq-AL"/>
        </w:rPr>
        <w:t xml:space="preserve">, </w:t>
      </w:r>
      <w:r w:rsidRPr="00C56A21">
        <w:rPr>
          <w:rFonts w:asciiTheme="minorHAnsi" w:eastAsiaTheme="minorEastAsia" w:hAnsiTheme="minorHAnsi" w:cstheme="minorHAnsi"/>
          <w:noProof/>
          <w:color w:val="000000" w:themeColor="text1"/>
          <w:lang w:val="sq-AL"/>
        </w:rPr>
        <w:t>Akciza</w:t>
      </w:r>
      <w:r>
        <w:rPr>
          <w:rFonts w:asciiTheme="minorHAnsi" w:eastAsiaTheme="minorEastAsia" w:hAnsiTheme="minorHAnsi" w:cstheme="minorHAnsi"/>
          <w:noProof/>
          <w:color w:val="000000" w:themeColor="text1"/>
          <w:lang w:val="sq-AL"/>
        </w:rPr>
        <w:t xml:space="preserve"> 16.3</w:t>
      </w:r>
      <w:r w:rsidRPr="00C56A21">
        <w:rPr>
          <w:rFonts w:asciiTheme="minorHAnsi" w:eastAsiaTheme="minorEastAsia" w:hAnsiTheme="minorHAnsi" w:cstheme="minorHAnsi"/>
          <w:noProof/>
          <w:color w:val="000000" w:themeColor="text1"/>
          <w:lang w:val="sq-AL"/>
        </w:rPr>
        <w:t xml:space="preserve">% </w:t>
      </w:r>
      <w:r w:rsidRPr="00583F58">
        <w:rPr>
          <w:rFonts w:asciiTheme="minorHAnsi" w:eastAsiaTheme="minorEastAsia" w:hAnsiTheme="minorHAnsi" w:cstheme="minorHAnsi"/>
          <w:noProof/>
          <w:color w:val="000000" w:themeColor="text1"/>
          <w:lang w:val="sq-AL"/>
        </w:rPr>
        <w:t>, Kontributet e mbledhura nga DPT 13.</w:t>
      </w:r>
      <w:r>
        <w:rPr>
          <w:rFonts w:asciiTheme="minorHAnsi" w:eastAsiaTheme="minorEastAsia" w:hAnsiTheme="minorHAnsi" w:cstheme="minorHAnsi"/>
          <w:noProof/>
          <w:color w:val="000000" w:themeColor="text1"/>
          <w:lang w:val="sq-AL"/>
        </w:rPr>
        <w:t>1</w:t>
      </w:r>
      <w:r w:rsidRPr="00583F58">
        <w:rPr>
          <w:rFonts w:asciiTheme="minorHAnsi" w:eastAsiaTheme="minorEastAsia" w:hAnsiTheme="minorHAnsi" w:cstheme="minorHAnsi"/>
          <w:noProof/>
          <w:color w:val="000000" w:themeColor="text1"/>
          <w:lang w:val="sq-AL"/>
        </w:rPr>
        <w:t xml:space="preserve">% </w:t>
      </w:r>
      <w:r w:rsidRPr="0012460D">
        <w:rPr>
          <w:rFonts w:asciiTheme="minorHAnsi" w:eastAsiaTheme="minorEastAsia" w:hAnsiTheme="minorHAnsi" w:cstheme="minorHAnsi"/>
          <w:noProof/>
          <w:color w:val="000000" w:themeColor="text1"/>
          <w:lang w:val="sq-AL"/>
        </w:rPr>
        <w:t>dh</w:t>
      </w:r>
      <w:r>
        <w:rPr>
          <w:rFonts w:asciiTheme="minorHAnsi" w:eastAsiaTheme="minorEastAsia" w:hAnsiTheme="minorHAnsi" w:cstheme="minorHAnsi"/>
          <w:noProof/>
          <w:color w:val="000000" w:themeColor="text1"/>
          <w:lang w:val="sq-AL"/>
        </w:rPr>
        <w:t xml:space="preserve">e </w:t>
      </w:r>
      <w:r w:rsidRPr="00583F58">
        <w:rPr>
          <w:rFonts w:asciiTheme="minorHAnsi" w:eastAsiaTheme="minorEastAsia" w:hAnsiTheme="minorHAnsi" w:cstheme="minorHAnsi"/>
          <w:noProof/>
          <w:color w:val="000000" w:themeColor="text1"/>
          <w:lang w:val="sq-AL"/>
        </w:rPr>
        <w:t>Taksa</w:t>
      </w:r>
      <w:r>
        <w:rPr>
          <w:rFonts w:asciiTheme="minorHAnsi" w:eastAsiaTheme="minorEastAsia" w:hAnsiTheme="minorHAnsi" w:cstheme="minorHAnsi"/>
          <w:noProof/>
          <w:color w:val="000000" w:themeColor="text1"/>
          <w:lang w:val="sq-AL"/>
        </w:rPr>
        <w:t xml:space="preserve">t </w:t>
      </w:r>
      <w:r w:rsidRPr="00583F58">
        <w:rPr>
          <w:rFonts w:asciiTheme="minorHAnsi" w:eastAsiaTheme="minorEastAsia" w:hAnsiTheme="minorHAnsi" w:cstheme="minorHAnsi"/>
          <w:noProof/>
          <w:color w:val="000000" w:themeColor="text1"/>
          <w:lang w:val="sq-AL"/>
        </w:rPr>
        <w:t xml:space="preserve">doganore </w:t>
      </w:r>
      <w:r>
        <w:rPr>
          <w:rFonts w:asciiTheme="minorHAnsi" w:eastAsiaTheme="minorEastAsia" w:hAnsiTheme="minorHAnsi" w:cstheme="minorHAnsi"/>
          <w:noProof/>
          <w:color w:val="000000" w:themeColor="text1"/>
          <w:lang w:val="sq-AL"/>
        </w:rPr>
        <w:t>19</w:t>
      </w:r>
      <w:r w:rsidRPr="00583F58">
        <w:rPr>
          <w:rFonts w:asciiTheme="minorHAnsi" w:eastAsiaTheme="minorEastAsia" w:hAnsiTheme="minorHAnsi" w:cstheme="minorHAnsi"/>
          <w:noProof/>
          <w:color w:val="000000" w:themeColor="text1"/>
          <w:lang w:val="sq-AL"/>
        </w:rPr>
        <w:t>%</w:t>
      </w:r>
      <w:bookmarkStart w:id="11" w:name="_Toc12448427"/>
      <w:r>
        <w:rPr>
          <w:rFonts w:asciiTheme="minorHAnsi" w:eastAsiaTheme="minorEastAsia" w:hAnsiTheme="minorHAnsi" w:cstheme="minorHAnsi"/>
          <w:noProof/>
          <w:color w:val="000000" w:themeColor="text1"/>
          <w:lang w:val="sq-AL"/>
        </w:rPr>
        <w:t xml:space="preserve">. </w:t>
      </w:r>
      <w:r>
        <w:rPr>
          <w:rFonts w:asciiTheme="minorHAnsi" w:eastAsiaTheme="minorEastAsia" w:hAnsiTheme="minorHAnsi" w:cstheme="minorHAnsi"/>
          <w:noProof/>
          <w:lang w:val="sq-AL"/>
        </w:rPr>
        <w:t>Taksa</w:t>
      </w:r>
      <w:r w:rsidRPr="008E3CDE">
        <w:rPr>
          <w:rFonts w:asciiTheme="minorHAnsi" w:eastAsiaTheme="minorEastAsia" w:hAnsiTheme="minorHAnsi" w:cstheme="minorHAnsi"/>
          <w:noProof/>
          <w:lang w:val="sq-AL"/>
        </w:rPr>
        <w:t xml:space="preserve"> </w:t>
      </w:r>
      <w:r>
        <w:rPr>
          <w:rFonts w:asciiTheme="minorHAnsi" w:eastAsiaTheme="minorEastAsia" w:hAnsiTheme="minorHAnsi" w:cstheme="minorHAnsi"/>
          <w:noProof/>
          <w:lang w:val="sq-AL"/>
        </w:rPr>
        <w:t>që</w:t>
      </w:r>
      <w:r w:rsidRPr="008E3CDE">
        <w:rPr>
          <w:rFonts w:asciiTheme="minorHAnsi" w:eastAsiaTheme="minorEastAsia" w:hAnsiTheme="minorHAnsi" w:cstheme="minorHAnsi"/>
          <w:noProof/>
          <w:lang w:val="sq-AL"/>
        </w:rPr>
        <w:t xml:space="preserve"> paraqite</w:t>
      </w:r>
      <w:r>
        <w:rPr>
          <w:rFonts w:asciiTheme="minorHAnsi" w:eastAsiaTheme="minorEastAsia" w:hAnsiTheme="minorHAnsi" w:cstheme="minorHAnsi"/>
          <w:noProof/>
          <w:lang w:val="sq-AL"/>
        </w:rPr>
        <w:t>t</w:t>
      </w:r>
      <w:r w:rsidRPr="008E3CDE">
        <w:rPr>
          <w:rFonts w:asciiTheme="minorHAnsi" w:eastAsiaTheme="minorEastAsia" w:hAnsiTheme="minorHAnsi" w:cstheme="minorHAnsi"/>
          <w:noProof/>
          <w:lang w:val="sq-AL"/>
        </w:rPr>
        <w:t xml:space="preserve"> me rënie kundrejt vitit 20</w:t>
      </w:r>
      <w:r>
        <w:rPr>
          <w:rFonts w:asciiTheme="minorHAnsi" w:eastAsiaTheme="minorEastAsia" w:hAnsiTheme="minorHAnsi" w:cstheme="minorHAnsi"/>
          <w:noProof/>
          <w:lang w:val="sq-AL"/>
        </w:rPr>
        <w:t>20</w:t>
      </w:r>
      <w:r w:rsidRPr="008E3CDE">
        <w:rPr>
          <w:rFonts w:asciiTheme="minorHAnsi" w:eastAsiaTheme="minorEastAsia" w:hAnsiTheme="minorHAnsi" w:cstheme="minorHAnsi"/>
          <w:noProof/>
          <w:lang w:val="sq-AL"/>
        </w:rPr>
        <w:t xml:space="preserve"> </w:t>
      </w:r>
      <w:r>
        <w:rPr>
          <w:rFonts w:asciiTheme="minorHAnsi" w:eastAsiaTheme="minorEastAsia" w:hAnsiTheme="minorHAnsi" w:cstheme="minorHAnsi"/>
          <w:noProof/>
          <w:lang w:val="sq-AL"/>
        </w:rPr>
        <w:t>ësht</w:t>
      </w:r>
      <w:r w:rsidRPr="008E3CDE">
        <w:rPr>
          <w:rFonts w:asciiTheme="minorHAnsi" w:eastAsiaTheme="minorEastAsia" w:hAnsiTheme="minorHAnsi" w:cstheme="minorHAnsi"/>
          <w:noProof/>
          <w:lang w:val="sq-AL"/>
        </w:rPr>
        <w:t xml:space="preserve">ë: TVSH </w:t>
      </w:r>
      <w:r>
        <w:rPr>
          <w:rFonts w:asciiTheme="minorHAnsi" w:eastAsiaTheme="minorEastAsia" w:hAnsiTheme="minorHAnsi" w:cstheme="minorHAnsi"/>
          <w:noProof/>
          <w:lang w:val="sq-AL"/>
        </w:rPr>
        <w:t>brenda vendit 20</w:t>
      </w:r>
      <w:r w:rsidRPr="008E3CDE">
        <w:rPr>
          <w:rFonts w:asciiTheme="minorHAnsi" w:eastAsiaTheme="minorEastAsia" w:hAnsiTheme="minorHAnsi" w:cstheme="minorHAnsi"/>
          <w:noProof/>
          <w:lang w:val="sq-AL"/>
        </w:rPr>
        <w:t>%</w:t>
      </w:r>
      <w:r>
        <w:rPr>
          <w:rFonts w:asciiTheme="minorHAnsi" w:eastAsiaTheme="minorEastAsia" w:hAnsiTheme="minorHAnsi" w:cstheme="minorHAnsi"/>
          <w:noProof/>
          <w:lang w:val="sq-AL"/>
        </w:rPr>
        <w:t xml:space="preserve"> ose 2.3 miliardë më pak.</w:t>
      </w:r>
    </w:p>
    <w:p w:rsidR="0034657E" w:rsidRPr="0034657E" w:rsidRDefault="0034657E" w:rsidP="0034657E">
      <w:pPr>
        <w:tabs>
          <w:tab w:val="left" w:pos="2511"/>
          <w:tab w:val="center" w:pos="4680"/>
          <w:tab w:val="left" w:pos="9360"/>
        </w:tabs>
        <w:spacing w:before="240" w:line="276" w:lineRule="auto"/>
        <w:jc w:val="both"/>
        <w:rPr>
          <w:rFonts w:asciiTheme="minorHAnsi" w:hAnsiTheme="minorHAnsi"/>
          <w:i/>
          <w:sz w:val="22"/>
          <w:lang w:val="sq-AL"/>
        </w:rPr>
      </w:pPr>
      <w:r w:rsidRPr="0034657E">
        <w:rPr>
          <w:rFonts w:asciiTheme="minorHAnsi" w:hAnsiTheme="minorHAnsi"/>
          <w:i/>
          <w:color w:val="FF0000"/>
          <w:sz w:val="22"/>
          <w:lang w:val="sq-AL"/>
        </w:rPr>
        <w:t xml:space="preserve"> </w:t>
      </w:r>
      <w:r w:rsidRPr="0034657E">
        <w:rPr>
          <w:rFonts w:asciiTheme="minorHAnsi" w:hAnsiTheme="minorHAnsi"/>
          <w:i/>
          <w:sz w:val="22"/>
          <w:lang w:val="sq-AL"/>
        </w:rPr>
        <w:t>Grafiku x: Totali i të ardhurave Janar- Maj 2021/2020 (në milionë lekë)</w:t>
      </w:r>
      <w:bookmarkEnd w:id="11"/>
    </w:p>
    <w:p w:rsidR="0034657E" w:rsidRDefault="0034657E" w:rsidP="0034657E">
      <w:pPr>
        <w:tabs>
          <w:tab w:val="left" w:pos="2511"/>
          <w:tab w:val="center" w:pos="4680"/>
          <w:tab w:val="left" w:pos="9360"/>
        </w:tabs>
        <w:jc w:val="center"/>
        <w:rPr>
          <w:rFonts w:asciiTheme="minorHAnsi" w:hAnsiTheme="minorHAnsi"/>
          <w:i/>
          <w:noProof/>
          <w:sz w:val="20"/>
          <w:szCs w:val="20"/>
          <w:lang w:val="sq-AL"/>
        </w:rPr>
      </w:pPr>
      <w:r w:rsidRPr="003A08F5">
        <w:rPr>
          <w:rFonts w:asciiTheme="minorHAnsi" w:hAnsiTheme="minorHAnsi"/>
          <w:noProof/>
          <w:color w:val="FF0000"/>
        </w:rPr>
        <w:drawing>
          <wp:inline distT="0" distB="0" distL="0" distR="0" wp14:anchorId="10C90785" wp14:editId="0B3229F3">
            <wp:extent cx="6263640" cy="1463040"/>
            <wp:effectExtent l="0" t="0" r="3810" b="3810"/>
            <wp:docPr id="27" name="Chart 27">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00000000-0008-0000-1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4657E" w:rsidRPr="00BF0ED9" w:rsidRDefault="0034657E" w:rsidP="0034657E">
      <w:pPr>
        <w:tabs>
          <w:tab w:val="left" w:pos="2511"/>
          <w:tab w:val="center" w:pos="4680"/>
          <w:tab w:val="left" w:pos="9360"/>
        </w:tabs>
        <w:spacing w:before="240"/>
        <w:jc w:val="both"/>
        <w:rPr>
          <w:rFonts w:asciiTheme="minorHAnsi" w:hAnsiTheme="minorHAnsi"/>
          <w:noProof/>
          <w:color w:val="FF0000"/>
          <w:lang w:val="sq-AL"/>
        </w:rPr>
      </w:pPr>
      <w:r w:rsidRPr="004E355C">
        <w:rPr>
          <w:rFonts w:asciiTheme="minorHAnsi" w:hAnsiTheme="minorHAnsi"/>
          <w:i/>
          <w:noProof/>
          <w:sz w:val="20"/>
          <w:szCs w:val="20"/>
          <w:lang w:val="sq-AL"/>
        </w:rPr>
        <w:t>Burimi: Ministria e Financave dhe Ekonomisë (20</w:t>
      </w:r>
      <w:r>
        <w:rPr>
          <w:rFonts w:asciiTheme="minorHAnsi" w:hAnsiTheme="minorHAnsi"/>
          <w:i/>
          <w:noProof/>
          <w:sz w:val="20"/>
          <w:szCs w:val="20"/>
          <w:lang w:val="sq-AL"/>
        </w:rPr>
        <w:t>21</w:t>
      </w:r>
      <w:r w:rsidRPr="004E355C">
        <w:rPr>
          <w:rFonts w:asciiTheme="minorHAnsi" w:hAnsiTheme="minorHAnsi"/>
          <w:i/>
          <w:noProof/>
          <w:sz w:val="20"/>
          <w:szCs w:val="20"/>
          <w:lang w:val="sq-AL"/>
        </w:rPr>
        <w:t>)</w:t>
      </w:r>
    </w:p>
    <w:p w:rsidR="0034657E" w:rsidRPr="0034657E" w:rsidRDefault="0034657E" w:rsidP="0034657E">
      <w:pPr>
        <w:tabs>
          <w:tab w:val="left" w:pos="2511"/>
          <w:tab w:val="center" w:pos="4680"/>
          <w:tab w:val="left" w:pos="9360"/>
        </w:tabs>
        <w:spacing w:line="276" w:lineRule="auto"/>
        <w:jc w:val="both"/>
        <w:rPr>
          <w:rFonts w:asciiTheme="minorHAnsi" w:hAnsiTheme="minorHAnsi"/>
          <w:noProof/>
          <w:sz w:val="16"/>
          <w:u w:val="single"/>
          <w:lang w:val="sq-AL"/>
        </w:rPr>
      </w:pPr>
    </w:p>
    <w:p w:rsidR="0034657E" w:rsidRPr="00646CAC" w:rsidRDefault="0034657E" w:rsidP="0034657E">
      <w:pPr>
        <w:tabs>
          <w:tab w:val="left" w:pos="2511"/>
          <w:tab w:val="center" w:pos="4680"/>
          <w:tab w:val="left" w:pos="9360"/>
        </w:tabs>
        <w:spacing w:line="276" w:lineRule="auto"/>
        <w:jc w:val="both"/>
        <w:rPr>
          <w:rFonts w:asciiTheme="minorHAnsi" w:hAnsiTheme="minorHAnsi" w:cstheme="minorHAnsi"/>
          <w:noProof/>
          <w:u w:val="single"/>
          <w:lang w:val="sq-AL"/>
        </w:rPr>
      </w:pPr>
      <w:r w:rsidRPr="00646CAC">
        <w:rPr>
          <w:rFonts w:asciiTheme="minorHAnsi" w:hAnsiTheme="minorHAnsi" w:cstheme="minorHAnsi"/>
          <w:noProof/>
          <w:u w:val="single"/>
          <w:lang w:val="sq-AL"/>
        </w:rPr>
        <w:t>Faktorët kryesorë që kanë ndikuar në performancën e 5 mujorit kundrejt planit janë:</w:t>
      </w:r>
    </w:p>
    <w:p w:rsidR="0034657E" w:rsidRPr="00646CAC" w:rsidRDefault="0034657E" w:rsidP="007F0B61">
      <w:pPr>
        <w:pStyle w:val="ListParagraph"/>
        <w:numPr>
          <w:ilvl w:val="0"/>
          <w:numId w:val="29"/>
        </w:numPr>
        <w:tabs>
          <w:tab w:val="left" w:pos="2511"/>
          <w:tab w:val="center" w:pos="4680"/>
          <w:tab w:val="left" w:pos="9360"/>
        </w:tabs>
        <w:spacing w:line="276" w:lineRule="auto"/>
        <w:jc w:val="both"/>
        <w:rPr>
          <w:rFonts w:asciiTheme="minorHAnsi" w:hAnsiTheme="minorHAnsi" w:cstheme="minorHAnsi"/>
          <w:noProof/>
          <w:lang w:val="sq-AL"/>
        </w:rPr>
      </w:pPr>
      <w:r w:rsidRPr="00646CAC">
        <w:rPr>
          <w:rFonts w:asciiTheme="minorHAnsi" w:hAnsiTheme="minorHAnsi" w:cstheme="minorHAnsi"/>
          <w:noProof/>
          <w:lang w:val="sq-AL"/>
        </w:rPr>
        <w:t>Përshpejtimi i rimbursimit të stokut të TVSH-së me qellim p</w:t>
      </w:r>
      <w:r>
        <w:rPr>
          <w:rFonts w:asciiTheme="minorHAnsi" w:hAnsiTheme="minorHAnsi" w:cstheme="minorHAnsi"/>
          <w:noProof/>
          <w:lang w:val="sq-AL"/>
        </w:rPr>
        <w:t>ë</w:t>
      </w:r>
      <w:r w:rsidRPr="00646CAC">
        <w:rPr>
          <w:rFonts w:asciiTheme="minorHAnsi" w:hAnsiTheme="minorHAnsi" w:cstheme="minorHAnsi"/>
          <w:noProof/>
          <w:lang w:val="sq-AL"/>
        </w:rPr>
        <w:t>rmbushjen e rekomandimeve t</w:t>
      </w:r>
      <w:r>
        <w:rPr>
          <w:rFonts w:asciiTheme="minorHAnsi" w:hAnsiTheme="minorHAnsi" w:cstheme="minorHAnsi"/>
          <w:noProof/>
          <w:lang w:val="sq-AL"/>
        </w:rPr>
        <w:t>ë</w:t>
      </w:r>
      <w:r w:rsidRPr="00646CAC">
        <w:rPr>
          <w:rFonts w:asciiTheme="minorHAnsi" w:hAnsiTheme="minorHAnsi" w:cstheme="minorHAnsi"/>
          <w:noProof/>
          <w:lang w:val="sq-AL"/>
        </w:rPr>
        <w:t xml:space="preserve"> </w:t>
      </w:r>
      <w:r>
        <w:rPr>
          <w:rFonts w:asciiTheme="minorHAnsi" w:hAnsiTheme="minorHAnsi" w:cstheme="minorHAnsi"/>
          <w:noProof/>
          <w:lang w:val="sq-AL"/>
        </w:rPr>
        <w:t>FMN</w:t>
      </w:r>
      <w:r w:rsidRPr="00646CAC">
        <w:rPr>
          <w:rFonts w:asciiTheme="minorHAnsi" w:hAnsiTheme="minorHAnsi" w:cstheme="minorHAnsi"/>
          <w:noProof/>
          <w:lang w:val="sq-AL"/>
        </w:rPr>
        <w:t>-s</w:t>
      </w:r>
      <w:r>
        <w:rPr>
          <w:rFonts w:asciiTheme="minorHAnsi" w:hAnsiTheme="minorHAnsi" w:cstheme="minorHAnsi"/>
          <w:noProof/>
          <w:lang w:val="sq-AL"/>
        </w:rPr>
        <w:t>ë</w:t>
      </w:r>
      <w:r w:rsidRPr="00646CAC">
        <w:rPr>
          <w:rFonts w:asciiTheme="minorHAnsi" w:hAnsiTheme="minorHAnsi" w:cstheme="minorHAnsi"/>
          <w:noProof/>
          <w:lang w:val="sq-AL"/>
        </w:rPr>
        <w:t xml:space="preserve">. </w:t>
      </w:r>
    </w:p>
    <w:p w:rsidR="0034657E" w:rsidRPr="00646CAC" w:rsidRDefault="0034657E" w:rsidP="007F0B61">
      <w:pPr>
        <w:pStyle w:val="ListParagraph"/>
        <w:numPr>
          <w:ilvl w:val="0"/>
          <w:numId w:val="29"/>
        </w:numPr>
        <w:tabs>
          <w:tab w:val="left" w:pos="2511"/>
          <w:tab w:val="center" w:pos="4680"/>
          <w:tab w:val="left" w:pos="9360"/>
        </w:tabs>
        <w:spacing w:line="276" w:lineRule="auto"/>
        <w:jc w:val="both"/>
        <w:rPr>
          <w:rFonts w:asciiTheme="minorHAnsi" w:hAnsiTheme="minorHAnsi" w:cstheme="minorHAnsi"/>
          <w:noProof/>
          <w:lang w:val="en-GB"/>
        </w:rPr>
      </w:pPr>
      <w:r w:rsidRPr="00646CAC">
        <w:rPr>
          <w:rFonts w:asciiTheme="minorHAnsi" w:hAnsiTheme="minorHAnsi" w:cstheme="minorHAnsi"/>
          <w:noProof/>
        </w:rPr>
        <w:t>Rritja e pag</w:t>
      </w:r>
      <w:r>
        <w:rPr>
          <w:rFonts w:asciiTheme="minorHAnsi" w:hAnsiTheme="minorHAnsi" w:cstheme="minorHAnsi"/>
          <w:noProof/>
        </w:rPr>
        <w:t>ë</w:t>
      </w:r>
      <w:r w:rsidRPr="00646CAC">
        <w:rPr>
          <w:rFonts w:asciiTheme="minorHAnsi" w:hAnsiTheme="minorHAnsi" w:cstheme="minorHAnsi"/>
          <w:noProof/>
        </w:rPr>
        <w:t>s minimale nga 26.000 n</w:t>
      </w:r>
      <w:r>
        <w:rPr>
          <w:rFonts w:asciiTheme="minorHAnsi" w:hAnsiTheme="minorHAnsi" w:cstheme="minorHAnsi"/>
          <w:noProof/>
        </w:rPr>
        <w:t>ë</w:t>
      </w:r>
      <w:r w:rsidRPr="00646CAC">
        <w:rPr>
          <w:rFonts w:asciiTheme="minorHAnsi" w:hAnsiTheme="minorHAnsi" w:cstheme="minorHAnsi"/>
          <w:noProof/>
        </w:rPr>
        <w:t xml:space="preserve"> 30.000 lek</w:t>
      </w:r>
      <w:r>
        <w:rPr>
          <w:rFonts w:asciiTheme="minorHAnsi" w:hAnsiTheme="minorHAnsi" w:cstheme="minorHAnsi"/>
          <w:noProof/>
        </w:rPr>
        <w:t>ë</w:t>
      </w:r>
      <w:r w:rsidRPr="00646CAC">
        <w:rPr>
          <w:rFonts w:asciiTheme="minorHAnsi" w:hAnsiTheme="minorHAnsi" w:cstheme="minorHAnsi"/>
          <w:noProof/>
        </w:rPr>
        <w:t>.</w:t>
      </w:r>
    </w:p>
    <w:p w:rsidR="0034657E" w:rsidRPr="00646CAC" w:rsidRDefault="0034657E" w:rsidP="007F0B61">
      <w:pPr>
        <w:pStyle w:val="ListParagraph"/>
        <w:numPr>
          <w:ilvl w:val="0"/>
          <w:numId w:val="29"/>
        </w:numPr>
        <w:tabs>
          <w:tab w:val="left" w:pos="2511"/>
          <w:tab w:val="center" w:pos="4680"/>
          <w:tab w:val="left" w:pos="9360"/>
        </w:tabs>
        <w:spacing w:line="276" w:lineRule="auto"/>
        <w:jc w:val="both"/>
        <w:rPr>
          <w:rFonts w:asciiTheme="minorHAnsi" w:hAnsiTheme="minorHAnsi" w:cstheme="minorHAnsi"/>
          <w:noProof/>
          <w:lang w:val="en-GB"/>
        </w:rPr>
      </w:pPr>
      <w:r w:rsidRPr="00646CAC">
        <w:rPr>
          <w:rFonts w:asciiTheme="minorHAnsi" w:hAnsiTheme="minorHAnsi" w:cstheme="minorHAnsi"/>
          <w:noProof/>
        </w:rPr>
        <w:t>Rritja e t</w:t>
      </w:r>
      <w:r>
        <w:rPr>
          <w:rFonts w:asciiTheme="minorHAnsi" w:hAnsiTheme="minorHAnsi" w:cstheme="minorHAnsi"/>
          <w:noProof/>
        </w:rPr>
        <w:t>ë</w:t>
      </w:r>
      <w:r w:rsidRPr="00646CAC">
        <w:rPr>
          <w:rFonts w:asciiTheme="minorHAnsi" w:hAnsiTheme="minorHAnsi" w:cstheme="minorHAnsi"/>
          <w:noProof/>
        </w:rPr>
        <w:t xml:space="preserve"> ardhurave nga rivleresimi </w:t>
      </w:r>
      <w:r>
        <w:rPr>
          <w:rFonts w:asciiTheme="minorHAnsi" w:hAnsiTheme="minorHAnsi" w:cstheme="minorHAnsi"/>
          <w:noProof/>
        </w:rPr>
        <w:t>i</w:t>
      </w:r>
      <w:r w:rsidRPr="00646CAC">
        <w:rPr>
          <w:rFonts w:asciiTheme="minorHAnsi" w:hAnsiTheme="minorHAnsi" w:cstheme="minorHAnsi"/>
          <w:noProof/>
        </w:rPr>
        <w:t xml:space="preserve"> pasurive t</w:t>
      </w:r>
      <w:r>
        <w:rPr>
          <w:rFonts w:asciiTheme="minorHAnsi" w:hAnsiTheme="minorHAnsi" w:cstheme="minorHAnsi"/>
          <w:noProof/>
        </w:rPr>
        <w:t>ë</w:t>
      </w:r>
      <w:r w:rsidRPr="00646CAC">
        <w:rPr>
          <w:rFonts w:asciiTheme="minorHAnsi" w:hAnsiTheme="minorHAnsi" w:cstheme="minorHAnsi"/>
          <w:noProof/>
        </w:rPr>
        <w:t xml:space="preserve"> paluajtshme si rrjedhoj</w:t>
      </w:r>
      <w:r>
        <w:rPr>
          <w:rFonts w:asciiTheme="minorHAnsi" w:hAnsiTheme="minorHAnsi" w:cstheme="minorHAnsi"/>
          <w:noProof/>
        </w:rPr>
        <w:t>ë</w:t>
      </w:r>
      <w:r w:rsidRPr="00646CAC">
        <w:rPr>
          <w:rFonts w:asciiTheme="minorHAnsi" w:hAnsiTheme="minorHAnsi" w:cstheme="minorHAnsi"/>
          <w:noProof/>
        </w:rPr>
        <w:t xml:space="preserve"> e norm</w:t>
      </w:r>
      <w:r>
        <w:rPr>
          <w:rFonts w:asciiTheme="minorHAnsi" w:hAnsiTheme="minorHAnsi" w:cstheme="minorHAnsi"/>
          <w:noProof/>
        </w:rPr>
        <w:t>ë</w:t>
      </w:r>
      <w:r w:rsidRPr="00646CAC">
        <w:rPr>
          <w:rFonts w:asciiTheme="minorHAnsi" w:hAnsiTheme="minorHAnsi" w:cstheme="minorHAnsi"/>
          <w:noProof/>
        </w:rPr>
        <w:t>s s</w:t>
      </w:r>
      <w:r>
        <w:rPr>
          <w:rFonts w:asciiTheme="minorHAnsi" w:hAnsiTheme="minorHAnsi" w:cstheme="minorHAnsi"/>
          <w:noProof/>
        </w:rPr>
        <w:t>ë</w:t>
      </w:r>
      <w:r w:rsidRPr="00646CAC">
        <w:rPr>
          <w:rFonts w:asciiTheme="minorHAnsi" w:hAnsiTheme="minorHAnsi" w:cstheme="minorHAnsi"/>
          <w:noProof/>
        </w:rPr>
        <w:t xml:space="preserve"> reduktuar nga 15% n</w:t>
      </w:r>
      <w:r>
        <w:rPr>
          <w:rFonts w:asciiTheme="minorHAnsi" w:hAnsiTheme="minorHAnsi" w:cstheme="minorHAnsi"/>
          <w:noProof/>
        </w:rPr>
        <w:t>ë</w:t>
      </w:r>
      <w:r w:rsidRPr="00646CAC">
        <w:rPr>
          <w:rFonts w:asciiTheme="minorHAnsi" w:hAnsiTheme="minorHAnsi" w:cstheme="minorHAnsi"/>
          <w:noProof/>
        </w:rPr>
        <w:t xml:space="preserve"> 3%.</w:t>
      </w:r>
    </w:p>
    <w:p w:rsidR="0034657E" w:rsidRPr="00646CAC" w:rsidRDefault="0034657E" w:rsidP="007F0B61">
      <w:pPr>
        <w:pStyle w:val="ListParagraph"/>
        <w:numPr>
          <w:ilvl w:val="0"/>
          <w:numId w:val="29"/>
        </w:numPr>
        <w:tabs>
          <w:tab w:val="left" w:pos="2511"/>
          <w:tab w:val="center" w:pos="4680"/>
          <w:tab w:val="left" w:pos="9360"/>
        </w:tabs>
        <w:spacing w:line="276" w:lineRule="auto"/>
        <w:jc w:val="both"/>
        <w:rPr>
          <w:rFonts w:asciiTheme="minorHAnsi" w:hAnsiTheme="minorHAnsi"/>
          <w:noProof/>
          <w:lang w:val="sq-AL"/>
        </w:rPr>
      </w:pPr>
      <w:r w:rsidRPr="00646CAC">
        <w:rPr>
          <w:rFonts w:asciiTheme="minorHAnsi" w:hAnsiTheme="minorHAnsi" w:cstheme="minorHAnsi"/>
          <w:noProof/>
        </w:rPr>
        <w:t>Rritja e të ardhurave nga tatimi mbi t</w:t>
      </w:r>
      <w:r>
        <w:rPr>
          <w:rFonts w:asciiTheme="minorHAnsi" w:hAnsiTheme="minorHAnsi" w:cstheme="minorHAnsi"/>
          <w:noProof/>
        </w:rPr>
        <w:t>ë</w:t>
      </w:r>
      <w:r w:rsidRPr="00646CAC">
        <w:rPr>
          <w:rFonts w:asciiTheme="minorHAnsi" w:hAnsiTheme="minorHAnsi" w:cstheme="minorHAnsi"/>
          <w:noProof/>
        </w:rPr>
        <w:t xml:space="preserve"> ardhurat personale (DIVA), e lidhur kjo edhe me ndryshim e politikës fiskale për detyrimin e deklarimit t</w:t>
      </w:r>
      <w:r>
        <w:rPr>
          <w:rFonts w:asciiTheme="minorHAnsi" w:hAnsiTheme="minorHAnsi" w:cstheme="minorHAnsi"/>
          <w:noProof/>
        </w:rPr>
        <w:t>ë</w:t>
      </w:r>
      <w:r w:rsidRPr="00646CAC">
        <w:rPr>
          <w:rFonts w:asciiTheme="minorHAnsi" w:hAnsiTheme="minorHAnsi" w:cstheme="minorHAnsi"/>
          <w:noProof/>
        </w:rPr>
        <w:t xml:space="preserve"> pun</w:t>
      </w:r>
      <w:r>
        <w:rPr>
          <w:rFonts w:asciiTheme="minorHAnsi" w:hAnsiTheme="minorHAnsi" w:cstheme="minorHAnsi"/>
          <w:noProof/>
        </w:rPr>
        <w:t>ë</w:t>
      </w:r>
      <w:r w:rsidRPr="00646CAC">
        <w:rPr>
          <w:rFonts w:asciiTheme="minorHAnsi" w:hAnsiTheme="minorHAnsi" w:cstheme="minorHAnsi"/>
          <w:noProof/>
        </w:rPr>
        <w:t>marresve me m</w:t>
      </w:r>
      <w:r>
        <w:rPr>
          <w:rFonts w:asciiTheme="minorHAnsi" w:hAnsiTheme="minorHAnsi" w:cstheme="minorHAnsi"/>
          <w:noProof/>
        </w:rPr>
        <w:t>ë</w:t>
      </w:r>
      <w:r w:rsidRPr="00646CAC">
        <w:rPr>
          <w:rFonts w:asciiTheme="minorHAnsi" w:hAnsiTheme="minorHAnsi" w:cstheme="minorHAnsi"/>
          <w:noProof/>
        </w:rPr>
        <w:t xml:space="preserve"> shum</w:t>
      </w:r>
      <w:r>
        <w:rPr>
          <w:rFonts w:asciiTheme="minorHAnsi" w:hAnsiTheme="minorHAnsi" w:cstheme="minorHAnsi"/>
          <w:noProof/>
        </w:rPr>
        <w:t>ë</w:t>
      </w:r>
      <w:r w:rsidRPr="00646CAC">
        <w:rPr>
          <w:rFonts w:asciiTheme="minorHAnsi" w:hAnsiTheme="minorHAnsi" w:cstheme="minorHAnsi"/>
          <w:noProof/>
        </w:rPr>
        <w:t xml:space="preserve"> se nj</w:t>
      </w:r>
      <w:r>
        <w:rPr>
          <w:rFonts w:asciiTheme="minorHAnsi" w:hAnsiTheme="minorHAnsi" w:cstheme="minorHAnsi"/>
          <w:noProof/>
        </w:rPr>
        <w:t>ë</w:t>
      </w:r>
      <w:r w:rsidRPr="00646CAC">
        <w:rPr>
          <w:rFonts w:asciiTheme="minorHAnsi" w:hAnsiTheme="minorHAnsi" w:cstheme="minorHAnsi"/>
          <w:noProof/>
        </w:rPr>
        <w:t xml:space="preserve"> pun</w:t>
      </w:r>
      <w:r>
        <w:rPr>
          <w:rFonts w:asciiTheme="minorHAnsi" w:hAnsiTheme="minorHAnsi" w:cstheme="minorHAnsi"/>
          <w:noProof/>
        </w:rPr>
        <w:t>ë</w:t>
      </w:r>
      <w:r w:rsidRPr="00646CAC">
        <w:rPr>
          <w:rFonts w:asciiTheme="minorHAnsi" w:hAnsiTheme="minorHAnsi" w:cstheme="minorHAnsi"/>
          <w:noProof/>
        </w:rPr>
        <w:t>dhen</w:t>
      </w:r>
      <w:r>
        <w:rPr>
          <w:rFonts w:asciiTheme="minorHAnsi" w:hAnsiTheme="minorHAnsi" w:cstheme="minorHAnsi"/>
          <w:noProof/>
        </w:rPr>
        <w:t>ë</w:t>
      </w:r>
      <w:r w:rsidRPr="00646CAC">
        <w:rPr>
          <w:rFonts w:asciiTheme="minorHAnsi" w:hAnsiTheme="minorHAnsi" w:cstheme="minorHAnsi"/>
          <w:noProof/>
        </w:rPr>
        <w:t>s</w:t>
      </w:r>
      <w:r w:rsidRPr="00646CAC">
        <w:rPr>
          <w:rFonts w:asciiTheme="minorHAnsi" w:hAnsiTheme="minorHAnsi"/>
          <w:noProof/>
          <w:lang w:val="sq-AL"/>
        </w:rPr>
        <w:t>.</w:t>
      </w:r>
    </w:p>
    <w:p w:rsidR="0034657E" w:rsidRPr="00646CAC" w:rsidRDefault="0034657E" w:rsidP="007F0B61">
      <w:pPr>
        <w:pStyle w:val="ListParagraph"/>
        <w:numPr>
          <w:ilvl w:val="0"/>
          <w:numId w:val="29"/>
        </w:numPr>
        <w:tabs>
          <w:tab w:val="left" w:pos="2511"/>
          <w:tab w:val="center" w:pos="4680"/>
          <w:tab w:val="left" w:pos="9360"/>
        </w:tabs>
        <w:spacing w:line="276" w:lineRule="auto"/>
        <w:jc w:val="both"/>
        <w:rPr>
          <w:rFonts w:asciiTheme="minorHAnsi" w:hAnsiTheme="minorHAnsi"/>
          <w:noProof/>
          <w:lang w:val="sq-AL"/>
        </w:rPr>
      </w:pPr>
      <w:r w:rsidRPr="00646CAC">
        <w:rPr>
          <w:rFonts w:asciiTheme="minorHAnsi" w:hAnsiTheme="minorHAnsi"/>
          <w:noProof/>
          <w:lang w:val="sq-AL"/>
        </w:rPr>
        <w:t>P</w:t>
      </w:r>
      <w:r>
        <w:rPr>
          <w:rFonts w:asciiTheme="minorHAnsi" w:hAnsiTheme="minorHAnsi"/>
          <w:noProof/>
          <w:lang w:val="sq-AL"/>
        </w:rPr>
        <w:t>ë</w:t>
      </w:r>
      <w:r w:rsidRPr="00646CAC">
        <w:rPr>
          <w:rFonts w:asciiTheme="minorHAnsi" w:hAnsiTheme="minorHAnsi"/>
          <w:noProof/>
          <w:lang w:val="sq-AL"/>
        </w:rPr>
        <w:t>rmiresimi i situates ekonomike t</w:t>
      </w:r>
      <w:r>
        <w:rPr>
          <w:rFonts w:asciiTheme="minorHAnsi" w:hAnsiTheme="minorHAnsi"/>
          <w:noProof/>
          <w:lang w:val="sq-AL"/>
        </w:rPr>
        <w:t>ë</w:t>
      </w:r>
      <w:r w:rsidRPr="00646CAC">
        <w:rPr>
          <w:rFonts w:asciiTheme="minorHAnsi" w:hAnsiTheme="minorHAnsi"/>
          <w:noProof/>
          <w:lang w:val="sq-AL"/>
        </w:rPr>
        <w:t xml:space="preserve"> tatimpaguesve si pasoj</w:t>
      </w:r>
      <w:r>
        <w:rPr>
          <w:rFonts w:asciiTheme="minorHAnsi" w:hAnsiTheme="minorHAnsi"/>
          <w:noProof/>
          <w:lang w:val="sq-AL"/>
        </w:rPr>
        <w:t>ë</w:t>
      </w:r>
      <w:r w:rsidRPr="00646CAC">
        <w:rPr>
          <w:rFonts w:asciiTheme="minorHAnsi" w:hAnsiTheme="minorHAnsi"/>
          <w:noProof/>
          <w:lang w:val="sq-AL"/>
        </w:rPr>
        <w:t xml:space="preserve"> e rim</w:t>
      </w:r>
      <w:r>
        <w:rPr>
          <w:rFonts w:asciiTheme="minorHAnsi" w:hAnsiTheme="minorHAnsi"/>
          <w:noProof/>
          <w:lang w:val="sq-AL"/>
        </w:rPr>
        <w:t>ë</w:t>
      </w:r>
      <w:r w:rsidRPr="00646CAC">
        <w:rPr>
          <w:rFonts w:asciiTheme="minorHAnsi" w:hAnsiTheme="minorHAnsi"/>
          <w:noProof/>
          <w:lang w:val="sq-AL"/>
        </w:rPr>
        <w:t>k</w:t>
      </w:r>
      <w:r>
        <w:rPr>
          <w:rFonts w:asciiTheme="minorHAnsi" w:hAnsiTheme="minorHAnsi"/>
          <w:noProof/>
          <w:lang w:val="sq-AL"/>
        </w:rPr>
        <w:t>ë</w:t>
      </w:r>
      <w:r w:rsidRPr="00646CAC">
        <w:rPr>
          <w:rFonts w:asciiTheme="minorHAnsi" w:hAnsiTheme="minorHAnsi"/>
          <w:noProof/>
          <w:lang w:val="sq-AL"/>
        </w:rPr>
        <w:t>mbjes graduale t</w:t>
      </w:r>
      <w:r>
        <w:rPr>
          <w:rFonts w:asciiTheme="minorHAnsi" w:hAnsiTheme="minorHAnsi"/>
          <w:noProof/>
          <w:lang w:val="sq-AL"/>
        </w:rPr>
        <w:t>ë</w:t>
      </w:r>
      <w:r w:rsidRPr="00646CAC">
        <w:rPr>
          <w:rFonts w:asciiTheme="minorHAnsi" w:hAnsiTheme="minorHAnsi"/>
          <w:noProof/>
          <w:lang w:val="sq-AL"/>
        </w:rPr>
        <w:t xml:space="preserve"> ekonomis</w:t>
      </w:r>
      <w:r>
        <w:rPr>
          <w:rFonts w:asciiTheme="minorHAnsi" w:hAnsiTheme="minorHAnsi"/>
          <w:noProof/>
          <w:lang w:val="sq-AL"/>
        </w:rPr>
        <w:t>ë</w:t>
      </w:r>
      <w:r w:rsidRPr="00646CAC">
        <w:rPr>
          <w:rFonts w:asciiTheme="minorHAnsi" w:hAnsiTheme="minorHAnsi"/>
          <w:noProof/>
          <w:lang w:val="sq-AL"/>
        </w:rPr>
        <w:t>.</w:t>
      </w:r>
    </w:p>
    <w:p w:rsidR="0034657E" w:rsidRDefault="0034657E" w:rsidP="0034657E">
      <w:pPr>
        <w:spacing w:before="240" w:line="276" w:lineRule="auto"/>
        <w:rPr>
          <w:rFonts w:asciiTheme="minorHAnsi" w:hAnsiTheme="minorHAnsi"/>
          <w:b/>
          <w:noProof/>
          <w:lang w:val="sq-AL"/>
        </w:rPr>
      </w:pPr>
      <w:r w:rsidRPr="004E355C">
        <w:rPr>
          <w:rFonts w:asciiTheme="minorHAnsi" w:hAnsiTheme="minorHAnsi"/>
          <w:b/>
          <w:noProof/>
          <w:lang w:val="sq-AL"/>
        </w:rPr>
        <w:lastRenderedPageBreak/>
        <w:t>Performanca e të ardhurave tatimore dhe doganore kundrejt planit 20</w:t>
      </w:r>
      <w:r>
        <w:rPr>
          <w:rFonts w:asciiTheme="minorHAnsi" w:hAnsiTheme="minorHAnsi"/>
          <w:b/>
          <w:noProof/>
          <w:lang w:val="sq-AL"/>
        </w:rPr>
        <w:t>21</w:t>
      </w:r>
    </w:p>
    <w:p w:rsidR="0034657E" w:rsidRPr="004E355C" w:rsidRDefault="0034657E" w:rsidP="0034657E">
      <w:pPr>
        <w:tabs>
          <w:tab w:val="left" w:pos="2511"/>
          <w:tab w:val="center" w:pos="4680"/>
          <w:tab w:val="left" w:pos="9360"/>
        </w:tabs>
        <w:spacing w:line="276" w:lineRule="auto"/>
        <w:jc w:val="both"/>
        <w:rPr>
          <w:rFonts w:asciiTheme="minorHAnsi" w:hAnsiTheme="minorHAnsi" w:cstheme="minorHAnsi"/>
          <w:noProof/>
          <w:lang w:val="sq-AL"/>
        </w:rPr>
      </w:pPr>
      <w:r w:rsidRPr="004E355C">
        <w:rPr>
          <w:rFonts w:asciiTheme="minorHAnsi" w:hAnsiTheme="minorHAnsi" w:cstheme="minorHAnsi"/>
          <w:noProof/>
          <w:lang w:val="sq-AL"/>
        </w:rPr>
        <w:t>Të ardhurat nga “Tatimet dhe Doganat” për periudhën Janar-Maj 20</w:t>
      </w:r>
      <w:r>
        <w:rPr>
          <w:rFonts w:asciiTheme="minorHAnsi" w:hAnsiTheme="minorHAnsi" w:cstheme="minorHAnsi"/>
          <w:noProof/>
          <w:lang w:val="sq-AL"/>
        </w:rPr>
        <w:t>21</w:t>
      </w:r>
      <w:r w:rsidRPr="004E355C">
        <w:rPr>
          <w:rFonts w:asciiTheme="minorHAnsi" w:hAnsiTheme="minorHAnsi" w:cstheme="minorHAnsi"/>
          <w:noProof/>
          <w:lang w:val="sq-AL"/>
        </w:rPr>
        <w:t xml:space="preserve"> paraqiten me një realizim në masën </w:t>
      </w:r>
      <w:r>
        <w:rPr>
          <w:rFonts w:asciiTheme="minorHAnsi" w:hAnsiTheme="minorHAnsi" w:cstheme="minorHAnsi"/>
          <w:noProof/>
          <w:lang w:val="sq-AL"/>
        </w:rPr>
        <w:t>101.5</w:t>
      </w:r>
      <w:r w:rsidRPr="004E355C">
        <w:rPr>
          <w:rFonts w:asciiTheme="minorHAnsi" w:hAnsiTheme="minorHAnsi" w:cstheme="minorHAnsi"/>
          <w:noProof/>
          <w:lang w:val="sq-AL"/>
        </w:rPr>
        <w:t xml:space="preserve">% ose </w:t>
      </w:r>
      <w:r>
        <w:rPr>
          <w:rFonts w:asciiTheme="minorHAnsi" w:hAnsiTheme="minorHAnsi" w:cstheme="minorHAnsi"/>
          <w:noProof/>
          <w:lang w:val="sq-AL"/>
        </w:rPr>
        <w:t>2.4</w:t>
      </w:r>
      <w:r w:rsidRPr="004E355C">
        <w:rPr>
          <w:rFonts w:asciiTheme="minorHAnsi" w:hAnsiTheme="minorHAnsi" w:cstheme="minorHAnsi"/>
          <w:noProof/>
          <w:lang w:val="sq-AL"/>
        </w:rPr>
        <w:t xml:space="preserve"> miliardë lekë më </w:t>
      </w:r>
      <w:r>
        <w:rPr>
          <w:rFonts w:asciiTheme="minorHAnsi" w:hAnsiTheme="minorHAnsi" w:cstheme="minorHAnsi"/>
          <w:noProof/>
          <w:lang w:val="sq-AL"/>
        </w:rPr>
        <w:t>shumë</w:t>
      </w:r>
      <w:r w:rsidRPr="004E355C">
        <w:rPr>
          <w:rFonts w:asciiTheme="minorHAnsi" w:hAnsiTheme="minorHAnsi" w:cstheme="minorHAnsi"/>
          <w:noProof/>
          <w:lang w:val="sq-AL"/>
        </w:rPr>
        <w:t xml:space="preserve"> se plani i periudhës. Performanca sipas taksave paraqitet si vijon:</w:t>
      </w:r>
    </w:p>
    <w:p w:rsidR="0034657E" w:rsidRPr="004E355C" w:rsidRDefault="0034657E" w:rsidP="007F0B61">
      <w:pPr>
        <w:pStyle w:val="ListParagraph"/>
        <w:numPr>
          <w:ilvl w:val="0"/>
          <w:numId w:val="29"/>
        </w:numPr>
        <w:tabs>
          <w:tab w:val="left" w:pos="2511"/>
          <w:tab w:val="center" w:pos="4680"/>
          <w:tab w:val="left" w:pos="9360"/>
        </w:tabs>
        <w:spacing w:after="200" w:line="276" w:lineRule="auto"/>
        <w:jc w:val="both"/>
        <w:rPr>
          <w:rFonts w:asciiTheme="minorHAnsi" w:hAnsiTheme="minorHAnsi" w:cstheme="minorHAnsi"/>
          <w:noProof/>
          <w:lang w:val="sq-AL"/>
        </w:rPr>
      </w:pPr>
      <w:r w:rsidRPr="004E355C">
        <w:rPr>
          <w:rFonts w:asciiTheme="minorHAnsi" w:hAnsiTheme="minorHAnsi" w:cstheme="minorHAnsi"/>
          <w:noProof/>
          <w:lang w:val="sq-AL"/>
        </w:rPr>
        <w:t xml:space="preserve">Të ardhurat nga “T.V.SH-ja” në total, janë realizuar në vlerën </w:t>
      </w:r>
      <w:r>
        <w:rPr>
          <w:rFonts w:asciiTheme="minorHAnsi" w:hAnsiTheme="minorHAnsi" w:cstheme="minorHAnsi"/>
          <w:noProof/>
          <w:lang w:val="sq-AL"/>
        </w:rPr>
        <w:t>55.2</w:t>
      </w:r>
      <w:r w:rsidRPr="004E355C">
        <w:rPr>
          <w:rFonts w:asciiTheme="minorHAnsi" w:hAnsiTheme="minorHAnsi" w:cstheme="minorHAnsi"/>
          <w:noProof/>
          <w:lang w:val="sq-AL"/>
        </w:rPr>
        <w:t xml:space="preserve"> miliardë lekë, </w:t>
      </w:r>
      <w:r>
        <w:rPr>
          <w:rFonts w:asciiTheme="minorHAnsi" w:hAnsiTheme="minorHAnsi" w:cstheme="minorHAnsi"/>
          <w:noProof/>
          <w:lang w:val="sq-AL"/>
        </w:rPr>
        <w:t>0.6</w:t>
      </w:r>
      <w:r w:rsidRPr="004E355C">
        <w:rPr>
          <w:rFonts w:asciiTheme="minorHAnsi" w:hAnsiTheme="minorHAnsi" w:cstheme="minorHAnsi"/>
          <w:noProof/>
          <w:lang w:val="sq-AL"/>
        </w:rPr>
        <w:t xml:space="preserve">% ose </w:t>
      </w:r>
      <w:r>
        <w:rPr>
          <w:rFonts w:asciiTheme="minorHAnsi" w:hAnsiTheme="minorHAnsi" w:cstheme="minorHAnsi"/>
          <w:noProof/>
          <w:lang w:val="sq-AL"/>
        </w:rPr>
        <w:t>336</w:t>
      </w:r>
      <w:r w:rsidRPr="004E355C">
        <w:rPr>
          <w:rFonts w:asciiTheme="minorHAnsi" w:hAnsiTheme="minorHAnsi" w:cstheme="minorHAnsi"/>
          <w:noProof/>
          <w:lang w:val="sq-AL"/>
        </w:rPr>
        <w:t xml:space="preserve"> mili</w:t>
      </w:r>
      <w:r>
        <w:rPr>
          <w:rFonts w:asciiTheme="minorHAnsi" w:hAnsiTheme="minorHAnsi" w:cstheme="minorHAnsi"/>
          <w:noProof/>
          <w:lang w:val="sq-AL"/>
        </w:rPr>
        <w:t>onë</w:t>
      </w:r>
      <w:r w:rsidRPr="004E355C">
        <w:rPr>
          <w:rFonts w:asciiTheme="minorHAnsi" w:hAnsiTheme="minorHAnsi" w:cstheme="minorHAnsi"/>
          <w:noProof/>
          <w:lang w:val="sq-AL"/>
        </w:rPr>
        <w:t xml:space="preserve"> lekë më pak se plani i periudhës. </w:t>
      </w:r>
    </w:p>
    <w:p w:rsidR="0034657E" w:rsidRPr="004E355C" w:rsidRDefault="0034657E" w:rsidP="007F0B61">
      <w:pPr>
        <w:pStyle w:val="ListParagraph"/>
        <w:numPr>
          <w:ilvl w:val="0"/>
          <w:numId w:val="29"/>
        </w:numPr>
        <w:tabs>
          <w:tab w:val="left" w:pos="2511"/>
          <w:tab w:val="center" w:pos="4680"/>
          <w:tab w:val="left" w:pos="9360"/>
        </w:tabs>
        <w:spacing w:after="200" w:line="276" w:lineRule="auto"/>
        <w:jc w:val="both"/>
        <w:rPr>
          <w:rFonts w:asciiTheme="minorHAnsi" w:hAnsiTheme="minorHAnsi" w:cstheme="minorHAnsi"/>
          <w:noProof/>
          <w:lang w:val="sq-AL"/>
        </w:rPr>
      </w:pPr>
      <w:r w:rsidRPr="004E355C">
        <w:rPr>
          <w:rFonts w:asciiTheme="minorHAnsi" w:hAnsiTheme="minorHAnsi" w:cstheme="minorHAnsi"/>
          <w:noProof/>
          <w:lang w:val="sq-AL"/>
        </w:rPr>
        <w:t xml:space="preserve">Të ardhurat nga “Tatimi mbi Fitimin”, janë realizuar në vlerën </w:t>
      </w:r>
      <w:r>
        <w:rPr>
          <w:rFonts w:asciiTheme="minorHAnsi" w:hAnsiTheme="minorHAnsi" w:cstheme="minorHAnsi"/>
          <w:noProof/>
          <w:lang w:val="sq-AL"/>
        </w:rPr>
        <w:t>15.1</w:t>
      </w:r>
      <w:r w:rsidRPr="004E355C">
        <w:rPr>
          <w:rFonts w:asciiTheme="minorHAnsi" w:hAnsiTheme="minorHAnsi" w:cstheme="minorHAnsi"/>
          <w:noProof/>
          <w:lang w:val="sq-AL"/>
        </w:rPr>
        <w:t xml:space="preserve"> miliardë lekë, </w:t>
      </w:r>
      <w:r>
        <w:rPr>
          <w:rFonts w:asciiTheme="minorHAnsi" w:hAnsiTheme="minorHAnsi" w:cstheme="minorHAnsi"/>
          <w:noProof/>
          <w:lang w:val="sq-AL"/>
        </w:rPr>
        <w:t>0.9</w:t>
      </w:r>
      <w:r w:rsidRPr="004E355C">
        <w:rPr>
          <w:rFonts w:asciiTheme="minorHAnsi" w:hAnsiTheme="minorHAnsi" w:cstheme="minorHAnsi"/>
          <w:noProof/>
          <w:lang w:val="sq-AL"/>
        </w:rPr>
        <w:t xml:space="preserve">% ose </w:t>
      </w:r>
      <w:r>
        <w:rPr>
          <w:rFonts w:asciiTheme="minorHAnsi" w:hAnsiTheme="minorHAnsi" w:cstheme="minorHAnsi"/>
          <w:noProof/>
          <w:lang w:val="sq-AL"/>
        </w:rPr>
        <w:t>136</w:t>
      </w:r>
      <w:r w:rsidRPr="004E355C">
        <w:rPr>
          <w:rFonts w:asciiTheme="minorHAnsi" w:hAnsiTheme="minorHAnsi" w:cstheme="minorHAnsi"/>
          <w:noProof/>
          <w:lang w:val="sq-AL"/>
        </w:rPr>
        <w:t xml:space="preserve"> mili</w:t>
      </w:r>
      <w:r>
        <w:rPr>
          <w:rFonts w:asciiTheme="minorHAnsi" w:hAnsiTheme="minorHAnsi" w:cstheme="minorHAnsi"/>
          <w:noProof/>
          <w:lang w:val="sq-AL"/>
        </w:rPr>
        <w:t>onë</w:t>
      </w:r>
      <w:r w:rsidRPr="004E355C">
        <w:rPr>
          <w:rFonts w:asciiTheme="minorHAnsi" w:hAnsiTheme="minorHAnsi" w:cstheme="minorHAnsi"/>
          <w:noProof/>
          <w:lang w:val="sq-AL"/>
        </w:rPr>
        <w:t xml:space="preserve"> lekë më </w:t>
      </w:r>
      <w:r>
        <w:rPr>
          <w:rFonts w:asciiTheme="minorHAnsi" w:hAnsiTheme="minorHAnsi" w:cstheme="minorHAnsi"/>
          <w:noProof/>
          <w:lang w:val="sq-AL"/>
        </w:rPr>
        <w:t>pak</w:t>
      </w:r>
      <w:r w:rsidRPr="004E355C">
        <w:rPr>
          <w:rFonts w:asciiTheme="minorHAnsi" w:hAnsiTheme="minorHAnsi" w:cstheme="minorHAnsi"/>
          <w:noProof/>
          <w:lang w:val="sq-AL"/>
        </w:rPr>
        <w:t xml:space="preserve"> se plani i periudhës.</w:t>
      </w:r>
    </w:p>
    <w:p w:rsidR="0034657E" w:rsidRPr="004E355C" w:rsidRDefault="0034657E" w:rsidP="007F0B61">
      <w:pPr>
        <w:pStyle w:val="ListParagraph"/>
        <w:numPr>
          <w:ilvl w:val="0"/>
          <w:numId w:val="29"/>
        </w:numPr>
        <w:tabs>
          <w:tab w:val="left" w:pos="2511"/>
          <w:tab w:val="center" w:pos="4680"/>
          <w:tab w:val="left" w:pos="9360"/>
        </w:tabs>
        <w:spacing w:after="200" w:line="276" w:lineRule="auto"/>
        <w:jc w:val="both"/>
        <w:rPr>
          <w:rFonts w:asciiTheme="minorHAnsi" w:hAnsiTheme="minorHAnsi" w:cstheme="minorHAnsi"/>
          <w:noProof/>
          <w:lang w:val="sq-AL"/>
        </w:rPr>
      </w:pPr>
      <w:r w:rsidRPr="004E355C">
        <w:rPr>
          <w:rFonts w:asciiTheme="minorHAnsi" w:hAnsiTheme="minorHAnsi" w:cstheme="minorHAnsi"/>
          <w:noProof/>
          <w:lang w:val="sq-AL"/>
        </w:rPr>
        <w:t xml:space="preserve">Të ardhurat nga “Akciza”, janë realizuar në vlerën </w:t>
      </w:r>
      <w:r>
        <w:rPr>
          <w:rFonts w:asciiTheme="minorHAnsi" w:hAnsiTheme="minorHAnsi" w:cstheme="minorHAnsi"/>
          <w:noProof/>
          <w:lang w:val="sq-AL"/>
        </w:rPr>
        <w:t>18.3</w:t>
      </w:r>
      <w:r w:rsidRPr="004E355C">
        <w:rPr>
          <w:rFonts w:asciiTheme="minorHAnsi" w:hAnsiTheme="minorHAnsi" w:cstheme="minorHAnsi"/>
          <w:noProof/>
          <w:lang w:val="sq-AL"/>
        </w:rPr>
        <w:t xml:space="preserve"> miliardë lekë,</w:t>
      </w:r>
      <w:r>
        <w:rPr>
          <w:rFonts w:asciiTheme="minorHAnsi" w:hAnsiTheme="minorHAnsi" w:cstheme="minorHAnsi"/>
          <w:noProof/>
          <w:lang w:val="sq-AL"/>
        </w:rPr>
        <w:t xml:space="preserve"> 3.5</w:t>
      </w:r>
      <w:r w:rsidRPr="004E355C">
        <w:rPr>
          <w:rFonts w:asciiTheme="minorHAnsi" w:hAnsiTheme="minorHAnsi" w:cstheme="minorHAnsi"/>
          <w:noProof/>
          <w:lang w:val="sq-AL"/>
        </w:rPr>
        <w:t xml:space="preserve">% ose </w:t>
      </w:r>
      <w:r>
        <w:rPr>
          <w:rFonts w:asciiTheme="minorHAnsi" w:hAnsiTheme="minorHAnsi" w:cstheme="minorHAnsi"/>
          <w:noProof/>
          <w:lang w:val="sq-AL"/>
        </w:rPr>
        <w:t>627 milion</w:t>
      </w:r>
      <w:r w:rsidRPr="004E355C">
        <w:rPr>
          <w:rFonts w:asciiTheme="minorHAnsi" w:hAnsiTheme="minorHAnsi" w:cstheme="minorHAnsi"/>
          <w:noProof/>
          <w:lang w:val="sq-AL"/>
        </w:rPr>
        <w:t xml:space="preserve">ë lekë më </w:t>
      </w:r>
      <w:r>
        <w:rPr>
          <w:rFonts w:asciiTheme="minorHAnsi" w:hAnsiTheme="minorHAnsi" w:cstheme="minorHAnsi"/>
          <w:noProof/>
          <w:lang w:val="sq-AL"/>
        </w:rPr>
        <w:t>shumë</w:t>
      </w:r>
      <w:r w:rsidRPr="004E355C">
        <w:rPr>
          <w:rFonts w:asciiTheme="minorHAnsi" w:hAnsiTheme="minorHAnsi" w:cstheme="minorHAnsi"/>
          <w:noProof/>
          <w:lang w:val="sq-AL"/>
        </w:rPr>
        <w:t xml:space="preserve"> se plani i periudhës.</w:t>
      </w:r>
    </w:p>
    <w:p w:rsidR="0034657E" w:rsidRPr="00E37DCE" w:rsidRDefault="0034657E" w:rsidP="007F0B61">
      <w:pPr>
        <w:pStyle w:val="ListParagraph"/>
        <w:numPr>
          <w:ilvl w:val="0"/>
          <w:numId w:val="29"/>
        </w:numPr>
        <w:tabs>
          <w:tab w:val="left" w:pos="2511"/>
          <w:tab w:val="center" w:pos="4680"/>
          <w:tab w:val="left" w:pos="9360"/>
        </w:tabs>
        <w:spacing w:after="200" w:line="276" w:lineRule="auto"/>
        <w:jc w:val="both"/>
        <w:rPr>
          <w:rFonts w:asciiTheme="minorHAnsi" w:hAnsiTheme="minorHAnsi" w:cstheme="minorHAnsi"/>
          <w:noProof/>
          <w:lang w:val="sq-AL"/>
        </w:rPr>
      </w:pPr>
      <w:r w:rsidRPr="00E37DCE">
        <w:rPr>
          <w:rFonts w:asciiTheme="minorHAnsi" w:hAnsiTheme="minorHAnsi" w:cstheme="minorHAnsi"/>
          <w:noProof/>
          <w:lang w:val="sq-AL"/>
        </w:rPr>
        <w:t xml:space="preserve">Të ardhurat nga “Tatimi mbi të Ardhurat Personale”, janë realizuar në vlerën </w:t>
      </w:r>
      <w:r>
        <w:rPr>
          <w:rFonts w:asciiTheme="minorHAnsi" w:hAnsiTheme="minorHAnsi" w:cstheme="minorHAnsi"/>
          <w:noProof/>
          <w:lang w:val="sq-AL"/>
        </w:rPr>
        <w:t>16</w:t>
      </w:r>
      <w:r w:rsidRPr="00E37DCE">
        <w:rPr>
          <w:rFonts w:asciiTheme="minorHAnsi" w:hAnsiTheme="minorHAnsi" w:cstheme="minorHAnsi"/>
          <w:noProof/>
          <w:lang w:val="sq-AL"/>
        </w:rPr>
        <w:t xml:space="preserve"> miliardë lekë, </w:t>
      </w:r>
      <w:r>
        <w:rPr>
          <w:rFonts w:asciiTheme="minorHAnsi" w:hAnsiTheme="minorHAnsi" w:cstheme="minorHAnsi"/>
          <w:noProof/>
          <w:lang w:val="sq-AL"/>
        </w:rPr>
        <w:t>1.1</w:t>
      </w:r>
      <w:r w:rsidRPr="00E37DCE">
        <w:rPr>
          <w:rFonts w:asciiTheme="minorHAnsi" w:hAnsiTheme="minorHAnsi" w:cstheme="minorHAnsi"/>
          <w:noProof/>
          <w:lang w:val="sq-AL"/>
        </w:rPr>
        <w:t xml:space="preserve">% ose </w:t>
      </w:r>
      <w:r>
        <w:rPr>
          <w:rFonts w:asciiTheme="minorHAnsi" w:hAnsiTheme="minorHAnsi" w:cstheme="minorHAnsi"/>
          <w:noProof/>
          <w:lang w:val="sq-AL"/>
        </w:rPr>
        <w:t>177</w:t>
      </w:r>
      <w:r w:rsidRPr="00E37DCE">
        <w:rPr>
          <w:rFonts w:asciiTheme="minorHAnsi" w:hAnsiTheme="minorHAnsi" w:cstheme="minorHAnsi"/>
          <w:noProof/>
          <w:lang w:val="sq-AL"/>
        </w:rPr>
        <w:t xml:space="preserve"> mili</w:t>
      </w:r>
      <w:r>
        <w:rPr>
          <w:rFonts w:asciiTheme="minorHAnsi" w:hAnsiTheme="minorHAnsi" w:cstheme="minorHAnsi"/>
          <w:noProof/>
          <w:lang w:val="sq-AL"/>
        </w:rPr>
        <w:t>on</w:t>
      </w:r>
      <w:r w:rsidRPr="00E37DCE">
        <w:rPr>
          <w:rFonts w:asciiTheme="minorHAnsi" w:hAnsiTheme="minorHAnsi" w:cstheme="minorHAnsi"/>
          <w:noProof/>
          <w:lang w:val="sq-AL"/>
        </w:rPr>
        <w:t xml:space="preserve">ë lekë më </w:t>
      </w:r>
      <w:r>
        <w:rPr>
          <w:rFonts w:asciiTheme="minorHAnsi" w:hAnsiTheme="minorHAnsi" w:cstheme="minorHAnsi"/>
          <w:noProof/>
          <w:lang w:val="sq-AL"/>
        </w:rPr>
        <w:t>pak</w:t>
      </w:r>
      <w:r w:rsidRPr="00E37DCE">
        <w:rPr>
          <w:rFonts w:asciiTheme="minorHAnsi" w:hAnsiTheme="minorHAnsi" w:cstheme="minorHAnsi"/>
          <w:noProof/>
          <w:lang w:val="sq-AL"/>
        </w:rPr>
        <w:t xml:space="preserve"> se plani i periudhës.</w:t>
      </w:r>
    </w:p>
    <w:p w:rsidR="0034657E" w:rsidRPr="00582E3F" w:rsidRDefault="0034657E" w:rsidP="007F0B61">
      <w:pPr>
        <w:pStyle w:val="ListParagraph"/>
        <w:numPr>
          <w:ilvl w:val="0"/>
          <w:numId w:val="29"/>
        </w:numPr>
        <w:tabs>
          <w:tab w:val="left" w:pos="2511"/>
          <w:tab w:val="center" w:pos="4680"/>
          <w:tab w:val="left" w:pos="9360"/>
        </w:tabs>
        <w:spacing w:after="200" w:line="276" w:lineRule="auto"/>
        <w:jc w:val="both"/>
        <w:rPr>
          <w:rFonts w:asciiTheme="minorHAnsi" w:hAnsiTheme="minorHAnsi" w:cstheme="minorHAnsi"/>
          <w:noProof/>
          <w:lang w:val="sq-AL"/>
        </w:rPr>
      </w:pPr>
      <w:r w:rsidRPr="00582E3F">
        <w:rPr>
          <w:rFonts w:asciiTheme="minorHAnsi" w:hAnsiTheme="minorHAnsi" w:cstheme="minorHAnsi"/>
          <w:noProof/>
          <w:lang w:val="sq-AL"/>
        </w:rPr>
        <w:t xml:space="preserve">Të ardhurat nga “Taksat Nacionale dhe të tjera” janë realizuar në vlerën </w:t>
      </w:r>
      <w:r>
        <w:rPr>
          <w:rFonts w:asciiTheme="minorHAnsi" w:hAnsiTheme="minorHAnsi" w:cstheme="minorHAnsi"/>
          <w:noProof/>
          <w:lang w:val="sq-AL"/>
        </w:rPr>
        <w:t xml:space="preserve">15.8 miliardë lekë, 5.7 </w:t>
      </w:r>
      <w:r w:rsidRPr="00582E3F">
        <w:rPr>
          <w:rFonts w:asciiTheme="minorHAnsi" w:hAnsiTheme="minorHAnsi" w:cstheme="minorHAnsi"/>
          <w:noProof/>
          <w:lang w:val="sq-AL"/>
        </w:rPr>
        <w:t xml:space="preserve">% ose </w:t>
      </w:r>
      <w:r>
        <w:rPr>
          <w:rFonts w:asciiTheme="minorHAnsi" w:hAnsiTheme="minorHAnsi" w:cstheme="minorHAnsi"/>
          <w:noProof/>
          <w:lang w:val="sq-AL"/>
        </w:rPr>
        <w:t>853</w:t>
      </w:r>
      <w:r w:rsidRPr="00582E3F">
        <w:rPr>
          <w:rFonts w:asciiTheme="minorHAnsi" w:hAnsiTheme="minorHAnsi" w:cstheme="minorHAnsi"/>
          <w:noProof/>
          <w:lang w:val="sq-AL"/>
        </w:rPr>
        <w:t xml:space="preserve"> mili</w:t>
      </w:r>
      <w:r>
        <w:rPr>
          <w:rFonts w:asciiTheme="minorHAnsi" w:hAnsiTheme="minorHAnsi" w:cstheme="minorHAnsi"/>
          <w:noProof/>
          <w:lang w:val="sq-AL"/>
        </w:rPr>
        <w:t>onë</w:t>
      </w:r>
      <w:r w:rsidRPr="00582E3F">
        <w:rPr>
          <w:rFonts w:asciiTheme="minorHAnsi" w:hAnsiTheme="minorHAnsi" w:cstheme="minorHAnsi"/>
          <w:noProof/>
          <w:lang w:val="sq-AL"/>
        </w:rPr>
        <w:t xml:space="preserve"> lekë më </w:t>
      </w:r>
      <w:r>
        <w:rPr>
          <w:rFonts w:asciiTheme="minorHAnsi" w:hAnsiTheme="minorHAnsi" w:cstheme="minorHAnsi"/>
          <w:noProof/>
          <w:lang w:val="sq-AL"/>
        </w:rPr>
        <w:t>shumë</w:t>
      </w:r>
      <w:r w:rsidRPr="00582E3F">
        <w:rPr>
          <w:rFonts w:asciiTheme="minorHAnsi" w:hAnsiTheme="minorHAnsi" w:cstheme="minorHAnsi"/>
          <w:noProof/>
          <w:lang w:val="sq-AL"/>
        </w:rPr>
        <w:t xml:space="preserve"> se plani i per</w:t>
      </w:r>
      <w:r>
        <w:rPr>
          <w:rFonts w:asciiTheme="minorHAnsi" w:hAnsiTheme="minorHAnsi" w:cstheme="minorHAnsi"/>
          <w:noProof/>
          <w:lang w:val="sq-AL"/>
        </w:rPr>
        <w:t>i</w:t>
      </w:r>
      <w:r w:rsidRPr="00582E3F">
        <w:rPr>
          <w:rFonts w:asciiTheme="minorHAnsi" w:hAnsiTheme="minorHAnsi" w:cstheme="minorHAnsi"/>
          <w:noProof/>
          <w:lang w:val="sq-AL"/>
        </w:rPr>
        <w:t>udhës.</w:t>
      </w:r>
    </w:p>
    <w:p w:rsidR="0034657E" w:rsidRPr="00582E3F" w:rsidRDefault="0034657E" w:rsidP="007F0B61">
      <w:pPr>
        <w:pStyle w:val="ListParagraph"/>
        <w:numPr>
          <w:ilvl w:val="0"/>
          <w:numId w:val="29"/>
        </w:numPr>
        <w:tabs>
          <w:tab w:val="left" w:pos="2511"/>
          <w:tab w:val="center" w:pos="4680"/>
          <w:tab w:val="left" w:pos="9360"/>
        </w:tabs>
        <w:spacing w:after="200" w:line="276" w:lineRule="auto"/>
        <w:jc w:val="both"/>
        <w:rPr>
          <w:rFonts w:asciiTheme="minorHAnsi" w:hAnsiTheme="minorHAnsi" w:cstheme="minorHAnsi"/>
          <w:noProof/>
          <w:lang w:val="sq-AL"/>
        </w:rPr>
      </w:pPr>
      <w:r w:rsidRPr="00582E3F">
        <w:rPr>
          <w:rFonts w:asciiTheme="minorHAnsi" w:hAnsiTheme="minorHAnsi" w:cstheme="minorHAnsi"/>
          <w:noProof/>
          <w:lang w:val="sq-AL"/>
        </w:rPr>
        <w:t>Të ardhurat nga “Taksat Doganore” janë realizuar në vlerën 2.</w:t>
      </w:r>
      <w:r>
        <w:rPr>
          <w:rFonts w:asciiTheme="minorHAnsi" w:hAnsiTheme="minorHAnsi" w:cstheme="minorHAnsi"/>
          <w:noProof/>
          <w:lang w:val="sq-AL"/>
        </w:rPr>
        <w:t>6</w:t>
      </w:r>
      <w:r w:rsidRPr="00582E3F">
        <w:rPr>
          <w:rFonts w:asciiTheme="minorHAnsi" w:hAnsiTheme="minorHAnsi" w:cstheme="minorHAnsi"/>
          <w:noProof/>
          <w:lang w:val="sq-AL"/>
        </w:rPr>
        <w:t xml:space="preserve"> miliardë lekë, 1.</w:t>
      </w:r>
      <w:r>
        <w:rPr>
          <w:rFonts w:asciiTheme="minorHAnsi" w:hAnsiTheme="minorHAnsi" w:cstheme="minorHAnsi"/>
          <w:noProof/>
          <w:lang w:val="sq-AL"/>
        </w:rPr>
        <w:t>6</w:t>
      </w:r>
      <w:r w:rsidRPr="00582E3F">
        <w:rPr>
          <w:rFonts w:asciiTheme="minorHAnsi" w:hAnsiTheme="minorHAnsi" w:cstheme="minorHAnsi"/>
          <w:noProof/>
          <w:lang w:val="sq-AL"/>
        </w:rPr>
        <w:t xml:space="preserve">% ose </w:t>
      </w:r>
      <w:r>
        <w:rPr>
          <w:rFonts w:asciiTheme="minorHAnsi" w:hAnsiTheme="minorHAnsi" w:cstheme="minorHAnsi"/>
          <w:noProof/>
          <w:lang w:val="sq-AL"/>
        </w:rPr>
        <w:t xml:space="preserve">    43</w:t>
      </w:r>
      <w:r w:rsidRPr="00582E3F">
        <w:rPr>
          <w:rFonts w:asciiTheme="minorHAnsi" w:hAnsiTheme="minorHAnsi" w:cstheme="minorHAnsi"/>
          <w:noProof/>
          <w:lang w:val="sq-AL"/>
        </w:rPr>
        <w:t xml:space="preserve"> milionë lekë më </w:t>
      </w:r>
      <w:r>
        <w:rPr>
          <w:rFonts w:asciiTheme="minorHAnsi" w:hAnsiTheme="minorHAnsi" w:cstheme="minorHAnsi"/>
          <w:noProof/>
          <w:lang w:val="sq-AL"/>
        </w:rPr>
        <w:t>shumë</w:t>
      </w:r>
      <w:r w:rsidRPr="00582E3F">
        <w:rPr>
          <w:rFonts w:asciiTheme="minorHAnsi" w:hAnsiTheme="minorHAnsi" w:cstheme="minorHAnsi"/>
          <w:noProof/>
          <w:lang w:val="sq-AL"/>
        </w:rPr>
        <w:t xml:space="preserve"> se plani i periudhës.</w:t>
      </w:r>
    </w:p>
    <w:p w:rsidR="0034657E" w:rsidRPr="001D3027" w:rsidRDefault="0034657E" w:rsidP="007F0B61">
      <w:pPr>
        <w:pStyle w:val="ListParagraph"/>
        <w:numPr>
          <w:ilvl w:val="0"/>
          <w:numId w:val="29"/>
        </w:numPr>
        <w:tabs>
          <w:tab w:val="left" w:pos="2511"/>
          <w:tab w:val="center" w:pos="4680"/>
          <w:tab w:val="left" w:pos="9360"/>
        </w:tabs>
        <w:spacing w:after="200" w:line="276" w:lineRule="auto"/>
        <w:jc w:val="both"/>
        <w:rPr>
          <w:rFonts w:asciiTheme="minorHAnsi" w:hAnsiTheme="minorHAnsi" w:cstheme="minorHAnsi"/>
          <w:noProof/>
          <w:lang w:val="sq-AL"/>
        </w:rPr>
      </w:pPr>
      <w:r w:rsidRPr="001D3027">
        <w:rPr>
          <w:rFonts w:asciiTheme="minorHAnsi" w:hAnsiTheme="minorHAnsi" w:cstheme="minorHAnsi"/>
          <w:noProof/>
          <w:lang w:val="sq-AL"/>
        </w:rPr>
        <w:t>Të ardhurat nga “Kontributet e Sigurimeve Shoqërore dhe Shëndetësore” janë realizuar në vlerën 43.4 miliardë lekë, 3.7% ose 1.5 miliardë lekë më shumë se plani i periudhës.</w:t>
      </w:r>
    </w:p>
    <w:p w:rsidR="0034657E" w:rsidRPr="00162793" w:rsidRDefault="0034657E" w:rsidP="0034657E">
      <w:pPr>
        <w:pStyle w:val="NormalWeb"/>
        <w:spacing w:before="0" w:beforeAutospacing="0" w:after="0" w:afterAutospacing="0" w:line="276" w:lineRule="auto"/>
        <w:jc w:val="both"/>
        <w:rPr>
          <w:rFonts w:asciiTheme="minorHAnsi" w:hAnsiTheme="minorHAnsi"/>
          <w:bCs/>
          <w:lang w:val="sq-AL"/>
        </w:rPr>
      </w:pPr>
      <w:r w:rsidRPr="00162793">
        <w:rPr>
          <w:rFonts w:asciiTheme="minorHAnsi" w:hAnsiTheme="minorHAnsi" w:cstheme="minorHAnsi"/>
          <w:bCs/>
          <w:lang w:val="sq-AL"/>
        </w:rPr>
        <w:t xml:space="preserve">Importi i taksuar arriti në vlerën 226 miliardë lekë, ndërsa eksportet </w:t>
      </w:r>
      <w:r>
        <w:rPr>
          <w:rFonts w:asciiTheme="minorHAnsi" w:hAnsiTheme="minorHAnsi" w:cstheme="minorHAnsi"/>
          <w:bCs/>
          <w:lang w:val="sq-AL"/>
        </w:rPr>
        <w:t xml:space="preserve">në total arritën </w:t>
      </w:r>
      <w:r w:rsidRPr="00162793">
        <w:rPr>
          <w:rFonts w:asciiTheme="minorHAnsi" w:hAnsiTheme="minorHAnsi" w:cstheme="minorHAnsi"/>
          <w:bCs/>
          <w:lang w:val="sq-AL"/>
        </w:rPr>
        <w:t>vlerën 142 miliardë lekë. Krahasuar me të njëtën periudhë të vitit të kaluar importi i taksuar është rritur me 54 miliardë lekë ose 31%, gjithashtu edhe eksporti total është rritur me 40 miliardë lekë ose 39%. Sipas orientimit gjeografik, vendet Europiane, veçanërisht Italia mbeten partnerët kryesorë në shkëmbimet tregtare</w:t>
      </w:r>
      <w:r w:rsidRPr="00162793">
        <w:rPr>
          <w:rFonts w:asciiTheme="minorHAnsi" w:hAnsiTheme="minorHAnsi"/>
          <w:bCs/>
          <w:lang w:val="sq-AL"/>
        </w:rPr>
        <w:t xml:space="preserve">. </w:t>
      </w:r>
    </w:p>
    <w:p w:rsidR="0034657E" w:rsidRPr="00162793" w:rsidRDefault="0034657E" w:rsidP="0034657E">
      <w:pPr>
        <w:pStyle w:val="NormalWeb"/>
        <w:spacing w:before="0" w:beforeAutospacing="0" w:after="0" w:afterAutospacing="0" w:line="276" w:lineRule="auto"/>
        <w:jc w:val="both"/>
        <w:rPr>
          <w:rFonts w:asciiTheme="minorHAnsi" w:hAnsiTheme="minorHAnsi"/>
          <w:sz w:val="8"/>
          <w:szCs w:val="8"/>
          <w:lang w:val="sq-AL"/>
        </w:rPr>
      </w:pPr>
    </w:p>
    <w:p w:rsidR="0034657E" w:rsidRPr="0034657E" w:rsidRDefault="0034657E" w:rsidP="0034657E">
      <w:pPr>
        <w:pStyle w:val="Caption"/>
        <w:keepNext/>
        <w:jc w:val="both"/>
        <w:rPr>
          <w:rFonts w:asciiTheme="minorHAnsi" w:hAnsiTheme="minorHAnsi"/>
          <w:b w:val="0"/>
          <w:bCs w:val="0"/>
          <w:i/>
          <w:color w:val="auto"/>
          <w:sz w:val="22"/>
          <w:szCs w:val="24"/>
          <w:lang w:val="sq-AL"/>
        </w:rPr>
      </w:pPr>
      <w:bookmarkStart w:id="12" w:name="_Toc12448428"/>
      <w:r w:rsidRPr="0034657E">
        <w:rPr>
          <w:rFonts w:asciiTheme="minorHAnsi" w:hAnsiTheme="minorHAnsi"/>
          <w:b w:val="0"/>
          <w:bCs w:val="0"/>
          <w:i/>
          <w:color w:val="auto"/>
          <w:sz w:val="22"/>
          <w:szCs w:val="24"/>
          <w:lang w:val="sq-AL"/>
        </w:rPr>
        <w:t>Grafiku x: Import i Taksuar dhe Eksport Total 2021/2020(në miliard lekë)</w:t>
      </w:r>
      <w:bookmarkEnd w:id="12"/>
    </w:p>
    <w:p w:rsidR="0034657E" w:rsidRPr="0054006E" w:rsidRDefault="0034657E" w:rsidP="0034657E">
      <w:pPr>
        <w:jc w:val="center"/>
        <w:rPr>
          <w:lang w:val="sq-AL"/>
        </w:rPr>
      </w:pPr>
      <w:r>
        <w:rPr>
          <w:noProof/>
        </w:rPr>
        <w:drawing>
          <wp:inline distT="0" distB="0" distL="0" distR="0" wp14:anchorId="1E7FFE56" wp14:editId="2F4CDF6B">
            <wp:extent cx="5981700" cy="1874520"/>
            <wp:effectExtent l="0" t="0" r="0" b="11430"/>
            <wp:docPr id="31" name="Chart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7A10E63F-9585-4221-B723-E233F9A21A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4657E" w:rsidRPr="004E355C" w:rsidRDefault="0034657E" w:rsidP="0034657E">
      <w:pPr>
        <w:tabs>
          <w:tab w:val="left" w:pos="1440"/>
          <w:tab w:val="center" w:pos="4680"/>
          <w:tab w:val="left" w:pos="9360"/>
        </w:tabs>
        <w:spacing w:line="276" w:lineRule="auto"/>
        <w:jc w:val="both"/>
        <w:rPr>
          <w:rFonts w:asciiTheme="minorHAnsi" w:hAnsiTheme="minorHAnsi"/>
          <w:i/>
          <w:noProof/>
          <w:sz w:val="20"/>
          <w:szCs w:val="20"/>
          <w:lang w:val="sq-AL"/>
        </w:rPr>
      </w:pPr>
      <w:r w:rsidRPr="004E355C">
        <w:rPr>
          <w:rFonts w:asciiTheme="minorHAnsi" w:hAnsiTheme="minorHAnsi"/>
          <w:i/>
          <w:noProof/>
          <w:sz w:val="20"/>
          <w:szCs w:val="20"/>
          <w:lang w:val="sq-AL"/>
        </w:rPr>
        <w:t>Burimi: Ministria e Financave dhe Ekonomisë (20</w:t>
      </w:r>
      <w:r>
        <w:rPr>
          <w:rFonts w:asciiTheme="minorHAnsi" w:hAnsiTheme="minorHAnsi"/>
          <w:i/>
          <w:noProof/>
          <w:sz w:val="20"/>
          <w:szCs w:val="20"/>
          <w:lang w:val="sq-AL"/>
        </w:rPr>
        <w:t>21</w:t>
      </w:r>
      <w:r w:rsidRPr="004E355C">
        <w:rPr>
          <w:rFonts w:asciiTheme="minorHAnsi" w:hAnsiTheme="minorHAnsi"/>
          <w:i/>
          <w:noProof/>
          <w:sz w:val="20"/>
          <w:szCs w:val="20"/>
          <w:lang w:val="sq-AL"/>
        </w:rPr>
        <w:t>)</w:t>
      </w:r>
    </w:p>
    <w:p w:rsidR="0034657E" w:rsidRPr="004E355C" w:rsidRDefault="0034657E" w:rsidP="0034657E">
      <w:pPr>
        <w:tabs>
          <w:tab w:val="left" w:pos="2511"/>
          <w:tab w:val="left" w:pos="4500"/>
          <w:tab w:val="left" w:pos="4590"/>
          <w:tab w:val="center" w:pos="4680"/>
          <w:tab w:val="left" w:pos="4770"/>
          <w:tab w:val="left" w:pos="4860"/>
        </w:tabs>
        <w:spacing w:before="240" w:line="276" w:lineRule="auto"/>
        <w:jc w:val="both"/>
        <w:rPr>
          <w:rFonts w:asciiTheme="minorHAnsi" w:hAnsiTheme="minorHAnsi"/>
          <w:lang w:val="sq-AL"/>
        </w:rPr>
      </w:pPr>
      <w:r w:rsidRPr="004E355C">
        <w:rPr>
          <w:rFonts w:asciiTheme="minorHAnsi" w:hAnsiTheme="minorHAnsi"/>
          <w:b/>
          <w:bCs/>
          <w:lang w:val="sq-AL"/>
        </w:rPr>
        <w:t>Të Ardhurat Doganore</w:t>
      </w:r>
      <w:r w:rsidRPr="004E355C">
        <w:rPr>
          <w:rFonts w:asciiTheme="minorHAnsi" w:hAnsiTheme="minorHAnsi"/>
          <w:bCs/>
          <w:lang w:val="sq-AL"/>
        </w:rPr>
        <w:t xml:space="preserve"> – </w:t>
      </w:r>
      <w:r w:rsidRPr="004E355C">
        <w:rPr>
          <w:rFonts w:asciiTheme="minorHAnsi" w:hAnsiTheme="minorHAnsi" w:cstheme="minorHAnsi"/>
        </w:rPr>
        <w:t>Të ardhurat e mbledhura nga administrata doganore për 5 mujorin e vitit 20</w:t>
      </w:r>
      <w:r>
        <w:rPr>
          <w:rFonts w:asciiTheme="minorHAnsi" w:hAnsiTheme="minorHAnsi" w:cstheme="minorHAnsi"/>
        </w:rPr>
        <w:t>21</w:t>
      </w:r>
      <w:r w:rsidRPr="004E355C">
        <w:rPr>
          <w:rFonts w:asciiTheme="minorHAnsi" w:hAnsiTheme="minorHAnsi" w:cstheme="minorHAnsi"/>
        </w:rPr>
        <w:t xml:space="preserve"> janë realizuar në vlerën </w:t>
      </w:r>
      <w:r>
        <w:rPr>
          <w:rFonts w:asciiTheme="minorHAnsi" w:hAnsiTheme="minorHAnsi" w:cstheme="minorHAnsi"/>
        </w:rPr>
        <w:t>67.9</w:t>
      </w:r>
      <w:r w:rsidRPr="004E355C">
        <w:rPr>
          <w:rFonts w:asciiTheme="minorHAnsi" w:hAnsiTheme="minorHAnsi" w:cstheme="minorHAnsi"/>
        </w:rPr>
        <w:t xml:space="preserve"> miliardë lekë,</w:t>
      </w:r>
      <w:r w:rsidRPr="004E355C">
        <w:rPr>
          <w:rFonts w:asciiTheme="minorHAnsi" w:hAnsiTheme="minorHAnsi" w:cstheme="minorHAnsi"/>
          <w:lang w:val="it-IT"/>
        </w:rPr>
        <w:t xml:space="preserve"> </w:t>
      </w:r>
      <w:r>
        <w:rPr>
          <w:rFonts w:asciiTheme="minorHAnsi" w:hAnsiTheme="minorHAnsi" w:cstheme="minorHAnsi"/>
          <w:lang w:val="it-IT"/>
        </w:rPr>
        <w:t>23.6</w:t>
      </w:r>
      <w:r w:rsidRPr="004E355C">
        <w:rPr>
          <w:rFonts w:asciiTheme="minorHAnsi" w:hAnsiTheme="minorHAnsi" w:cstheme="minorHAnsi"/>
          <w:lang w:val="it-IT"/>
        </w:rPr>
        <w:t xml:space="preserve">% ose </w:t>
      </w:r>
      <w:r>
        <w:rPr>
          <w:rFonts w:asciiTheme="minorHAnsi" w:hAnsiTheme="minorHAnsi" w:cstheme="minorHAnsi"/>
          <w:lang w:val="it-IT"/>
        </w:rPr>
        <w:t>13</w:t>
      </w:r>
      <w:r w:rsidRPr="004E355C">
        <w:rPr>
          <w:rFonts w:asciiTheme="minorHAnsi" w:hAnsiTheme="minorHAnsi" w:cstheme="minorHAnsi"/>
          <w:lang w:val="it-IT"/>
        </w:rPr>
        <w:t xml:space="preserve"> mili</w:t>
      </w:r>
      <w:r>
        <w:rPr>
          <w:rFonts w:asciiTheme="minorHAnsi" w:hAnsiTheme="minorHAnsi" w:cstheme="minorHAnsi"/>
          <w:lang w:val="it-IT"/>
        </w:rPr>
        <w:t>ardë lekë më shumë</w:t>
      </w:r>
      <w:r w:rsidRPr="004E355C">
        <w:rPr>
          <w:rFonts w:asciiTheme="minorHAnsi" w:hAnsiTheme="minorHAnsi" w:cstheme="minorHAnsi"/>
          <w:lang w:val="it-IT"/>
        </w:rPr>
        <w:t xml:space="preserve"> se 5 mujori i vi</w:t>
      </w:r>
      <w:r>
        <w:rPr>
          <w:rFonts w:asciiTheme="minorHAnsi" w:hAnsiTheme="minorHAnsi" w:cstheme="minorHAnsi"/>
          <w:lang w:val="it-IT"/>
        </w:rPr>
        <w:t>tit 2020</w:t>
      </w:r>
      <w:r w:rsidRPr="004E355C">
        <w:rPr>
          <w:rFonts w:asciiTheme="minorHAnsi" w:hAnsiTheme="minorHAnsi" w:cstheme="minorHAnsi"/>
          <w:lang w:val="it-IT"/>
        </w:rPr>
        <w:t xml:space="preserve">, dhe </w:t>
      </w:r>
      <w:r>
        <w:rPr>
          <w:rFonts w:asciiTheme="minorHAnsi" w:hAnsiTheme="minorHAnsi" w:cstheme="minorHAnsi"/>
          <w:lang w:val="it-IT"/>
        </w:rPr>
        <w:t>2% ose 1.3</w:t>
      </w:r>
      <w:r w:rsidRPr="004E355C">
        <w:rPr>
          <w:rFonts w:asciiTheme="minorHAnsi" w:hAnsiTheme="minorHAnsi" w:cstheme="minorHAnsi"/>
          <w:lang w:val="it-IT"/>
        </w:rPr>
        <w:t xml:space="preserve"> mili</w:t>
      </w:r>
      <w:r>
        <w:rPr>
          <w:rFonts w:asciiTheme="minorHAnsi" w:hAnsiTheme="minorHAnsi" w:cstheme="minorHAnsi"/>
          <w:lang w:val="it-IT"/>
        </w:rPr>
        <w:t>ardë lekë më shumë</w:t>
      </w:r>
      <w:r w:rsidRPr="004E355C">
        <w:rPr>
          <w:rFonts w:asciiTheme="minorHAnsi" w:hAnsiTheme="minorHAnsi" w:cstheme="minorHAnsi"/>
          <w:lang w:val="it-IT"/>
        </w:rPr>
        <w:t xml:space="preserve"> se plani</w:t>
      </w:r>
      <w:r>
        <w:rPr>
          <w:rFonts w:asciiTheme="minorHAnsi" w:hAnsiTheme="minorHAnsi" w:cstheme="minorHAnsi"/>
          <w:lang w:val="it-IT"/>
        </w:rPr>
        <w:t xml:space="preserve"> i të ardhurave doganore për 5 mujorin e vitit 2021</w:t>
      </w:r>
      <w:r w:rsidRPr="004E355C">
        <w:rPr>
          <w:rFonts w:asciiTheme="minorHAnsi" w:hAnsiTheme="minorHAnsi" w:cstheme="minorHAnsi"/>
          <w:lang w:val="it-IT"/>
        </w:rPr>
        <w:t>.</w:t>
      </w:r>
      <w:r w:rsidRPr="004E355C">
        <w:rPr>
          <w:rFonts w:asciiTheme="minorHAnsi" w:eastAsiaTheme="minorEastAsia" w:hAnsiTheme="minorHAnsi" w:cstheme="minorHAnsi"/>
          <w:color w:val="000000" w:themeColor="text1"/>
          <w:kern w:val="24"/>
          <w:lang w:val="it-IT"/>
        </w:rPr>
        <w:t xml:space="preserve"> </w:t>
      </w:r>
    </w:p>
    <w:p w:rsidR="0034657E" w:rsidRPr="004E355C" w:rsidRDefault="0034657E" w:rsidP="0034657E">
      <w:pPr>
        <w:tabs>
          <w:tab w:val="left" w:pos="1260"/>
          <w:tab w:val="center" w:pos="4680"/>
          <w:tab w:val="left" w:pos="9360"/>
        </w:tabs>
        <w:spacing w:line="276" w:lineRule="auto"/>
        <w:jc w:val="both"/>
        <w:rPr>
          <w:rFonts w:asciiTheme="minorHAnsi" w:eastAsia="SimSun" w:hAnsiTheme="minorHAnsi"/>
          <w:i/>
          <w:sz w:val="8"/>
          <w:szCs w:val="8"/>
          <w:lang w:val="sq-AL"/>
        </w:rPr>
      </w:pPr>
    </w:p>
    <w:p w:rsidR="0034657E" w:rsidRPr="0034657E" w:rsidRDefault="0034657E" w:rsidP="0034657E">
      <w:pPr>
        <w:pStyle w:val="Caption"/>
        <w:keepNext/>
        <w:jc w:val="both"/>
        <w:rPr>
          <w:rFonts w:asciiTheme="minorHAnsi" w:hAnsiTheme="minorHAnsi"/>
          <w:b w:val="0"/>
          <w:bCs w:val="0"/>
          <w:i/>
          <w:color w:val="auto"/>
          <w:sz w:val="22"/>
          <w:szCs w:val="24"/>
          <w:lang w:val="sq-AL"/>
        </w:rPr>
      </w:pPr>
      <w:bookmarkStart w:id="13" w:name="_Toc12448429"/>
      <w:bookmarkStart w:id="14" w:name="_Toc76470120"/>
      <w:r w:rsidRPr="0034657E">
        <w:rPr>
          <w:rFonts w:asciiTheme="minorHAnsi" w:hAnsiTheme="minorHAnsi"/>
          <w:b w:val="0"/>
          <w:bCs w:val="0"/>
          <w:i/>
          <w:color w:val="auto"/>
          <w:sz w:val="22"/>
          <w:szCs w:val="24"/>
          <w:lang w:val="sq-AL"/>
        </w:rPr>
        <w:lastRenderedPageBreak/>
        <w:t xml:space="preserve">Grafiku </w:t>
      </w:r>
      <w:r w:rsidRPr="0034657E">
        <w:rPr>
          <w:rFonts w:asciiTheme="minorHAnsi" w:hAnsiTheme="minorHAnsi"/>
          <w:b w:val="0"/>
          <w:bCs w:val="0"/>
          <w:i/>
          <w:color w:val="auto"/>
          <w:sz w:val="22"/>
          <w:szCs w:val="24"/>
          <w:lang w:val="sq-AL"/>
        </w:rPr>
        <w:fldChar w:fldCharType="begin"/>
      </w:r>
      <w:r w:rsidRPr="0034657E">
        <w:rPr>
          <w:rFonts w:asciiTheme="minorHAnsi" w:hAnsiTheme="minorHAnsi"/>
          <w:b w:val="0"/>
          <w:bCs w:val="0"/>
          <w:i/>
          <w:color w:val="auto"/>
          <w:sz w:val="22"/>
          <w:szCs w:val="24"/>
          <w:lang w:val="sq-AL"/>
        </w:rPr>
        <w:instrText xml:space="preserve"> SEQ Grafiku \* ARABIC </w:instrText>
      </w:r>
      <w:r w:rsidRPr="0034657E">
        <w:rPr>
          <w:rFonts w:asciiTheme="minorHAnsi" w:hAnsiTheme="minorHAnsi"/>
          <w:b w:val="0"/>
          <w:bCs w:val="0"/>
          <w:i/>
          <w:color w:val="auto"/>
          <w:sz w:val="22"/>
          <w:szCs w:val="24"/>
          <w:lang w:val="sq-AL"/>
        </w:rPr>
        <w:fldChar w:fldCharType="separate"/>
      </w:r>
      <w:r w:rsidR="003C5F40">
        <w:rPr>
          <w:rFonts w:asciiTheme="minorHAnsi" w:hAnsiTheme="minorHAnsi"/>
          <w:b w:val="0"/>
          <w:bCs w:val="0"/>
          <w:i/>
          <w:noProof/>
          <w:color w:val="auto"/>
          <w:sz w:val="22"/>
          <w:szCs w:val="24"/>
          <w:lang w:val="sq-AL"/>
        </w:rPr>
        <w:t>1</w:t>
      </w:r>
      <w:r w:rsidRPr="0034657E">
        <w:rPr>
          <w:rFonts w:asciiTheme="minorHAnsi" w:hAnsiTheme="minorHAnsi"/>
          <w:b w:val="0"/>
          <w:bCs w:val="0"/>
          <w:i/>
          <w:color w:val="auto"/>
          <w:sz w:val="22"/>
          <w:szCs w:val="24"/>
          <w:lang w:val="sq-AL"/>
        </w:rPr>
        <w:fldChar w:fldCharType="end"/>
      </w:r>
      <w:r w:rsidRPr="0034657E">
        <w:rPr>
          <w:rFonts w:asciiTheme="minorHAnsi" w:hAnsiTheme="minorHAnsi"/>
          <w:b w:val="0"/>
          <w:bCs w:val="0"/>
          <w:i/>
          <w:color w:val="auto"/>
          <w:sz w:val="22"/>
          <w:szCs w:val="24"/>
          <w:lang w:val="sq-AL"/>
        </w:rPr>
        <w:t>: Të ardhurat Doganore për Janar- Maj 2021, mujore dhe progresive (në milion lekë)</w:t>
      </w:r>
      <w:bookmarkEnd w:id="13"/>
      <w:bookmarkEnd w:id="14"/>
      <w:r w:rsidRPr="0034657E">
        <w:rPr>
          <w:noProof/>
          <w:sz w:val="16"/>
        </w:rPr>
        <w:t xml:space="preserve">                    </w:t>
      </w:r>
    </w:p>
    <w:p w:rsidR="0034657E" w:rsidRPr="00CE45D4" w:rsidRDefault="0034657E" w:rsidP="0034657E">
      <w:pPr>
        <w:rPr>
          <w:lang w:val="sq-AL"/>
        </w:rPr>
      </w:pPr>
      <w:r>
        <w:rPr>
          <w:noProof/>
        </w:rPr>
        <w:drawing>
          <wp:anchor distT="0" distB="0" distL="114300" distR="114300" simplePos="0" relativeHeight="251650560" behindDoc="0" locked="0" layoutInCell="1" allowOverlap="1" wp14:anchorId="3323CBDC" wp14:editId="7F509567">
            <wp:simplePos x="0" y="0"/>
            <wp:positionH relativeFrom="column">
              <wp:posOffset>0</wp:posOffset>
            </wp:positionH>
            <wp:positionV relativeFrom="paragraph">
              <wp:posOffset>7952</wp:posOffset>
            </wp:positionV>
            <wp:extent cx="2943225" cy="1862138"/>
            <wp:effectExtent l="0" t="0" r="9525" b="5080"/>
            <wp:wrapSquare wrapText="bothSides"/>
            <wp:docPr id="34" name="Chart 3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928F6D70-CB68-443E-A8B3-56E10DE8FA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Pr>
          <w:noProof/>
        </w:rPr>
        <w:drawing>
          <wp:inline distT="0" distB="0" distL="0" distR="0" wp14:anchorId="5180927E" wp14:editId="4C80D233">
            <wp:extent cx="2867025" cy="1869440"/>
            <wp:effectExtent l="0" t="0" r="9525" b="16510"/>
            <wp:docPr id="38" name="Chart 3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49E24131-DFDF-4DFD-B3C1-AEAFC9FB5F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Pr>
          <w:lang w:val="sq-AL"/>
        </w:rPr>
        <w:br w:type="textWrapping" w:clear="all"/>
      </w:r>
      <w:r w:rsidRPr="004E355C">
        <w:rPr>
          <w:rFonts w:asciiTheme="minorHAnsi" w:eastAsia="SimSun" w:hAnsiTheme="minorHAnsi"/>
          <w:lang w:val="sq-AL"/>
        </w:rPr>
        <w:t xml:space="preserve"> </w:t>
      </w:r>
      <w:r w:rsidRPr="004E355C">
        <w:rPr>
          <w:rFonts w:asciiTheme="minorHAnsi" w:hAnsiTheme="minorHAnsi"/>
          <w:i/>
          <w:noProof/>
          <w:sz w:val="20"/>
          <w:szCs w:val="20"/>
          <w:lang w:val="sq-AL"/>
        </w:rPr>
        <w:t xml:space="preserve">    Burimi: Ministria</w:t>
      </w:r>
      <w:r>
        <w:rPr>
          <w:rFonts w:asciiTheme="minorHAnsi" w:hAnsiTheme="minorHAnsi"/>
          <w:i/>
          <w:noProof/>
          <w:sz w:val="20"/>
          <w:szCs w:val="20"/>
          <w:lang w:val="sq-AL"/>
        </w:rPr>
        <w:t xml:space="preserve"> e Financave dhe Ekonomisë (2021</w:t>
      </w:r>
      <w:r w:rsidRPr="004E355C">
        <w:rPr>
          <w:rFonts w:asciiTheme="minorHAnsi" w:hAnsiTheme="minorHAnsi"/>
          <w:i/>
          <w:noProof/>
          <w:sz w:val="20"/>
          <w:szCs w:val="20"/>
          <w:lang w:val="sq-AL"/>
        </w:rPr>
        <w:t>)</w:t>
      </w:r>
    </w:p>
    <w:p w:rsidR="0034657E" w:rsidRDefault="0034657E" w:rsidP="0034657E">
      <w:pPr>
        <w:tabs>
          <w:tab w:val="left" w:pos="2511"/>
          <w:tab w:val="center" w:pos="4680"/>
        </w:tabs>
        <w:spacing w:before="240" w:line="276" w:lineRule="auto"/>
        <w:jc w:val="both"/>
        <w:rPr>
          <w:rFonts w:asciiTheme="minorHAnsi" w:hAnsiTheme="minorHAnsi" w:cstheme="minorHAnsi"/>
          <w:lang w:val="sq-AL"/>
        </w:rPr>
      </w:pPr>
      <w:r w:rsidRPr="00872F14">
        <w:rPr>
          <w:rFonts w:asciiTheme="minorHAnsi" w:hAnsiTheme="minorHAnsi" w:cstheme="minorHAnsi"/>
          <w:lang w:val="sq-AL"/>
        </w:rPr>
        <w:t xml:space="preserve">Kontribuesit kryesor me efekt pozitiv në të ardhurat doganore janë </w:t>
      </w:r>
      <w:r>
        <w:rPr>
          <w:rFonts w:asciiTheme="minorHAnsi" w:hAnsiTheme="minorHAnsi" w:cstheme="minorHAnsi"/>
          <w:lang w:val="sq-AL"/>
        </w:rPr>
        <w:t>karburant importi me 23.7% të të ardhurave, cigaret me 12,5% të të ardhurave, metalet bazë 6.1%, automjetet e përdorura 4.4% të të ardhurave etj.</w:t>
      </w:r>
    </w:p>
    <w:p w:rsidR="0034657E" w:rsidRPr="00B11317" w:rsidRDefault="0034657E" w:rsidP="0034657E">
      <w:pPr>
        <w:tabs>
          <w:tab w:val="left" w:pos="2511"/>
          <w:tab w:val="center" w:pos="4680"/>
        </w:tabs>
        <w:spacing w:before="240" w:line="276" w:lineRule="auto"/>
        <w:jc w:val="both"/>
        <w:rPr>
          <w:rFonts w:asciiTheme="minorHAnsi" w:hAnsiTheme="minorHAnsi"/>
          <w:sz w:val="2"/>
          <w:lang w:val="sq-AL"/>
        </w:rPr>
      </w:pPr>
    </w:p>
    <w:p w:rsidR="0034657E" w:rsidRPr="00900B3D" w:rsidRDefault="0034657E" w:rsidP="0034657E">
      <w:pPr>
        <w:pStyle w:val="Caption"/>
        <w:keepNext/>
        <w:jc w:val="both"/>
        <w:rPr>
          <w:rFonts w:asciiTheme="minorHAnsi" w:hAnsiTheme="minorHAnsi"/>
          <w:b w:val="0"/>
          <w:bCs w:val="0"/>
          <w:i/>
          <w:color w:val="auto"/>
          <w:sz w:val="22"/>
          <w:szCs w:val="24"/>
          <w:lang w:val="sq-AL"/>
        </w:rPr>
      </w:pPr>
      <w:bookmarkStart w:id="15" w:name="_Toc12448430"/>
      <w:bookmarkStart w:id="16" w:name="_Toc76470121"/>
      <w:r w:rsidRPr="00900B3D">
        <w:rPr>
          <w:rFonts w:asciiTheme="minorHAnsi" w:hAnsiTheme="minorHAnsi"/>
          <w:b w:val="0"/>
          <w:bCs w:val="0"/>
          <w:i/>
          <w:color w:val="auto"/>
          <w:sz w:val="22"/>
          <w:szCs w:val="24"/>
          <w:lang w:val="sq-AL"/>
        </w:rPr>
        <w:t xml:space="preserve">Grafiku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Grafiku \* ARABIC </w:instrText>
      </w:r>
      <w:r w:rsidRPr="00900B3D">
        <w:rPr>
          <w:rFonts w:asciiTheme="minorHAnsi" w:hAnsiTheme="minorHAnsi"/>
          <w:b w:val="0"/>
          <w:bCs w:val="0"/>
          <w:i/>
          <w:color w:val="auto"/>
          <w:sz w:val="22"/>
          <w:szCs w:val="24"/>
          <w:lang w:val="sq-AL"/>
        </w:rPr>
        <w:fldChar w:fldCharType="separate"/>
      </w:r>
      <w:r w:rsidR="003C5F40">
        <w:rPr>
          <w:rFonts w:asciiTheme="minorHAnsi" w:hAnsiTheme="minorHAnsi"/>
          <w:b w:val="0"/>
          <w:bCs w:val="0"/>
          <w:i/>
          <w:noProof/>
          <w:color w:val="auto"/>
          <w:sz w:val="22"/>
          <w:szCs w:val="24"/>
          <w:lang w:val="sq-AL"/>
        </w:rPr>
        <w:t>2</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kryesor në të ardhurat doganore Janar- Maj 2021/2020 (në milion lekë)</w:t>
      </w:r>
      <w:bookmarkEnd w:id="15"/>
      <w:bookmarkEnd w:id="16"/>
    </w:p>
    <w:p w:rsidR="0034657E" w:rsidRPr="004E355C" w:rsidRDefault="0034657E" w:rsidP="0034657E">
      <w:pPr>
        <w:tabs>
          <w:tab w:val="left" w:pos="1260"/>
          <w:tab w:val="center" w:pos="4680"/>
          <w:tab w:val="left" w:pos="9360"/>
        </w:tabs>
        <w:spacing w:line="276" w:lineRule="auto"/>
        <w:jc w:val="center"/>
        <w:rPr>
          <w:rFonts w:asciiTheme="minorHAnsi" w:eastAsia="SimSun" w:hAnsiTheme="minorHAnsi"/>
          <w:lang w:val="sq-AL"/>
        </w:rPr>
      </w:pPr>
      <w:r w:rsidRPr="004E355C">
        <w:rPr>
          <w:rFonts w:asciiTheme="minorHAnsi" w:eastAsia="SimSun" w:hAnsiTheme="minorHAnsi" w:cstheme="minorHAnsi"/>
          <w:noProof/>
        </w:rPr>
        <w:drawing>
          <wp:inline distT="0" distB="0" distL="0" distR="0" wp14:anchorId="050CD3FC" wp14:editId="582D1BC6">
            <wp:extent cx="6000750" cy="2042160"/>
            <wp:effectExtent l="0" t="0" r="0" b="15240"/>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4657E" w:rsidRPr="004E355C" w:rsidRDefault="0034657E" w:rsidP="0034657E">
      <w:pPr>
        <w:tabs>
          <w:tab w:val="left" w:pos="2511"/>
          <w:tab w:val="center" w:pos="4680"/>
          <w:tab w:val="left" w:pos="9360"/>
        </w:tabs>
        <w:spacing w:line="276" w:lineRule="auto"/>
        <w:jc w:val="both"/>
        <w:rPr>
          <w:rStyle w:val="Strong"/>
          <w:rFonts w:asciiTheme="minorHAnsi" w:hAnsiTheme="minorHAnsi"/>
          <w:b w:val="0"/>
          <w:bCs w:val="0"/>
          <w:i/>
          <w:noProof/>
          <w:sz w:val="20"/>
          <w:szCs w:val="20"/>
          <w:lang w:val="sq-AL"/>
        </w:rPr>
      </w:pPr>
      <w:r w:rsidRPr="004E355C">
        <w:rPr>
          <w:rFonts w:asciiTheme="minorHAnsi" w:hAnsiTheme="minorHAnsi"/>
          <w:i/>
          <w:noProof/>
          <w:sz w:val="20"/>
          <w:szCs w:val="20"/>
          <w:lang w:val="sq-AL"/>
        </w:rPr>
        <w:t xml:space="preserve">    Burimi: Ministria</w:t>
      </w:r>
      <w:r>
        <w:rPr>
          <w:rFonts w:asciiTheme="minorHAnsi" w:hAnsiTheme="minorHAnsi"/>
          <w:i/>
          <w:noProof/>
          <w:sz w:val="20"/>
          <w:szCs w:val="20"/>
          <w:lang w:val="sq-AL"/>
        </w:rPr>
        <w:t xml:space="preserve"> e Financave dhe Ekonomisë (2021</w:t>
      </w:r>
      <w:r w:rsidRPr="004E355C">
        <w:rPr>
          <w:rFonts w:asciiTheme="minorHAnsi" w:hAnsiTheme="minorHAnsi"/>
          <w:i/>
          <w:noProof/>
          <w:sz w:val="20"/>
          <w:szCs w:val="20"/>
          <w:lang w:val="sq-AL"/>
        </w:rPr>
        <w:t>)</w:t>
      </w:r>
    </w:p>
    <w:p w:rsidR="0034657E" w:rsidRPr="00841EDA" w:rsidRDefault="0034657E" w:rsidP="0034657E">
      <w:pPr>
        <w:pStyle w:val="NormalWeb"/>
        <w:spacing w:before="240" w:beforeAutospacing="0" w:after="0" w:afterAutospacing="0" w:line="276" w:lineRule="auto"/>
        <w:jc w:val="both"/>
        <w:rPr>
          <w:rFonts w:asciiTheme="minorHAnsi" w:hAnsiTheme="minorHAnsi" w:cstheme="minorHAnsi"/>
          <w:color w:val="000000" w:themeColor="text1"/>
          <w:lang w:val="it-IT"/>
        </w:rPr>
      </w:pPr>
      <w:r w:rsidRPr="00841EDA">
        <w:rPr>
          <w:rStyle w:val="Strong"/>
          <w:rFonts w:asciiTheme="minorHAnsi" w:eastAsia="Calibri" w:hAnsiTheme="minorHAnsi" w:cstheme="minorHAnsi"/>
          <w:b w:val="0"/>
          <w:i/>
          <w:color w:val="000000" w:themeColor="text1"/>
          <w:lang w:val="it-IT"/>
        </w:rPr>
        <w:t>Të ardhurat nga taksa doganore</w:t>
      </w:r>
      <w:r w:rsidRPr="00841EDA">
        <w:rPr>
          <w:rFonts w:asciiTheme="minorHAnsi" w:hAnsiTheme="minorHAnsi" w:cstheme="minorHAnsi"/>
          <w:color w:val="000000" w:themeColor="text1"/>
          <w:lang w:val="it-IT"/>
        </w:rPr>
        <w:t xml:space="preserve"> janë realizuar në vlerën 2.7 miliardë lekë, 19% ose 428 milionë lekë më shume se 5 mujori i vitit 2020, dhe 1.6% ose 42 milionë lekë më shum</w:t>
      </w:r>
      <w:r>
        <w:rPr>
          <w:rFonts w:asciiTheme="minorHAnsi" w:hAnsiTheme="minorHAnsi" w:cstheme="minorHAnsi"/>
          <w:color w:val="000000" w:themeColor="text1"/>
          <w:lang w:val="it-IT"/>
        </w:rPr>
        <w:t>ë</w:t>
      </w:r>
      <w:r w:rsidRPr="00841EDA">
        <w:rPr>
          <w:rFonts w:asciiTheme="minorHAnsi" w:hAnsiTheme="minorHAnsi" w:cstheme="minorHAnsi"/>
          <w:color w:val="000000" w:themeColor="text1"/>
          <w:lang w:val="it-IT"/>
        </w:rPr>
        <w:t xml:space="preserve"> se plani i 5 mujorit 2021.</w:t>
      </w:r>
    </w:p>
    <w:p w:rsidR="0034657E" w:rsidRPr="00872F14" w:rsidRDefault="0034657E" w:rsidP="0034657E">
      <w:pPr>
        <w:pStyle w:val="NormalWeb"/>
        <w:spacing w:before="240" w:beforeAutospacing="0" w:after="0" w:afterAutospacing="0" w:line="276" w:lineRule="auto"/>
        <w:jc w:val="both"/>
        <w:rPr>
          <w:rFonts w:asciiTheme="minorHAnsi" w:hAnsiTheme="minorHAnsi"/>
          <w:lang w:val="sq-AL"/>
        </w:rPr>
      </w:pPr>
      <w:r w:rsidRPr="004E355C">
        <w:rPr>
          <w:rFonts w:asciiTheme="minorHAnsi" w:hAnsiTheme="minorHAnsi" w:cstheme="minorHAnsi"/>
          <w:i/>
        </w:rPr>
        <w:t>Të ardhurat nga akciza</w:t>
      </w:r>
      <w:r w:rsidRPr="004E355C">
        <w:rPr>
          <w:rFonts w:asciiTheme="minorHAnsi" w:hAnsiTheme="minorHAnsi" w:cstheme="minorHAnsi"/>
        </w:rPr>
        <w:t xml:space="preserve"> janë realizuar në vlerën </w:t>
      </w:r>
      <w:r>
        <w:rPr>
          <w:rFonts w:asciiTheme="minorHAnsi" w:hAnsiTheme="minorHAnsi" w:cstheme="minorHAnsi"/>
        </w:rPr>
        <w:t>18.4</w:t>
      </w:r>
      <w:r w:rsidRPr="004E355C">
        <w:rPr>
          <w:rFonts w:asciiTheme="minorHAnsi" w:hAnsiTheme="minorHAnsi" w:cstheme="minorHAnsi"/>
        </w:rPr>
        <w:t xml:space="preserve"> miliardë lekë, </w:t>
      </w:r>
      <w:r>
        <w:rPr>
          <w:rFonts w:asciiTheme="minorHAnsi" w:hAnsiTheme="minorHAnsi" w:cstheme="minorHAnsi"/>
        </w:rPr>
        <w:t>16.3</w:t>
      </w:r>
      <w:r w:rsidRPr="004E355C">
        <w:rPr>
          <w:rFonts w:asciiTheme="minorHAnsi" w:hAnsiTheme="minorHAnsi" w:cstheme="minorHAnsi"/>
        </w:rPr>
        <w:t xml:space="preserve">% ose </w:t>
      </w:r>
      <w:r>
        <w:rPr>
          <w:rFonts w:asciiTheme="minorHAnsi" w:hAnsiTheme="minorHAnsi" w:cstheme="minorHAnsi"/>
        </w:rPr>
        <w:t>2.6 miliardë lekë më shumë se 5 mujori i vitit 2020</w:t>
      </w:r>
      <w:r w:rsidRPr="004E355C">
        <w:rPr>
          <w:rFonts w:asciiTheme="minorHAnsi" w:hAnsiTheme="minorHAnsi" w:cstheme="minorHAnsi"/>
        </w:rPr>
        <w:t xml:space="preserve">, dhe </w:t>
      </w:r>
      <w:r>
        <w:rPr>
          <w:rFonts w:asciiTheme="minorHAnsi" w:hAnsiTheme="minorHAnsi" w:cstheme="minorHAnsi"/>
        </w:rPr>
        <w:t>3.5</w:t>
      </w:r>
      <w:r w:rsidRPr="004E355C">
        <w:rPr>
          <w:rFonts w:asciiTheme="minorHAnsi" w:hAnsiTheme="minorHAnsi" w:cstheme="minorHAnsi"/>
        </w:rPr>
        <w:t>% ose</w:t>
      </w:r>
      <w:r>
        <w:rPr>
          <w:rFonts w:asciiTheme="minorHAnsi" w:hAnsiTheme="minorHAnsi" w:cstheme="minorHAnsi"/>
        </w:rPr>
        <w:t xml:space="preserve"> 0.6 miliardë lekë më shume</w:t>
      </w:r>
      <w:r w:rsidRPr="004E355C">
        <w:rPr>
          <w:rFonts w:asciiTheme="minorHAnsi" w:hAnsiTheme="minorHAnsi" w:cstheme="minorHAnsi"/>
        </w:rPr>
        <w:t xml:space="preserve"> se plani. </w:t>
      </w:r>
      <w:r w:rsidRPr="00872F14">
        <w:rPr>
          <w:rFonts w:asciiTheme="minorHAnsi" w:hAnsiTheme="minorHAnsi" w:cstheme="minorHAnsi"/>
        </w:rPr>
        <w:t xml:space="preserve">Ndikim kryesor ka pasur </w:t>
      </w:r>
      <w:r>
        <w:rPr>
          <w:rFonts w:asciiTheme="minorHAnsi" w:hAnsiTheme="minorHAnsi" w:cstheme="minorHAnsi"/>
          <w:lang w:val="it-IT"/>
        </w:rPr>
        <w:t>karburant importi</w:t>
      </w:r>
      <w:r w:rsidRPr="00872F14">
        <w:rPr>
          <w:rFonts w:asciiTheme="minorHAnsi" w:hAnsiTheme="minorHAnsi" w:cstheme="minorHAnsi"/>
          <w:lang w:val="it-IT"/>
        </w:rPr>
        <w:t xml:space="preserve"> që rezultoi me një rritje prej </w:t>
      </w:r>
      <w:r>
        <w:rPr>
          <w:rFonts w:asciiTheme="minorHAnsi" w:hAnsiTheme="minorHAnsi" w:cstheme="minorHAnsi"/>
          <w:lang w:val="it-IT"/>
        </w:rPr>
        <w:t xml:space="preserve">38.4 mijë </w:t>
      </w:r>
      <w:r w:rsidRPr="00872F14">
        <w:rPr>
          <w:rFonts w:asciiTheme="minorHAnsi" w:hAnsiTheme="minorHAnsi" w:cstheme="minorHAnsi"/>
          <w:lang w:val="it-IT"/>
        </w:rPr>
        <w:t>ton ose +</w:t>
      </w:r>
      <w:r>
        <w:rPr>
          <w:rFonts w:asciiTheme="minorHAnsi" w:hAnsiTheme="minorHAnsi" w:cstheme="minorHAnsi"/>
          <w:lang w:val="it-IT"/>
        </w:rPr>
        <w:t>20.1</w:t>
      </w:r>
      <w:r w:rsidRPr="00872F14">
        <w:rPr>
          <w:rFonts w:asciiTheme="minorHAnsi" w:hAnsiTheme="minorHAnsi" w:cstheme="minorHAnsi"/>
          <w:lang w:val="it-IT"/>
        </w:rPr>
        <w:t xml:space="preserve">% </w:t>
      </w:r>
      <w:r>
        <w:rPr>
          <w:rFonts w:asciiTheme="minorHAnsi" w:hAnsiTheme="minorHAnsi" w:cstheme="minorHAnsi"/>
          <w:lang w:val="it-IT"/>
        </w:rPr>
        <w:t>me një efekt +1.6 miliardë lekë më shumë se viti i kaluar.</w:t>
      </w:r>
      <w:r w:rsidRPr="00872F14">
        <w:rPr>
          <w:rFonts w:asciiTheme="minorHAnsi" w:hAnsiTheme="minorHAnsi" w:cstheme="minorHAnsi"/>
          <w:lang w:val="it-IT"/>
        </w:rPr>
        <w:t xml:space="preserve"> </w:t>
      </w:r>
      <w:r>
        <w:rPr>
          <w:rFonts w:asciiTheme="minorHAnsi" w:hAnsiTheme="minorHAnsi" w:cstheme="minorHAnsi"/>
          <w:lang w:val="it-IT"/>
        </w:rPr>
        <w:t>Ndër produktet e akcizueshme që kishin ndikim negativ, ishte produkti gaz i lengshëm me një rënie prej 10,4 mijë ton (-19.4%) krahasuar me një vitë më parë duke sjell nje efekt negativ në akcizë me -36milionë lekë.</w:t>
      </w:r>
    </w:p>
    <w:p w:rsidR="0034657E" w:rsidRPr="002D7CB1" w:rsidRDefault="0034657E" w:rsidP="009E6F00">
      <w:pPr>
        <w:tabs>
          <w:tab w:val="left" w:pos="2511"/>
          <w:tab w:val="center" w:pos="4680"/>
        </w:tabs>
        <w:spacing w:before="240" w:line="276" w:lineRule="auto"/>
        <w:jc w:val="both"/>
        <w:rPr>
          <w:rFonts w:asciiTheme="minorHAnsi" w:hAnsiTheme="minorHAnsi"/>
          <w:lang w:val="sq-AL"/>
        </w:rPr>
      </w:pPr>
      <w:r w:rsidRPr="00536465">
        <w:rPr>
          <w:rFonts w:asciiTheme="minorHAnsi" w:hAnsiTheme="minorHAnsi" w:cstheme="minorHAnsi"/>
        </w:rPr>
        <w:t>Grup-produktet me kontribut pozitiv në të ardhura rezultuan: karburant importi,</w:t>
      </w:r>
      <w:r>
        <w:rPr>
          <w:rFonts w:asciiTheme="minorHAnsi" w:hAnsiTheme="minorHAnsi" w:cstheme="minorHAnsi"/>
        </w:rPr>
        <w:t xml:space="preserve"> </w:t>
      </w:r>
      <w:r w:rsidRPr="00536465">
        <w:rPr>
          <w:rFonts w:asciiTheme="minorHAnsi" w:hAnsiTheme="minorHAnsi" w:cstheme="minorHAnsi"/>
        </w:rPr>
        <w:t>cigare,</w:t>
      </w:r>
      <w:r>
        <w:rPr>
          <w:rFonts w:asciiTheme="minorHAnsi" w:hAnsiTheme="minorHAnsi" w:cstheme="minorHAnsi"/>
        </w:rPr>
        <w:t xml:space="preserve"> </w:t>
      </w:r>
      <w:r w:rsidRPr="00536465">
        <w:rPr>
          <w:rFonts w:asciiTheme="minorHAnsi" w:hAnsiTheme="minorHAnsi" w:cstheme="minorHAnsi"/>
        </w:rPr>
        <w:t>birr</w:t>
      </w:r>
      <w:r>
        <w:rPr>
          <w:rFonts w:asciiTheme="minorHAnsi" w:hAnsiTheme="minorHAnsi" w:cstheme="minorHAnsi"/>
        </w:rPr>
        <w:t>ë</w:t>
      </w:r>
      <w:r w:rsidRPr="00536465">
        <w:rPr>
          <w:rFonts w:asciiTheme="minorHAnsi" w:hAnsiTheme="minorHAnsi" w:cstheme="minorHAnsi"/>
        </w:rPr>
        <w:t xml:space="preserve"> importi,</w:t>
      </w:r>
      <w:r>
        <w:rPr>
          <w:rFonts w:asciiTheme="minorHAnsi" w:hAnsiTheme="minorHAnsi" w:cstheme="minorHAnsi"/>
        </w:rPr>
        <w:t xml:space="preserve"> </w:t>
      </w:r>
      <w:r w:rsidRPr="00536465">
        <w:rPr>
          <w:rFonts w:asciiTheme="minorHAnsi" w:hAnsiTheme="minorHAnsi" w:cstheme="minorHAnsi"/>
        </w:rPr>
        <w:t>vaj lubrifikues,</w:t>
      </w:r>
      <w:r>
        <w:rPr>
          <w:rFonts w:asciiTheme="minorHAnsi" w:hAnsiTheme="minorHAnsi" w:cstheme="minorHAnsi"/>
        </w:rPr>
        <w:t xml:space="preserve"> </w:t>
      </w:r>
      <w:r w:rsidRPr="00536465">
        <w:rPr>
          <w:rFonts w:asciiTheme="minorHAnsi" w:hAnsiTheme="minorHAnsi" w:cstheme="minorHAnsi"/>
        </w:rPr>
        <w:t>karburant prodhim vendi.</w:t>
      </w:r>
      <w:r>
        <w:rPr>
          <w:rFonts w:asciiTheme="minorHAnsi" w:hAnsiTheme="minorHAnsi" w:cstheme="minorHAnsi"/>
        </w:rPr>
        <w:t xml:space="preserve"> </w:t>
      </w:r>
      <w:r w:rsidRPr="00536465">
        <w:rPr>
          <w:rFonts w:asciiTheme="minorHAnsi" w:hAnsiTheme="minorHAnsi" w:cstheme="minorHAnsi"/>
        </w:rPr>
        <w:t>Ndërsa produktet me efekt negativ në të ardhura rezultuan:</w:t>
      </w:r>
      <w:r>
        <w:rPr>
          <w:rFonts w:asciiTheme="minorHAnsi" w:hAnsiTheme="minorHAnsi" w:cstheme="minorHAnsi"/>
        </w:rPr>
        <w:t xml:space="preserve"> </w:t>
      </w:r>
      <w:r w:rsidRPr="00536465">
        <w:rPr>
          <w:rFonts w:asciiTheme="minorHAnsi" w:hAnsiTheme="minorHAnsi" w:cstheme="minorHAnsi"/>
        </w:rPr>
        <w:t xml:space="preserve">gaz </w:t>
      </w:r>
      <w:r>
        <w:rPr>
          <w:rFonts w:asciiTheme="minorHAnsi" w:hAnsiTheme="minorHAnsi" w:cstheme="minorHAnsi"/>
        </w:rPr>
        <w:t>i</w:t>
      </w:r>
      <w:r w:rsidRPr="00536465">
        <w:rPr>
          <w:rFonts w:asciiTheme="minorHAnsi" w:hAnsiTheme="minorHAnsi" w:cstheme="minorHAnsi"/>
        </w:rPr>
        <w:t xml:space="preserve"> l</w:t>
      </w:r>
      <w:r>
        <w:rPr>
          <w:rFonts w:asciiTheme="minorHAnsi" w:hAnsiTheme="minorHAnsi" w:cstheme="minorHAnsi"/>
        </w:rPr>
        <w:t>ë</w:t>
      </w:r>
      <w:r w:rsidRPr="00536465">
        <w:rPr>
          <w:rFonts w:asciiTheme="minorHAnsi" w:hAnsiTheme="minorHAnsi" w:cstheme="minorHAnsi"/>
        </w:rPr>
        <w:t>ngshem,</w:t>
      </w:r>
      <w:r>
        <w:rPr>
          <w:rFonts w:asciiTheme="minorHAnsi" w:hAnsiTheme="minorHAnsi" w:cstheme="minorHAnsi"/>
        </w:rPr>
        <w:t xml:space="preserve"> </w:t>
      </w:r>
      <w:r w:rsidRPr="00536465">
        <w:rPr>
          <w:rFonts w:asciiTheme="minorHAnsi" w:hAnsiTheme="minorHAnsi" w:cstheme="minorHAnsi"/>
        </w:rPr>
        <w:t>birr</w:t>
      </w:r>
      <w:r>
        <w:rPr>
          <w:rFonts w:asciiTheme="minorHAnsi" w:hAnsiTheme="minorHAnsi" w:cstheme="minorHAnsi"/>
        </w:rPr>
        <w:t>ë</w:t>
      </w:r>
      <w:r w:rsidRPr="00536465">
        <w:rPr>
          <w:rFonts w:asciiTheme="minorHAnsi" w:hAnsiTheme="minorHAnsi" w:cstheme="minorHAnsi"/>
        </w:rPr>
        <w:t xml:space="preserve"> prodhim vendi,</w:t>
      </w:r>
      <w:r>
        <w:rPr>
          <w:rFonts w:asciiTheme="minorHAnsi" w:hAnsiTheme="minorHAnsi" w:cstheme="minorHAnsi"/>
        </w:rPr>
        <w:t xml:space="preserve"> </w:t>
      </w:r>
      <w:r w:rsidRPr="00536465">
        <w:rPr>
          <w:rFonts w:asciiTheme="minorHAnsi" w:hAnsiTheme="minorHAnsi" w:cstheme="minorHAnsi"/>
        </w:rPr>
        <w:t>energji elektrike, mielli dhe gruri.</w:t>
      </w:r>
    </w:p>
    <w:p w:rsidR="0034657E" w:rsidRDefault="0034657E" w:rsidP="0034657E">
      <w:pPr>
        <w:pStyle w:val="Caption"/>
        <w:keepNext/>
        <w:spacing w:after="0"/>
        <w:jc w:val="both"/>
        <w:rPr>
          <w:rFonts w:asciiTheme="minorHAnsi" w:hAnsiTheme="minorHAnsi"/>
          <w:b w:val="0"/>
          <w:bCs w:val="0"/>
          <w:i/>
          <w:color w:val="FF0000"/>
          <w:sz w:val="8"/>
          <w:szCs w:val="8"/>
          <w:lang w:val="sq-AL"/>
        </w:rPr>
      </w:pPr>
    </w:p>
    <w:p w:rsidR="0034657E" w:rsidRDefault="0034657E" w:rsidP="0034657E">
      <w:pPr>
        <w:rPr>
          <w:lang w:val="sq-AL"/>
        </w:rPr>
      </w:pPr>
    </w:p>
    <w:p w:rsidR="00900B3D" w:rsidRDefault="00900B3D" w:rsidP="0034657E">
      <w:pPr>
        <w:rPr>
          <w:lang w:val="sq-AL"/>
        </w:rPr>
      </w:pPr>
    </w:p>
    <w:p w:rsidR="0034657E" w:rsidRPr="00B11317" w:rsidRDefault="0034657E" w:rsidP="0034657E">
      <w:pPr>
        <w:rPr>
          <w:lang w:val="sq-AL"/>
        </w:rPr>
      </w:pPr>
    </w:p>
    <w:p w:rsidR="0034657E" w:rsidRPr="00900B3D" w:rsidRDefault="0034657E" w:rsidP="0034657E">
      <w:pPr>
        <w:pStyle w:val="Caption"/>
        <w:keepNext/>
        <w:spacing w:after="0"/>
        <w:jc w:val="both"/>
        <w:rPr>
          <w:rFonts w:asciiTheme="minorHAnsi" w:hAnsiTheme="minorHAnsi"/>
          <w:b w:val="0"/>
          <w:bCs w:val="0"/>
          <w:i/>
          <w:color w:val="auto"/>
          <w:sz w:val="22"/>
          <w:szCs w:val="24"/>
          <w:lang w:val="sq-AL"/>
        </w:rPr>
      </w:pPr>
      <w:bookmarkStart w:id="17" w:name="_Toc12449189"/>
      <w:r w:rsidRPr="00900B3D">
        <w:rPr>
          <w:rFonts w:asciiTheme="minorHAnsi" w:hAnsiTheme="minorHAnsi"/>
          <w:b w:val="0"/>
          <w:bCs w:val="0"/>
          <w:i/>
          <w:color w:val="auto"/>
          <w:sz w:val="22"/>
          <w:szCs w:val="24"/>
          <w:lang w:val="sq-AL"/>
        </w:rPr>
        <w:lastRenderedPageBreak/>
        <w:t xml:space="preserve">Tabela   </w:t>
      </w:r>
      <w:r w:rsidR="00900B3D" w:rsidRPr="00900B3D">
        <w:rPr>
          <w:rFonts w:asciiTheme="minorHAnsi" w:hAnsiTheme="minorHAnsi"/>
          <w:b w:val="0"/>
          <w:bCs w:val="0"/>
          <w:i/>
          <w:color w:val="auto"/>
          <w:sz w:val="22"/>
          <w:szCs w:val="24"/>
          <w:lang w:val="sq-AL"/>
        </w:rPr>
        <w:t>x</w:t>
      </w:r>
      <w:r w:rsidRPr="00900B3D">
        <w:rPr>
          <w:rFonts w:asciiTheme="minorHAnsi" w:hAnsiTheme="minorHAnsi"/>
          <w:b w:val="0"/>
          <w:bCs w:val="0"/>
          <w:i/>
          <w:color w:val="auto"/>
          <w:sz w:val="22"/>
          <w:szCs w:val="24"/>
          <w:lang w:val="sq-AL"/>
        </w:rPr>
        <w:t>: Kontribuesit pozitivë në të ardhurat nga Akciza/Diferencat Janar-Maj 2021/20</w:t>
      </w:r>
      <w:bookmarkEnd w:id="17"/>
      <w:r w:rsidRPr="00900B3D">
        <w:rPr>
          <w:rFonts w:asciiTheme="minorHAnsi" w:hAnsiTheme="minorHAnsi"/>
          <w:b w:val="0"/>
          <w:bCs w:val="0"/>
          <w:i/>
          <w:color w:val="auto"/>
          <w:sz w:val="22"/>
          <w:szCs w:val="24"/>
          <w:lang w:val="sq-AL"/>
        </w:rPr>
        <w:t>20</w:t>
      </w:r>
    </w:p>
    <w:tbl>
      <w:tblPr>
        <w:tblW w:w="9701" w:type="dxa"/>
        <w:jc w:val="center"/>
        <w:tblLook w:val="0600" w:firstRow="0" w:lastRow="0" w:firstColumn="0" w:lastColumn="0" w:noHBand="1" w:noVBand="1"/>
      </w:tblPr>
      <w:tblGrid>
        <w:gridCol w:w="3878"/>
        <w:gridCol w:w="1096"/>
        <w:gridCol w:w="1077"/>
        <w:gridCol w:w="1234"/>
        <w:gridCol w:w="1332"/>
        <w:gridCol w:w="1084"/>
      </w:tblGrid>
      <w:tr w:rsidR="0034657E" w:rsidTr="00900B3D">
        <w:trPr>
          <w:trHeight w:val="277"/>
          <w:jc w:val="center"/>
        </w:trPr>
        <w:tc>
          <w:tcPr>
            <w:tcW w:w="9701" w:type="dxa"/>
            <w:gridSpan w:val="6"/>
            <w:tcBorders>
              <w:top w:val="single" w:sz="4" w:space="0" w:color="5B9BD5"/>
              <w:left w:val="single" w:sz="4" w:space="0" w:color="5B9BD5"/>
              <w:bottom w:val="nil"/>
              <w:right w:val="single" w:sz="4" w:space="0" w:color="5B9BD5"/>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Diferencat Janar-Maj 2021/2020</w:t>
            </w:r>
          </w:p>
        </w:tc>
      </w:tr>
      <w:tr w:rsidR="0034657E" w:rsidTr="00900B3D">
        <w:trPr>
          <w:trHeight w:val="277"/>
          <w:jc w:val="center"/>
        </w:trPr>
        <w:tc>
          <w:tcPr>
            <w:tcW w:w="9701" w:type="dxa"/>
            <w:gridSpan w:val="6"/>
            <w:tcBorders>
              <w:top w:val="nil"/>
              <w:left w:val="single" w:sz="4" w:space="0" w:color="5B9BD5"/>
              <w:bottom w:val="nil"/>
              <w:right w:val="single" w:sz="4" w:space="0" w:color="5B9BD5"/>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 xml:space="preserve">                                                            Produktet me kontribut Pozitiv</w:t>
            </w:r>
            <w:r>
              <w:rPr>
                <w:rFonts w:ascii="Calibri" w:hAnsi="Calibri" w:cs="Calibri"/>
                <w:b/>
                <w:bCs/>
                <w:color w:val="00B050"/>
                <w:sz w:val="20"/>
                <w:szCs w:val="20"/>
              </w:rPr>
              <w:t xml:space="preserve">   </w:t>
            </w:r>
            <w:r>
              <w:rPr>
                <w:rFonts w:ascii="Calibri" w:hAnsi="Calibri" w:cs="Calibri"/>
                <w:b/>
                <w:bCs/>
                <w:color w:val="0070C0"/>
                <w:sz w:val="20"/>
                <w:szCs w:val="20"/>
              </w:rPr>
              <w:t xml:space="preserve">                                     </w:t>
            </w:r>
            <w:r>
              <w:rPr>
                <w:rFonts w:ascii="Calibri" w:hAnsi="Calibri" w:cs="Calibri"/>
                <w:b/>
                <w:bCs/>
                <w:color w:val="000000"/>
                <w:sz w:val="20"/>
                <w:szCs w:val="20"/>
              </w:rPr>
              <w:t>milionë lekë</w:t>
            </w:r>
          </w:p>
        </w:tc>
      </w:tr>
      <w:tr w:rsidR="0034657E" w:rsidTr="00900B3D">
        <w:trPr>
          <w:trHeight w:val="277"/>
          <w:jc w:val="center"/>
        </w:trPr>
        <w:tc>
          <w:tcPr>
            <w:tcW w:w="3878" w:type="dxa"/>
            <w:tcBorders>
              <w:top w:val="nil"/>
              <w:left w:val="single" w:sz="4" w:space="0" w:color="5B9BD5"/>
              <w:bottom w:val="single" w:sz="4" w:space="0" w:color="5B9BD5"/>
              <w:right w:val="nil"/>
            </w:tcBorders>
            <w:shd w:val="clear" w:color="000000" w:fill="BDD7EE"/>
            <w:vAlign w:val="bottom"/>
            <w:hideMark/>
          </w:tcPr>
          <w:p w:rsidR="0034657E" w:rsidRDefault="0034657E" w:rsidP="00900B3D">
            <w:pPr>
              <w:rPr>
                <w:rFonts w:ascii="Calibri" w:hAnsi="Calibri" w:cs="Calibri"/>
                <w:b/>
                <w:bCs/>
                <w:color w:val="000000"/>
                <w:sz w:val="20"/>
                <w:szCs w:val="20"/>
              </w:rPr>
            </w:pPr>
            <w:r>
              <w:rPr>
                <w:rFonts w:ascii="Calibri" w:hAnsi="Calibri" w:cs="Calibri"/>
                <w:b/>
                <w:bCs/>
                <w:color w:val="000000"/>
                <w:sz w:val="20"/>
                <w:szCs w:val="20"/>
              </w:rPr>
              <w:t> </w:t>
            </w:r>
          </w:p>
        </w:tc>
        <w:tc>
          <w:tcPr>
            <w:tcW w:w="1096" w:type="dxa"/>
            <w:tcBorders>
              <w:top w:val="nil"/>
              <w:left w:val="nil"/>
              <w:bottom w:val="single" w:sz="4" w:space="0" w:color="5B9BD5"/>
              <w:right w:val="nil"/>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Njësia</w:t>
            </w:r>
          </w:p>
        </w:tc>
        <w:tc>
          <w:tcPr>
            <w:tcW w:w="1077" w:type="dxa"/>
            <w:tcBorders>
              <w:top w:val="nil"/>
              <w:left w:val="nil"/>
              <w:bottom w:val="single" w:sz="4" w:space="0" w:color="5B9BD5"/>
              <w:right w:val="nil"/>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 xml:space="preserve">Sasi </w:t>
            </w:r>
          </w:p>
        </w:tc>
        <w:tc>
          <w:tcPr>
            <w:tcW w:w="1234" w:type="dxa"/>
            <w:tcBorders>
              <w:top w:val="nil"/>
              <w:left w:val="nil"/>
              <w:bottom w:val="single" w:sz="4" w:space="0" w:color="5B9BD5"/>
              <w:right w:val="nil"/>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w:t>
            </w:r>
          </w:p>
        </w:tc>
        <w:tc>
          <w:tcPr>
            <w:tcW w:w="1332" w:type="dxa"/>
            <w:tcBorders>
              <w:top w:val="nil"/>
              <w:left w:val="nil"/>
              <w:bottom w:val="single" w:sz="4" w:space="0" w:color="5B9BD5"/>
              <w:right w:val="nil"/>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Akciza</w:t>
            </w:r>
          </w:p>
        </w:tc>
        <w:tc>
          <w:tcPr>
            <w:tcW w:w="1082" w:type="dxa"/>
            <w:tcBorders>
              <w:top w:val="nil"/>
              <w:left w:val="nil"/>
              <w:bottom w:val="single" w:sz="4" w:space="0" w:color="5B9BD5"/>
              <w:right w:val="single" w:sz="4" w:space="0" w:color="5B9BD5"/>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w:t>
            </w:r>
          </w:p>
        </w:tc>
      </w:tr>
      <w:tr w:rsidR="0034657E" w:rsidTr="00900B3D">
        <w:trPr>
          <w:trHeight w:val="245"/>
          <w:jc w:val="center"/>
        </w:trPr>
        <w:tc>
          <w:tcPr>
            <w:tcW w:w="3878" w:type="dxa"/>
            <w:tcBorders>
              <w:top w:val="nil"/>
              <w:left w:val="single" w:sz="4" w:space="0" w:color="5B9BD5"/>
              <w:bottom w:val="nil"/>
              <w:right w:val="nil"/>
            </w:tcBorders>
            <w:shd w:val="clear" w:color="auto" w:fill="auto"/>
            <w:vAlign w:val="bottom"/>
            <w:hideMark/>
          </w:tcPr>
          <w:p w:rsidR="0034657E" w:rsidRDefault="0034657E" w:rsidP="00900B3D">
            <w:pPr>
              <w:rPr>
                <w:rFonts w:ascii="Calibri" w:hAnsi="Calibri" w:cs="Calibri"/>
                <w:color w:val="000000"/>
                <w:sz w:val="20"/>
                <w:szCs w:val="20"/>
              </w:rPr>
            </w:pPr>
            <w:r>
              <w:rPr>
                <w:rFonts w:ascii="Calibri" w:hAnsi="Calibri" w:cs="Calibri"/>
                <w:color w:val="000000"/>
                <w:sz w:val="20"/>
                <w:szCs w:val="20"/>
              </w:rPr>
              <w:t>Karburant import</w:t>
            </w:r>
          </w:p>
        </w:tc>
        <w:tc>
          <w:tcPr>
            <w:tcW w:w="1096" w:type="dxa"/>
            <w:tcBorders>
              <w:top w:val="nil"/>
              <w:left w:val="single" w:sz="4" w:space="0" w:color="5B9BD5"/>
              <w:bottom w:val="nil"/>
              <w:right w:val="single" w:sz="4" w:space="0" w:color="5B9BD5"/>
            </w:tcBorders>
            <w:shd w:val="clear" w:color="auto" w:fill="auto"/>
            <w:vAlign w:val="bottom"/>
            <w:hideMark/>
          </w:tcPr>
          <w:p w:rsidR="0034657E" w:rsidRDefault="0034657E" w:rsidP="00900B3D">
            <w:pPr>
              <w:jc w:val="center"/>
              <w:rPr>
                <w:rFonts w:ascii="Calibri" w:hAnsi="Calibri" w:cs="Calibri"/>
                <w:i/>
                <w:iCs/>
                <w:color w:val="000000"/>
                <w:sz w:val="20"/>
                <w:szCs w:val="20"/>
              </w:rPr>
            </w:pPr>
            <w:r>
              <w:rPr>
                <w:rFonts w:ascii="Calibri" w:hAnsi="Calibri" w:cs="Calibri"/>
                <w:i/>
                <w:iCs/>
                <w:color w:val="000000"/>
                <w:sz w:val="20"/>
                <w:szCs w:val="20"/>
              </w:rPr>
              <w:t xml:space="preserve">Ton </w:t>
            </w:r>
          </w:p>
        </w:tc>
        <w:tc>
          <w:tcPr>
            <w:tcW w:w="1077" w:type="dxa"/>
            <w:tcBorders>
              <w:top w:val="nil"/>
              <w:left w:val="nil"/>
              <w:bottom w:val="nil"/>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38,389</w:t>
            </w:r>
          </w:p>
        </w:tc>
        <w:tc>
          <w:tcPr>
            <w:tcW w:w="1234" w:type="dxa"/>
            <w:tcBorders>
              <w:top w:val="nil"/>
              <w:left w:val="nil"/>
              <w:bottom w:val="nil"/>
              <w:right w:val="nil"/>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20.1%</w:t>
            </w:r>
          </w:p>
        </w:tc>
        <w:tc>
          <w:tcPr>
            <w:tcW w:w="1332" w:type="dxa"/>
            <w:tcBorders>
              <w:top w:val="nil"/>
              <w:left w:val="single" w:sz="4" w:space="0" w:color="5B9BD5"/>
              <w:bottom w:val="nil"/>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1,639</w:t>
            </w:r>
          </w:p>
        </w:tc>
        <w:tc>
          <w:tcPr>
            <w:tcW w:w="1082" w:type="dxa"/>
            <w:tcBorders>
              <w:top w:val="nil"/>
              <w:left w:val="nil"/>
              <w:bottom w:val="nil"/>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20.0%</w:t>
            </w:r>
          </w:p>
        </w:tc>
      </w:tr>
      <w:tr w:rsidR="0034657E" w:rsidTr="00900B3D">
        <w:trPr>
          <w:trHeight w:val="245"/>
          <w:jc w:val="center"/>
        </w:trPr>
        <w:tc>
          <w:tcPr>
            <w:tcW w:w="3878" w:type="dxa"/>
            <w:tcBorders>
              <w:top w:val="single" w:sz="4" w:space="0" w:color="5B9BD5"/>
              <w:left w:val="single" w:sz="4" w:space="0" w:color="5B9BD5"/>
              <w:bottom w:val="single" w:sz="4" w:space="0" w:color="5B9BD5"/>
              <w:right w:val="nil"/>
            </w:tcBorders>
            <w:shd w:val="clear" w:color="auto" w:fill="auto"/>
            <w:vAlign w:val="bottom"/>
            <w:hideMark/>
          </w:tcPr>
          <w:p w:rsidR="0034657E" w:rsidRDefault="0034657E" w:rsidP="00900B3D">
            <w:pPr>
              <w:rPr>
                <w:rFonts w:ascii="Calibri" w:hAnsi="Calibri" w:cs="Calibri"/>
                <w:color w:val="000000"/>
                <w:sz w:val="20"/>
                <w:szCs w:val="20"/>
              </w:rPr>
            </w:pPr>
            <w:r>
              <w:rPr>
                <w:rFonts w:ascii="Calibri" w:hAnsi="Calibri" w:cs="Calibri"/>
                <w:color w:val="000000"/>
                <w:sz w:val="20"/>
                <w:szCs w:val="20"/>
              </w:rPr>
              <w:t xml:space="preserve">Cigare </w:t>
            </w:r>
          </w:p>
        </w:tc>
        <w:tc>
          <w:tcPr>
            <w:tcW w:w="1096"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center"/>
              <w:rPr>
                <w:rFonts w:ascii="Calibri" w:hAnsi="Calibri" w:cs="Calibri"/>
                <w:i/>
                <w:iCs/>
                <w:color w:val="000000"/>
                <w:sz w:val="20"/>
                <w:szCs w:val="20"/>
              </w:rPr>
            </w:pPr>
            <w:r>
              <w:rPr>
                <w:rFonts w:ascii="Calibri" w:hAnsi="Calibri" w:cs="Calibri"/>
                <w:i/>
                <w:iCs/>
                <w:color w:val="000000"/>
                <w:sz w:val="20"/>
                <w:szCs w:val="20"/>
              </w:rPr>
              <w:t xml:space="preserve">Ton </w:t>
            </w:r>
          </w:p>
        </w:tc>
        <w:tc>
          <w:tcPr>
            <w:tcW w:w="1077" w:type="dxa"/>
            <w:tcBorders>
              <w:top w:val="single" w:sz="4" w:space="0" w:color="5B9BD5"/>
              <w:left w:val="nil"/>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-23</w:t>
            </w:r>
          </w:p>
        </w:tc>
        <w:tc>
          <w:tcPr>
            <w:tcW w:w="1234" w:type="dxa"/>
            <w:tcBorders>
              <w:top w:val="single" w:sz="4" w:space="0" w:color="5B9BD5"/>
              <w:left w:val="nil"/>
              <w:bottom w:val="single" w:sz="4" w:space="0" w:color="5B9BD5"/>
              <w:right w:val="nil"/>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-2.3%</w:t>
            </w:r>
          </w:p>
        </w:tc>
        <w:tc>
          <w:tcPr>
            <w:tcW w:w="1332"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584</w:t>
            </w:r>
          </w:p>
        </w:tc>
        <w:tc>
          <w:tcPr>
            <w:tcW w:w="1082" w:type="dxa"/>
            <w:tcBorders>
              <w:top w:val="single" w:sz="4" w:space="0" w:color="5B9BD5"/>
              <w:left w:val="nil"/>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10.1%</w:t>
            </w:r>
          </w:p>
        </w:tc>
      </w:tr>
      <w:tr w:rsidR="0034657E" w:rsidTr="00900B3D">
        <w:trPr>
          <w:trHeight w:val="245"/>
          <w:jc w:val="center"/>
        </w:trPr>
        <w:tc>
          <w:tcPr>
            <w:tcW w:w="3878" w:type="dxa"/>
            <w:tcBorders>
              <w:top w:val="nil"/>
              <w:left w:val="single" w:sz="4" w:space="0" w:color="5B9BD5"/>
              <w:bottom w:val="nil"/>
              <w:right w:val="nil"/>
            </w:tcBorders>
            <w:shd w:val="clear" w:color="auto" w:fill="auto"/>
            <w:vAlign w:val="bottom"/>
            <w:hideMark/>
          </w:tcPr>
          <w:p w:rsidR="0034657E" w:rsidRDefault="0034657E" w:rsidP="00900B3D">
            <w:pPr>
              <w:rPr>
                <w:rFonts w:ascii="Calibri" w:hAnsi="Calibri" w:cs="Calibri"/>
                <w:color w:val="000000"/>
                <w:sz w:val="20"/>
                <w:szCs w:val="20"/>
              </w:rPr>
            </w:pPr>
            <w:r>
              <w:rPr>
                <w:rFonts w:ascii="Calibri" w:hAnsi="Calibri" w:cs="Calibri"/>
                <w:color w:val="000000"/>
                <w:sz w:val="20"/>
                <w:szCs w:val="20"/>
              </w:rPr>
              <w:t xml:space="preserve">Birrë Importi </w:t>
            </w:r>
          </w:p>
        </w:tc>
        <w:tc>
          <w:tcPr>
            <w:tcW w:w="1096" w:type="dxa"/>
            <w:tcBorders>
              <w:top w:val="nil"/>
              <w:left w:val="single" w:sz="4" w:space="0" w:color="5B9BD5"/>
              <w:bottom w:val="nil"/>
              <w:right w:val="single" w:sz="4" w:space="0" w:color="5B9BD5"/>
            </w:tcBorders>
            <w:shd w:val="clear" w:color="auto" w:fill="auto"/>
            <w:vAlign w:val="bottom"/>
            <w:hideMark/>
          </w:tcPr>
          <w:p w:rsidR="0034657E" w:rsidRDefault="0034657E" w:rsidP="00900B3D">
            <w:pPr>
              <w:jc w:val="center"/>
              <w:rPr>
                <w:rFonts w:ascii="Calibri" w:hAnsi="Calibri" w:cs="Calibri"/>
                <w:i/>
                <w:iCs/>
                <w:color w:val="000000"/>
                <w:sz w:val="20"/>
                <w:szCs w:val="20"/>
              </w:rPr>
            </w:pPr>
            <w:r>
              <w:rPr>
                <w:rFonts w:ascii="Calibri" w:hAnsi="Calibri" w:cs="Calibri"/>
                <w:i/>
                <w:iCs/>
                <w:color w:val="000000"/>
                <w:sz w:val="20"/>
                <w:szCs w:val="20"/>
              </w:rPr>
              <w:t>Mije lit</w:t>
            </w:r>
          </w:p>
        </w:tc>
        <w:tc>
          <w:tcPr>
            <w:tcW w:w="1077" w:type="dxa"/>
            <w:tcBorders>
              <w:top w:val="nil"/>
              <w:left w:val="nil"/>
              <w:bottom w:val="nil"/>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3,987</w:t>
            </w:r>
          </w:p>
        </w:tc>
        <w:tc>
          <w:tcPr>
            <w:tcW w:w="1234" w:type="dxa"/>
            <w:tcBorders>
              <w:top w:val="nil"/>
              <w:left w:val="nil"/>
              <w:bottom w:val="nil"/>
              <w:right w:val="nil"/>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41.6%</w:t>
            </w:r>
          </w:p>
        </w:tc>
        <w:tc>
          <w:tcPr>
            <w:tcW w:w="1332" w:type="dxa"/>
            <w:tcBorders>
              <w:top w:val="nil"/>
              <w:left w:val="single" w:sz="4" w:space="0" w:color="5B9BD5"/>
              <w:bottom w:val="nil"/>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125</w:t>
            </w:r>
          </w:p>
        </w:tc>
        <w:tc>
          <w:tcPr>
            <w:tcW w:w="1082" w:type="dxa"/>
            <w:tcBorders>
              <w:top w:val="nil"/>
              <w:left w:val="nil"/>
              <w:bottom w:val="nil"/>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39.7%</w:t>
            </w:r>
          </w:p>
        </w:tc>
      </w:tr>
      <w:tr w:rsidR="0034657E" w:rsidTr="00900B3D">
        <w:trPr>
          <w:trHeight w:val="245"/>
          <w:jc w:val="center"/>
        </w:trPr>
        <w:tc>
          <w:tcPr>
            <w:tcW w:w="3878" w:type="dxa"/>
            <w:tcBorders>
              <w:top w:val="single" w:sz="4" w:space="0" w:color="5B9BD5"/>
              <w:left w:val="single" w:sz="4" w:space="0" w:color="5B9BD5"/>
              <w:bottom w:val="single" w:sz="4" w:space="0" w:color="5B9BD5"/>
              <w:right w:val="nil"/>
            </w:tcBorders>
            <w:shd w:val="clear" w:color="auto" w:fill="auto"/>
            <w:vAlign w:val="bottom"/>
            <w:hideMark/>
          </w:tcPr>
          <w:p w:rsidR="0034657E" w:rsidRDefault="0034657E" w:rsidP="00900B3D">
            <w:pPr>
              <w:rPr>
                <w:rFonts w:ascii="Calibri" w:hAnsi="Calibri" w:cs="Calibri"/>
                <w:color w:val="000000"/>
                <w:sz w:val="20"/>
                <w:szCs w:val="20"/>
              </w:rPr>
            </w:pPr>
            <w:r>
              <w:rPr>
                <w:rFonts w:ascii="Calibri" w:hAnsi="Calibri" w:cs="Calibri"/>
                <w:color w:val="000000"/>
                <w:sz w:val="20"/>
                <w:szCs w:val="20"/>
              </w:rPr>
              <w:t>Vaj Lubrifikant</w:t>
            </w:r>
          </w:p>
        </w:tc>
        <w:tc>
          <w:tcPr>
            <w:tcW w:w="1096"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center"/>
              <w:rPr>
                <w:rFonts w:ascii="Calibri" w:hAnsi="Calibri" w:cs="Calibri"/>
                <w:i/>
                <w:iCs/>
                <w:color w:val="000000"/>
                <w:sz w:val="20"/>
                <w:szCs w:val="20"/>
              </w:rPr>
            </w:pPr>
            <w:r>
              <w:rPr>
                <w:rFonts w:ascii="Calibri" w:hAnsi="Calibri" w:cs="Calibri"/>
                <w:i/>
                <w:iCs/>
                <w:color w:val="000000"/>
                <w:sz w:val="20"/>
                <w:szCs w:val="20"/>
              </w:rPr>
              <w:t xml:space="preserve">Ton </w:t>
            </w:r>
          </w:p>
        </w:tc>
        <w:tc>
          <w:tcPr>
            <w:tcW w:w="1077" w:type="dxa"/>
            <w:tcBorders>
              <w:top w:val="single" w:sz="4" w:space="0" w:color="5B9BD5"/>
              <w:left w:val="nil"/>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1,021</w:t>
            </w:r>
          </w:p>
        </w:tc>
        <w:tc>
          <w:tcPr>
            <w:tcW w:w="1234" w:type="dxa"/>
            <w:tcBorders>
              <w:top w:val="single" w:sz="4" w:space="0" w:color="5B9BD5"/>
              <w:left w:val="nil"/>
              <w:bottom w:val="single" w:sz="4" w:space="0" w:color="5B9BD5"/>
              <w:right w:val="nil"/>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41.6%</w:t>
            </w:r>
          </w:p>
        </w:tc>
        <w:tc>
          <w:tcPr>
            <w:tcW w:w="1332"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39</w:t>
            </w:r>
          </w:p>
        </w:tc>
        <w:tc>
          <w:tcPr>
            <w:tcW w:w="1082" w:type="dxa"/>
            <w:tcBorders>
              <w:top w:val="single" w:sz="4" w:space="0" w:color="5B9BD5"/>
              <w:left w:val="nil"/>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52.9%</w:t>
            </w:r>
          </w:p>
        </w:tc>
      </w:tr>
      <w:tr w:rsidR="0034657E" w:rsidTr="00900B3D">
        <w:trPr>
          <w:trHeight w:val="245"/>
          <w:jc w:val="center"/>
        </w:trPr>
        <w:tc>
          <w:tcPr>
            <w:tcW w:w="3878" w:type="dxa"/>
            <w:tcBorders>
              <w:top w:val="nil"/>
              <w:left w:val="single" w:sz="4" w:space="0" w:color="5B9BD5"/>
              <w:bottom w:val="single" w:sz="4" w:space="0" w:color="5B9BD5"/>
              <w:right w:val="nil"/>
            </w:tcBorders>
            <w:shd w:val="clear" w:color="auto" w:fill="auto"/>
            <w:vAlign w:val="bottom"/>
            <w:hideMark/>
          </w:tcPr>
          <w:p w:rsidR="0034657E" w:rsidRDefault="0034657E" w:rsidP="00900B3D">
            <w:pPr>
              <w:rPr>
                <w:rFonts w:ascii="Calibri" w:hAnsi="Calibri" w:cs="Calibri"/>
                <w:b/>
                <w:bCs/>
                <w:color w:val="000000"/>
                <w:sz w:val="20"/>
                <w:szCs w:val="20"/>
              </w:rPr>
            </w:pPr>
            <w:r>
              <w:rPr>
                <w:rFonts w:ascii="Calibri" w:hAnsi="Calibri" w:cs="Calibri"/>
                <w:b/>
                <w:bCs/>
                <w:color w:val="000000"/>
                <w:sz w:val="20"/>
                <w:szCs w:val="20"/>
              </w:rPr>
              <w:t>Efekti</w:t>
            </w:r>
          </w:p>
        </w:tc>
        <w:tc>
          <w:tcPr>
            <w:tcW w:w="1096" w:type="dxa"/>
            <w:tcBorders>
              <w:top w:val="nil"/>
              <w:left w:val="nil"/>
              <w:bottom w:val="single" w:sz="4" w:space="0" w:color="5B9BD5"/>
              <w:right w:val="nil"/>
            </w:tcBorders>
            <w:shd w:val="clear" w:color="auto" w:fill="auto"/>
            <w:vAlign w:val="bottom"/>
            <w:hideMark/>
          </w:tcPr>
          <w:p w:rsidR="0034657E" w:rsidRDefault="0034657E" w:rsidP="00900B3D">
            <w:pPr>
              <w:rPr>
                <w:rFonts w:ascii="Calibri" w:hAnsi="Calibri" w:cs="Calibri"/>
                <w:b/>
                <w:bCs/>
                <w:i/>
                <w:iCs/>
                <w:color w:val="000000"/>
                <w:sz w:val="20"/>
                <w:szCs w:val="20"/>
              </w:rPr>
            </w:pPr>
            <w:r>
              <w:rPr>
                <w:rFonts w:ascii="Calibri" w:hAnsi="Calibri" w:cs="Calibri"/>
                <w:b/>
                <w:bCs/>
                <w:i/>
                <w:iCs/>
                <w:color w:val="000000"/>
                <w:sz w:val="20"/>
                <w:szCs w:val="20"/>
              </w:rPr>
              <w:t> </w:t>
            </w:r>
          </w:p>
        </w:tc>
        <w:tc>
          <w:tcPr>
            <w:tcW w:w="1077" w:type="dxa"/>
            <w:tcBorders>
              <w:top w:val="nil"/>
              <w:left w:val="nil"/>
              <w:bottom w:val="single" w:sz="4" w:space="0" w:color="5B9BD5"/>
              <w:right w:val="nil"/>
            </w:tcBorders>
            <w:shd w:val="clear" w:color="auto" w:fill="auto"/>
            <w:vAlign w:val="bottom"/>
            <w:hideMark/>
          </w:tcPr>
          <w:p w:rsidR="0034657E" w:rsidRDefault="0034657E" w:rsidP="00900B3D">
            <w:pPr>
              <w:jc w:val="center"/>
              <w:rPr>
                <w:rFonts w:ascii="Calibri" w:hAnsi="Calibri" w:cs="Calibri"/>
                <w:color w:val="000000"/>
                <w:sz w:val="20"/>
                <w:szCs w:val="20"/>
              </w:rPr>
            </w:pPr>
            <w:r>
              <w:rPr>
                <w:rFonts w:ascii="Calibri" w:hAnsi="Calibri" w:cs="Calibri"/>
                <w:color w:val="000000"/>
                <w:sz w:val="20"/>
                <w:szCs w:val="20"/>
              </w:rPr>
              <w:t> </w:t>
            </w:r>
          </w:p>
        </w:tc>
        <w:tc>
          <w:tcPr>
            <w:tcW w:w="1234" w:type="dxa"/>
            <w:tcBorders>
              <w:top w:val="nil"/>
              <w:left w:val="nil"/>
              <w:bottom w:val="single" w:sz="4" w:space="0" w:color="5B9BD5"/>
              <w:right w:val="nil"/>
            </w:tcBorders>
            <w:shd w:val="clear" w:color="auto" w:fill="auto"/>
            <w:vAlign w:val="bottom"/>
            <w:hideMark/>
          </w:tcPr>
          <w:p w:rsidR="0034657E" w:rsidRDefault="0034657E" w:rsidP="00900B3D">
            <w:pPr>
              <w:jc w:val="center"/>
              <w:rPr>
                <w:rFonts w:ascii="Calibri" w:hAnsi="Calibri" w:cs="Calibri"/>
                <w:color w:val="000000"/>
                <w:sz w:val="20"/>
                <w:szCs w:val="20"/>
              </w:rPr>
            </w:pPr>
            <w:r>
              <w:rPr>
                <w:rFonts w:ascii="Calibri" w:hAnsi="Calibri" w:cs="Calibri"/>
                <w:color w:val="000000"/>
                <w:sz w:val="20"/>
                <w:szCs w:val="20"/>
              </w:rPr>
              <w:t> </w:t>
            </w:r>
          </w:p>
        </w:tc>
        <w:tc>
          <w:tcPr>
            <w:tcW w:w="1332" w:type="dxa"/>
            <w:tcBorders>
              <w:top w:val="nil"/>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b/>
                <w:bCs/>
                <w:color w:val="000000"/>
                <w:sz w:val="20"/>
                <w:szCs w:val="20"/>
              </w:rPr>
            </w:pPr>
            <w:r>
              <w:rPr>
                <w:rFonts w:ascii="Calibri" w:hAnsi="Calibri" w:cs="Calibri"/>
                <w:b/>
                <w:bCs/>
                <w:color w:val="000000"/>
                <w:sz w:val="20"/>
                <w:szCs w:val="20"/>
              </w:rPr>
              <w:t>2387</w:t>
            </w:r>
          </w:p>
        </w:tc>
        <w:tc>
          <w:tcPr>
            <w:tcW w:w="1082" w:type="dxa"/>
            <w:tcBorders>
              <w:top w:val="nil"/>
              <w:left w:val="nil"/>
              <w:bottom w:val="single" w:sz="4" w:space="0" w:color="5B9BD5"/>
              <w:right w:val="single" w:sz="4" w:space="0" w:color="5B9BD5"/>
            </w:tcBorders>
            <w:shd w:val="clear" w:color="auto" w:fill="auto"/>
            <w:vAlign w:val="bottom"/>
            <w:hideMark/>
          </w:tcPr>
          <w:p w:rsidR="0034657E" w:rsidRDefault="0034657E" w:rsidP="00900B3D">
            <w:pPr>
              <w:jc w:val="center"/>
              <w:rPr>
                <w:rFonts w:ascii="Calibri" w:hAnsi="Calibri" w:cs="Calibri"/>
                <w:color w:val="000000"/>
                <w:sz w:val="20"/>
                <w:szCs w:val="20"/>
              </w:rPr>
            </w:pPr>
            <w:r>
              <w:rPr>
                <w:rFonts w:ascii="Calibri" w:hAnsi="Calibri" w:cs="Calibri"/>
                <w:color w:val="000000"/>
                <w:sz w:val="20"/>
                <w:szCs w:val="20"/>
              </w:rPr>
              <w:t> </w:t>
            </w:r>
          </w:p>
        </w:tc>
      </w:tr>
    </w:tbl>
    <w:p w:rsidR="0034657E" w:rsidRDefault="0034657E" w:rsidP="0034657E">
      <w:pPr>
        <w:spacing w:line="276" w:lineRule="auto"/>
        <w:jc w:val="both"/>
        <w:rPr>
          <w:rFonts w:asciiTheme="minorHAnsi" w:hAnsiTheme="minorHAnsi"/>
          <w:sz w:val="20"/>
          <w:szCs w:val="20"/>
          <w:lang w:val="sq-AL"/>
        </w:rPr>
      </w:pPr>
      <w:r w:rsidRPr="004E355C">
        <w:rPr>
          <w:rFonts w:asciiTheme="minorHAnsi" w:hAnsiTheme="minorHAnsi"/>
          <w:sz w:val="20"/>
          <w:szCs w:val="20"/>
          <w:lang w:val="sq-AL"/>
        </w:rPr>
        <w:t>Burimi: Ministria</w:t>
      </w:r>
      <w:r>
        <w:rPr>
          <w:rFonts w:asciiTheme="minorHAnsi" w:hAnsiTheme="minorHAnsi"/>
          <w:sz w:val="20"/>
          <w:szCs w:val="20"/>
          <w:lang w:val="sq-AL"/>
        </w:rPr>
        <w:t xml:space="preserve"> e Financave dhe Ekonomisë (2021</w:t>
      </w:r>
      <w:r w:rsidRPr="004E355C">
        <w:rPr>
          <w:rFonts w:asciiTheme="minorHAnsi" w:hAnsiTheme="minorHAnsi"/>
          <w:sz w:val="20"/>
          <w:szCs w:val="20"/>
          <w:lang w:val="sq-AL"/>
        </w:rPr>
        <w:t>)</w:t>
      </w:r>
    </w:p>
    <w:p w:rsidR="0034657E" w:rsidRPr="004E355C" w:rsidRDefault="0034657E" w:rsidP="0034657E">
      <w:pPr>
        <w:spacing w:line="276" w:lineRule="auto"/>
        <w:jc w:val="both"/>
        <w:rPr>
          <w:rFonts w:asciiTheme="minorHAnsi" w:hAnsiTheme="minorHAnsi"/>
          <w:sz w:val="20"/>
          <w:szCs w:val="20"/>
          <w:lang w:val="sq-AL"/>
        </w:rPr>
      </w:pPr>
    </w:p>
    <w:p w:rsidR="0034657E" w:rsidRPr="004E355C" w:rsidRDefault="0034657E" w:rsidP="0034657E">
      <w:pPr>
        <w:pStyle w:val="Caption"/>
        <w:keepNext/>
        <w:spacing w:after="0"/>
        <w:jc w:val="both"/>
        <w:rPr>
          <w:rFonts w:asciiTheme="minorHAnsi" w:hAnsiTheme="minorHAnsi"/>
          <w:b w:val="0"/>
          <w:bCs w:val="0"/>
          <w:i/>
          <w:color w:val="auto"/>
          <w:sz w:val="8"/>
          <w:szCs w:val="8"/>
          <w:lang w:val="sq-AL"/>
        </w:rPr>
      </w:pPr>
    </w:p>
    <w:p w:rsidR="0034657E" w:rsidRPr="00900B3D" w:rsidRDefault="0034657E" w:rsidP="0034657E">
      <w:pPr>
        <w:pStyle w:val="Caption"/>
        <w:keepNext/>
        <w:spacing w:after="0"/>
        <w:jc w:val="both"/>
        <w:rPr>
          <w:rFonts w:asciiTheme="minorHAnsi" w:hAnsiTheme="minorHAnsi"/>
          <w:b w:val="0"/>
          <w:bCs w:val="0"/>
          <w:i/>
          <w:color w:val="auto"/>
          <w:sz w:val="22"/>
          <w:szCs w:val="24"/>
          <w:lang w:val="sq-AL"/>
        </w:rPr>
      </w:pPr>
      <w:bookmarkStart w:id="18" w:name="_Toc12449190"/>
      <w:r w:rsidRPr="00900B3D">
        <w:rPr>
          <w:rFonts w:asciiTheme="minorHAnsi" w:hAnsiTheme="minorHAnsi"/>
          <w:b w:val="0"/>
          <w:bCs w:val="0"/>
          <w:i/>
          <w:color w:val="auto"/>
          <w:sz w:val="22"/>
          <w:szCs w:val="24"/>
          <w:lang w:val="sq-AL"/>
        </w:rPr>
        <w:t xml:space="preserve">Tabela  </w:t>
      </w:r>
      <w:r w:rsidR="00900B3D" w:rsidRPr="00900B3D">
        <w:rPr>
          <w:rFonts w:asciiTheme="minorHAnsi" w:hAnsiTheme="minorHAnsi"/>
          <w:b w:val="0"/>
          <w:bCs w:val="0"/>
          <w:i/>
          <w:color w:val="auto"/>
          <w:sz w:val="22"/>
          <w:szCs w:val="24"/>
          <w:lang w:val="sq-AL"/>
        </w:rPr>
        <w:t>x</w:t>
      </w:r>
      <w:r w:rsidRPr="00900B3D">
        <w:rPr>
          <w:rFonts w:asciiTheme="minorHAnsi" w:hAnsiTheme="minorHAnsi"/>
          <w:b w:val="0"/>
          <w:bCs w:val="0"/>
          <w:i/>
          <w:color w:val="auto"/>
          <w:sz w:val="22"/>
          <w:szCs w:val="24"/>
          <w:lang w:val="sq-AL"/>
        </w:rPr>
        <w:t xml:space="preserve">  : Kontribuesit negativë në të ardhurat nga Akciza/ Diferencat Janar-Maj 2021/20</w:t>
      </w:r>
      <w:bookmarkEnd w:id="18"/>
      <w:r w:rsidRPr="00900B3D">
        <w:rPr>
          <w:rFonts w:asciiTheme="minorHAnsi" w:hAnsiTheme="minorHAnsi"/>
          <w:b w:val="0"/>
          <w:bCs w:val="0"/>
          <w:i/>
          <w:color w:val="auto"/>
          <w:sz w:val="22"/>
          <w:szCs w:val="24"/>
          <w:lang w:val="sq-AL"/>
        </w:rPr>
        <w:t>20</w:t>
      </w:r>
    </w:p>
    <w:tbl>
      <w:tblPr>
        <w:tblW w:w="9787" w:type="dxa"/>
        <w:tblLayout w:type="fixed"/>
        <w:tblLook w:val="04A0" w:firstRow="1" w:lastRow="0" w:firstColumn="1" w:lastColumn="0" w:noHBand="0" w:noVBand="1"/>
      </w:tblPr>
      <w:tblGrid>
        <w:gridCol w:w="3939"/>
        <w:gridCol w:w="1113"/>
        <w:gridCol w:w="1093"/>
        <w:gridCol w:w="1253"/>
        <w:gridCol w:w="1353"/>
        <w:gridCol w:w="1036"/>
      </w:tblGrid>
      <w:tr w:rsidR="0034657E" w:rsidTr="00900B3D">
        <w:trPr>
          <w:trHeight w:val="267"/>
        </w:trPr>
        <w:tc>
          <w:tcPr>
            <w:tcW w:w="9787" w:type="dxa"/>
            <w:gridSpan w:val="6"/>
            <w:tcBorders>
              <w:top w:val="single" w:sz="4" w:space="0" w:color="5B9BD5"/>
              <w:left w:val="single" w:sz="4" w:space="0" w:color="5B9BD5"/>
              <w:bottom w:val="nil"/>
              <w:right w:val="single" w:sz="4" w:space="0" w:color="5B9BD5"/>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Diferencat Janar-Maj 2021/2020</w:t>
            </w:r>
          </w:p>
        </w:tc>
      </w:tr>
      <w:tr w:rsidR="0034657E" w:rsidTr="00900B3D">
        <w:trPr>
          <w:trHeight w:val="267"/>
        </w:trPr>
        <w:tc>
          <w:tcPr>
            <w:tcW w:w="9787" w:type="dxa"/>
            <w:gridSpan w:val="6"/>
            <w:tcBorders>
              <w:top w:val="nil"/>
              <w:left w:val="single" w:sz="4" w:space="0" w:color="5B9BD5"/>
              <w:bottom w:val="nil"/>
              <w:right w:val="single" w:sz="4" w:space="0" w:color="5B9BD5"/>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 xml:space="preserve">Produktet me  kontribut  </w:t>
            </w:r>
            <w:r>
              <w:rPr>
                <w:rFonts w:ascii="Calibri" w:hAnsi="Calibri" w:cs="Calibri"/>
                <w:b/>
                <w:bCs/>
                <w:color w:val="000000" w:themeColor="text1"/>
                <w:sz w:val="20"/>
                <w:szCs w:val="20"/>
              </w:rPr>
              <w:t>N</w:t>
            </w:r>
            <w:r w:rsidRPr="00752906">
              <w:rPr>
                <w:rFonts w:ascii="Calibri" w:hAnsi="Calibri" w:cs="Calibri"/>
                <w:b/>
                <w:bCs/>
                <w:color w:val="000000" w:themeColor="text1"/>
                <w:sz w:val="20"/>
                <w:szCs w:val="20"/>
              </w:rPr>
              <w:t>egativ</w:t>
            </w:r>
          </w:p>
        </w:tc>
      </w:tr>
      <w:tr w:rsidR="0034657E" w:rsidTr="00900B3D">
        <w:trPr>
          <w:trHeight w:val="267"/>
        </w:trPr>
        <w:tc>
          <w:tcPr>
            <w:tcW w:w="3939" w:type="dxa"/>
            <w:tcBorders>
              <w:top w:val="nil"/>
              <w:left w:val="single" w:sz="4" w:space="0" w:color="5B9BD5"/>
              <w:bottom w:val="nil"/>
              <w:right w:val="nil"/>
            </w:tcBorders>
            <w:shd w:val="clear" w:color="000000" w:fill="BDD7EE"/>
            <w:vAlign w:val="bottom"/>
            <w:hideMark/>
          </w:tcPr>
          <w:p w:rsidR="0034657E" w:rsidRDefault="0034657E" w:rsidP="00900B3D">
            <w:pPr>
              <w:rPr>
                <w:rFonts w:ascii="Calibri" w:hAnsi="Calibri" w:cs="Calibri"/>
                <w:b/>
                <w:bCs/>
                <w:color w:val="000000"/>
                <w:sz w:val="20"/>
                <w:szCs w:val="20"/>
              </w:rPr>
            </w:pPr>
            <w:r>
              <w:rPr>
                <w:rFonts w:ascii="Calibri" w:hAnsi="Calibri" w:cs="Calibri"/>
                <w:b/>
                <w:bCs/>
                <w:color w:val="000000"/>
                <w:sz w:val="20"/>
                <w:szCs w:val="20"/>
              </w:rPr>
              <w:t> </w:t>
            </w:r>
          </w:p>
        </w:tc>
        <w:tc>
          <w:tcPr>
            <w:tcW w:w="1113" w:type="dxa"/>
            <w:tcBorders>
              <w:top w:val="nil"/>
              <w:left w:val="nil"/>
              <w:bottom w:val="nil"/>
              <w:right w:val="nil"/>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Njësia</w:t>
            </w:r>
          </w:p>
        </w:tc>
        <w:tc>
          <w:tcPr>
            <w:tcW w:w="1093" w:type="dxa"/>
            <w:tcBorders>
              <w:top w:val="nil"/>
              <w:left w:val="nil"/>
              <w:bottom w:val="nil"/>
              <w:right w:val="nil"/>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 xml:space="preserve">Sasi </w:t>
            </w:r>
          </w:p>
        </w:tc>
        <w:tc>
          <w:tcPr>
            <w:tcW w:w="1253" w:type="dxa"/>
            <w:tcBorders>
              <w:top w:val="nil"/>
              <w:left w:val="nil"/>
              <w:bottom w:val="nil"/>
              <w:right w:val="nil"/>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w:t>
            </w:r>
          </w:p>
        </w:tc>
        <w:tc>
          <w:tcPr>
            <w:tcW w:w="1353" w:type="dxa"/>
            <w:tcBorders>
              <w:top w:val="nil"/>
              <w:left w:val="nil"/>
              <w:bottom w:val="nil"/>
              <w:right w:val="nil"/>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Akciza</w:t>
            </w:r>
          </w:p>
        </w:tc>
        <w:tc>
          <w:tcPr>
            <w:tcW w:w="1033" w:type="dxa"/>
            <w:tcBorders>
              <w:top w:val="nil"/>
              <w:left w:val="nil"/>
              <w:bottom w:val="nil"/>
              <w:right w:val="single" w:sz="4" w:space="0" w:color="5B9BD5"/>
            </w:tcBorders>
            <w:shd w:val="clear" w:color="000000" w:fill="BDD7EE"/>
            <w:vAlign w:val="bottom"/>
            <w:hideMark/>
          </w:tcPr>
          <w:p w:rsidR="0034657E" w:rsidRDefault="0034657E" w:rsidP="00900B3D">
            <w:pPr>
              <w:jc w:val="center"/>
              <w:rPr>
                <w:rFonts w:ascii="Calibri" w:hAnsi="Calibri" w:cs="Calibri"/>
                <w:b/>
                <w:bCs/>
                <w:color w:val="000000"/>
                <w:sz w:val="20"/>
                <w:szCs w:val="20"/>
              </w:rPr>
            </w:pPr>
            <w:r>
              <w:rPr>
                <w:rFonts w:ascii="Calibri" w:hAnsi="Calibri" w:cs="Calibri"/>
                <w:b/>
                <w:bCs/>
                <w:color w:val="000000"/>
                <w:sz w:val="20"/>
                <w:szCs w:val="20"/>
              </w:rPr>
              <w:t>%</w:t>
            </w:r>
          </w:p>
        </w:tc>
      </w:tr>
      <w:tr w:rsidR="0034657E" w:rsidTr="00900B3D">
        <w:trPr>
          <w:trHeight w:val="251"/>
        </w:trPr>
        <w:tc>
          <w:tcPr>
            <w:tcW w:w="3939" w:type="dxa"/>
            <w:tcBorders>
              <w:top w:val="single" w:sz="4" w:space="0" w:color="5B9BD5"/>
              <w:left w:val="single" w:sz="4" w:space="0" w:color="5B9BD5"/>
              <w:bottom w:val="single" w:sz="4" w:space="0" w:color="5B9BD5"/>
              <w:right w:val="nil"/>
            </w:tcBorders>
            <w:shd w:val="clear" w:color="auto" w:fill="auto"/>
            <w:vAlign w:val="bottom"/>
            <w:hideMark/>
          </w:tcPr>
          <w:p w:rsidR="0034657E" w:rsidRDefault="0034657E" w:rsidP="00900B3D">
            <w:pPr>
              <w:rPr>
                <w:rFonts w:ascii="Calibri" w:hAnsi="Calibri" w:cs="Calibri"/>
                <w:color w:val="000000"/>
                <w:sz w:val="20"/>
                <w:szCs w:val="20"/>
              </w:rPr>
            </w:pPr>
            <w:r>
              <w:rPr>
                <w:rFonts w:ascii="Calibri" w:hAnsi="Calibri" w:cs="Calibri"/>
                <w:color w:val="000000"/>
                <w:sz w:val="20"/>
                <w:szCs w:val="20"/>
              </w:rPr>
              <w:t>Gaz i lëngshëm</w:t>
            </w:r>
          </w:p>
        </w:tc>
        <w:tc>
          <w:tcPr>
            <w:tcW w:w="111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center"/>
              <w:rPr>
                <w:rFonts w:ascii="Calibri" w:hAnsi="Calibri" w:cs="Calibri"/>
                <w:i/>
                <w:iCs/>
                <w:color w:val="000000"/>
                <w:sz w:val="20"/>
                <w:szCs w:val="20"/>
              </w:rPr>
            </w:pPr>
            <w:r>
              <w:rPr>
                <w:rFonts w:ascii="Calibri" w:hAnsi="Calibri" w:cs="Calibri"/>
                <w:i/>
                <w:iCs/>
                <w:color w:val="000000"/>
                <w:sz w:val="20"/>
                <w:szCs w:val="20"/>
              </w:rPr>
              <w:t xml:space="preserve">Ton </w:t>
            </w:r>
          </w:p>
        </w:tc>
        <w:tc>
          <w:tcPr>
            <w:tcW w:w="1093" w:type="dxa"/>
            <w:tcBorders>
              <w:top w:val="single" w:sz="4" w:space="0" w:color="5B9BD5"/>
              <w:left w:val="nil"/>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10,390</w:t>
            </w:r>
          </w:p>
        </w:tc>
        <w:tc>
          <w:tcPr>
            <w:tcW w:w="1253" w:type="dxa"/>
            <w:tcBorders>
              <w:top w:val="single" w:sz="4" w:space="0" w:color="5B9BD5"/>
              <w:left w:val="nil"/>
              <w:bottom w:val="single" w:sz="4" w:space="0" w:color="5B9BD5"/>
              <w:right w:val="nil"/>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19.4%</w:t>
            </w:r>
          </w:p>
        </w:tc>
        <w:tc>
          <w:tcPr>
            <w:tcW w:w="135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36</w:t>
            </w:r>
          </w:p>
        </w:tc>
        <w:tc>
          <w:tcPr>
            <w:tcW w:w="1033" w:type="dxa"/>
            <w:tcBorders>
              <w:top w:val="single" w:sz="4" w:space="0" w:color="5B9BD5"/>
              <w:left w:val="nil"/>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-13.8%</w:t>
            </w:r>
          </w:p>
        </w:tc>
      </w:tr>
      <w:tr w:rsidR="0034657E" w:rsidTr="00900B3D">
        <w:trPr>
          <w:trHeight w:val="251"/>
        </w:trPr>
        <w:tc>
          <w:tcPr>
            <w:tcW w:w="3939" w:type="dxa"/>
            <w:tcBorders>
              <w:top w:val="nil"/>
              <w:left w:val="single" w:sz="4" w:space="0" w:color="5B9BD5"/>
              <w:bottom w:val="nil"/>
              <w:right w:val="nil"/>
            </w:tcBorders>
            <w:shd w:val="clear" w:color="auto" w:fill="auto"/>
            <w:vAlign w:val="bottom"/>
            <w:hideMark/>
          </w:tcPr>
          <w:p w:rsidR="0034657E" w:rsidRDefault="0034657E" w:rsidP="00900B3D">
            <w:pPr>
              <w:rPr>
                <w:rFonts w:ascii="Calibri" w:hAnsi="Calibri" w:cs="Calibri"/>
                <w:color w:val="000000"/>
                <w:sz w:val="20"/>
                <w:szCs w:val="20"/>
              </w:rPr>
            </w:pPr>
            <w:r>
              <w:rPr>
                <w:rFonts w:ascii="Calibri" w:hAnsi="Calibri" w:cs="Calibri"/>
                <w:color w:val="000000"/>
                <w:sz w:val="20"/>
                <w:szCs w:val="20"/>
              </w:rPr>
              <w:t>Birrë Prodhim Vendi</w:t>
            </w:r>
          </w:p>
        </w:tc>
        <w:tc>
          <w:tcPr>
            <w:tcW w:w="1113" w:type="dxa"/>
            <w:tcBorders>
              <w:top w:val="nil"/>
              <w:left w:val="single" w:sz="4" w:space="0" w:color="5B9BD5"/>
              <w:bottom w:val="nil"/>
              <w:right w:val="single" w:sz="4" w:space="0" w:color="5B9BD5"/>
            </w:tcBorders>
            <w:shd w:val="clear" w:color="auto" w:fill="auto"/>
            <w:vAlign w:val="bottom"/>
            <w:hideMark/>
          </w:tcPr>
          <w:p w:rsidR="0034657E" w:rsidRDefault="0034657E" w:rsidP="00900B3D">
            <w:pPr>
              <w:rPr>
                <w:rFonts w:ascii="Calibri" w:hAnsi="Calibri" w:cs="Calibri"/>
                <w:i/>
                <w:iCs/>
                <w:color w:val="000000"/>
                <w:sz w:val="20"/>
                <w:szCs w:val="20"/>
              </w:rPr>
            </w:pPr>
            <w:r>
              <w:rPr>
                <w:rFonts w:ascii="Calibri" w:hAnsi="Calibri" w:cs="Calibri"/>
                <w:i/>
                <w:iCs/>
                <w:color w:val="000000"/>
                <w:sz w:val="20"/>
                <w:szCs w:val="20"/>
              </w:rPr>
              <w:t>Mije lit</w:t>
            </w:r>
          </w:p>
        </w:tc>
        <w:tc>
          <w:tcPr>
            <w:tcW w:w="1093" w:type="dxa"/>
            <w:tcBorders>
              <w:top w:val="nil"/>
              <w:left w:val="nil"/>
              <w:bottom w:val="nil"/>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3,369</w:t>
            </w:r>
          </w:p>
        </w:tc>
        <w:tc>
          <w:tcPr>
            <w:tcW w:w="1253" w:type="dxa"/>
            <w:tcBorders>
              <w:top w:val="nil"/>
              <w:left w:val="nil"/>
              <w:bottom w:val="nil"/>
              <w:right w:val="nil"/>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36.4%</w:t>
            </w:r>
          </w:p>
        </w:tc>
        <w:tc>
          <w:tcPr>
            <w:tcW w:w="1353" w:type="dxa"/>
            <w:tcBorders>
              <w:top w:val="nil"/>
              <w:left w:val="single" w:sz="4" w:space="0" w:color="5B9BD5"/>
              <w:bottom w:val="nil"/>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17</w:t>
            </w:r>
          </w:p>
        </w:tc>
        <w:tc>
          <w:tcPr>
            <w:tcW w:w="1033" w:type="dxa"/>
            <w:tcBorders>
              <w:top w:val="nil"/>
              <w:left w:val="nil"/>
              <w:bottom w:val="nil"/>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-8.2%</w:t>
            </w:r>
          </w:p>
        </w:tc>
      </w:tr>
      <w:tr w:rsidR="0034657E" w:rsidTr="00900B3D">
        <w:trPr>
          <w:trHeight w:val="251"/>
        </w:trPr>
        <w:tc>
          <w:tcPr>
            <w:tcW w:w="3939" w:type="dxa"/>
            <w:tcBorders>
              <w:top w:val="single" w:sz="4" w:space="0" w:color="5B9BD5"/>
              <w:left w:val="single" w:sz="4" w:space="0" w:color="5B9BD5"/>
              <w:bottom w:val="single" w:sz="4" w:space="0" w:color="5B9BD5"/>
              <w:right w:val="nil"/>
            </w:tcBorders>
            <w:shd w:val="clear" w:color="auto" w:fill="auto"/>
            <w:vAlign w:val="bottom"/>
            <w:hideMark/>
          </w:tcPr>
          <w:p w:rsidR="0034657E" w:rsidRDefault="0034657E" w:rsidP="00900B3D">
            <w:pPr>
              <w:rPr>
                <w:rFonts w:ascii="Calibri" w:hAnsi="Calibri" w:cs="Calibri"/>
                <w:color w:val="000000"/>
                <w:sz w:val="20"/>
                <w:szCs w:val="20"/>
              </w:rPr>
            </w:pPr>
            <w:r>
              <w:rPr>
                <w:rFonts w:ascii="Calibri" w:hAnsi="Calibri" w:cs="Calibri"/>
                <w:color w:val="000000"/>
                <w:sz w:val="20"/>
                <w:szCs w:val="20"/>
              </w:rPr>
              <w:t>Energji Elektrike</w:t>
            </w:r>
          </w:p>
        </w:tc>
        <w:tc>
          <w:tcPr>
            <w:tcW w:w="111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center"/>
              <w:rPr>
                <w:rFonts w:ascii="Calibri" w:hAnsi="Calibri" w:cs="Calibri"/>
                <w:i/>
                <w:iCs/>
                <w:color w:val="000000"/>
                <w:sz w:val="20"/>
                <w:szCs w:val="20"/>
              </w:rPr>
            </w:pPr>
            <w:r>
              <w:rPr>
                <w:rFonts w:ascii="Calibri" w:hAnsi="Calibri" w:cs="Calibri"/>
                <w:i/>
                <w:iCs/>
                <w:color w:val="000000"/>
                <w:sz w:val="20"/>
                <w:szCs w:val="20"/>
              </w:rPr>
              <w:t>Ton</w:t>
            </w:r>
          </w:p>
        </w:tc>
        <w:tc>
          <w:tcPr>
            <w:tcW w:w="1093" w:type="dxa"/>
            <w:tcBorders>
              <w:top w:val="single" w:sz="4" w:space="0" w:color="5B9BD5"/>
              <w:left w:val="nil"/>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-409,489</w:t>
            </w:r>
          </w:p>
        </w:tc>
        <w:tc>
          <w:tcPr>
            <w:tcW w:w="1253" w:type="dxa"/>
            <w:tcBorders>
              <w:top w:val="single" w:sz="4" w:space="0" w:color="5B9BD5"/>
              <w:left w:val="nil"/>
              <w:bottom w:val="single" w:sz="4" w:space="0" w:color="5B9BD5"/>
              <w:right w:val="nil"/>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-46.3%</w:t>
            </w:r>
          </w:p>
        </w:tc>
        <w:tc>
          <w:tcPr>
            <w:tcW w:w="135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0</w:t>
            </w:r>
          </w:p>
        </w:tc>
        <w:tc>
          <w:tcPr>
            <w:tcW w:w="1033" w:type="dxa"/>
            <w:tcBorders>
              <w:top w:val="single" w:sz="4" w:space="0" w:color="5B9BD5"/>
              <w:left w:val="nil"/>
              <w:bottom w:val="single" w:sz="4" w:space="0" w:color="5B9BD5"/>
              <w:right w:val="single" w:sz="4" w:space="0" w:color="5B9BD5"/>
            </w:tcBorders>
            <w:shd w:val="clear" w:color="auto" w:fill="auto"/>
            <w:vAlign w:val="bottom"/>
            <w:hideMark/>
          </w:tcPr>
          <w:p w:rsidR="0034657E" w:rsidRDefault="0034657E" w:rsidP="00900B3D">
            <w:pPr>
              <w:jc w:val="center"/>
              <w:rPr>
                <w:rFonts w:ascii="Calibri" w:hAnsi="Calibri" w:cs="Calibri"/>
                <w:color w:val="000000"/>
                <w:sz w:val="20"/>
                <w:szCs w:val="20"/>
              </w:rPr>
            </w:pPr>
            <w:r>
              <w:rPr>
                <w:rFonts w:ascii="Calibri" w:hAnsi="Calibri" w:cs="Calibri"/>
                <w:color w:val="000000"/>
                <w:sz w:val="20"/>
                <w:szCs w:val="20"/>
              </w:rPr>
              <w:t>-</w:t>
            </w:r>
          </w:p>
        </w:tc>
      </w:tr>
      <w:tr w:rsidR="0034657E" w:rsidTr="00900B3D">
        <w:trPr>
          <w:trHeight w:val="251"/>
        </w:trPr>
        <w:tc>
          <w:tcPr>
            <w:tcW w:w="3939" w:type="dxa"/>
            <w:tcBorders>
              <w:top w:val="nil"/>
              <w:left w:val="single" w:sz="4" w:space="0" w:color="5B9BD5"/>
              <w:bottom w:val="single" w:sz="4" w:space="0" w:color="5B9BD5"/>
              <w:right w:val="nil"/>
            </w:tcBorders>
            <w:shd w:val="clear" w:color="auto" w:fill="auto"/>
            <w:vAlign w:val="bottom"/>
            <w:hideMark/>
          </w:tcPr>
          <w:p w:rsidR="0034657E" w:rsidRDefault="0034657E" w:rsidP="00900B3D">
            <w:pPr>
              <w:rPr>
                <w:rFonts w:ascii="Calibri" w:hAnsi="Calibri" w:cs="Calibri"/>
                <w:color w:val="000000"/>
                <w:sz w:val="20"/>
                <w:szCs w:val="20"/>
              </w:rPr>
            </w:pPr>
            <w:r>
              <w:rPr>
                <w:rFonts w:ascii="Calibri" w:hAnsi="Calibri" w:cs="Calibri"/>
                <w:color w:val="000000"/>
                <w:sz w:val="20"/>
                <w:szCs w:val="20"/>
              </w:rPr>
              <w:t>Miell dhe Grurë</w:t>
            </w:r>
          </w:p>
        </w:tc>
        <w:tc>
          <w:tcPr>
            <w:tcW w:w="1113" w:type="dxa"/>
            <w:tcBorders>
              <w:top w:val="nil"/>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center"/>
              <w:rPr>
                <w:rFonts w:ascii="Calibri" w:hAnsi="Calibri" w:cs="Calibri"/>
                <w:i/>
                <w:iCs/>
                <w:color w:val="000000"/>
                <w:sz w:val="20"/>
                <w:szCs w:val="20"/>
              </w:rPr>
            </w:pPr>
            <w:r>
              <w:rPr>
                <w:rFonts w:ascii="Calibri" w:hAnsi="Calibri" w:cs="Calibri"/>
                <w:i/>
                <w:iCs/>
                <w:color w:val="000000"/>
                <w:sz w:val="20"/>
                <w:szCs w:val="20"/>
              </w:rPr>
              <w:t>Ton</w:t>
            </w:r>
          </w:p>
        </w:tc>
        <w:tc>
          <w:tcPr>
            <w:tcW w:w="1093" w:type="dxa"/>
            <w:tcBorders>
              <w:top w:val="nil"/>
              <w:left w:val="nil"/>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-46,616</w:t>
            </w:r>
          </w:p>
        </w:tc>
        <w:tc>
          <w:tcPr>
            <w:tcW w:w="1253" w:type="dxa"/>
            <w:tcBorders>
              <w:top w:val="nil"/>
              <w:left w:val="nil"/>
              <w:bottom w:val="single" w:sz="4" w:space="0" w:color="5B9BD5"/>
              <w:right w:val="nil"/>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-36.8%</w:t>
            </w:r>
          </w:p>
        </w:tc>
        <w:tc>
          <w:tcPr>
            <w:tcW w:w="1353" w:type="dxa"/>
            <w:tcBorders>
              <w:top w:val="nil"/>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color w:val="000000"/>
                <w:sz w:val="20"/>
                <w:szCs w:val="20"/>
              </w:rPr>
            </w:pPr>
            <w:r>
              <w:rPr>
                <w:rFonts w:ascii="Calibri" w:hAnsi="Calibri" w:cs="Calibri"/>
                <w:color w:val="000000"/>
                <w:sz w:val="20"/>
                <w:szCs w:val="20"/>
              </w:rPr>
              <w:t>0</w:t>
            </w:r>
          </w:p>
        </w:tc>
        <w:tc>
          <w:tcPr>
            <w:tcW w:w="1033" w:type="dxa"/>
            <w:tcBorders>
              <w:top w:val="nil"/>
              <w:left w:val="nil"/>
              <w:bottom w:val="single" w:sz="4" w:space="0" w:color="5B9BD5"/>
              <w:right w:val="single" w:sz="4" w:space="0" w:color="5B9BD5"/>
            </w:tcBorders>
            <w:shd w:val="clear" w:color="auto" w:fill="auto"/>
            <w:vAlign w:val="bottom"/>
            <w:hideMark/>
          </w:tcPr>
          <w:p w:rsidR="0034657E" w:rsidRDefault="0034657E" w:rsidP="00900B3D">
            <w:pPr>
              <w:jc w:val="center"/>
              <w:rPr>
                <w:rFonts w:ascii="Calibri" w:hAnsi="Calibri" w:cs="Calibri"/>
                <w:color w:val="000000"/>
                <w:sz w:val="20"/>
                <w:szCs w:val="20"/>
              </w:rPr>
            </w:pPr>
            <w:r>
              <w:rPr>
                <w:rFonts w:ascii="Calibri" w:hAnsi="Calibri" w:cs="Calibri"/>
                <w:color w:val="000000"/>
                <w:sz w:val="20"/>
                <w:szCs w:val="20"/>
              </w:rPr>
              <w:t>-</w:t>
            </w:r>
          </w:p>
        </w:tc>
      </w:tr>
      <w:tr w:rsidR="0034657E" w:rsidTr="00900B3D">
        <w:trPr>
          <w:trHeight w:val="251"/>
        </w:trPr>
        <w:tc>
          <w:tcPr>
            <w:tcW w:w="3939" w:type="dxa"/>
            <w:tcBorders>
              <w:top w:val="nil"/>
              <w:left w:val="single" w:sz="4" w:space="0" w:color="5B9BD5"/>
              <w:bottom w:val="single" w:sz="4" w:space="0" w:color="5B9BD5"/>
              <w:right w:val="nil"/>
            </w:tcBorders>
            <w:shd w:val="clear" w:color="auto" w:fill="auto"/>
            <w:vAlign w:val="bottom"/>
            <w:hideMark/>
          </w:tcPr>
          <w:p w:rsidR="0034657E" w:rsidRDefault="0034657E" w:rsidP="00900B3D">
            <w:pPr>
              <w:rPr>
                <w:rFonts w:ascii="Calibri" w:hAnsi="Calibri" w:cs="Calibri"/>
                <w:b/>
                <w:bCs/>
                <w:color w:val="000000"/>
                <w:sz w:val="20"/>
                <w:szCs w:val="20"/>
              </w:rPr>
            </w:pPr>
            <w:r>
              <w:rPr>
                <w:rFonts w:ascii="Calibri" w:hAnsi="Calibri" w:cs="Calibri"/>
                <w:b/>
                <w:bCs/>
                <w:color w:val="000000"/>
                <w:sz w:val="20"/>
                <w:szCs w:val="20"/>
              </w:rPr>
              <w:t xml:space="preserve">Efekti </w:t>
            </w:r>
          </w:p>
        </w:tc>
        <w:tc>
          <w:tcPr>
            <w:tcW w:w="1113" w:type="dxa"/>
            <w:tcBorders>
              <w:top w:val="nil"/>
              <w:left w:val="nil"/>
              <w:bottom w:val="single" w:sz="4" w:space="0" w:color="5B9BD5"/>
              <w:right w:val="nil"/>
            </w:tcBorders>
            <w:shd w:val="clear" w:color="auto" w:fill="auto"/>
            <w:vAlign w:val="bottom"/>
            <w:hideMark/>
          </w:tcPr>
          <w:p w:rsidR="0034657E" w:rsidRDefault="0034657E" w:rsidP="00900B3D">
            <w:pPr>
              <w:rPr>
                <w:rFonts w:ascii="Calibri" w:hAnsi="Calibri" w:cs="Calibri"/>
                <w:b/>
                <w:bCs/>
                <w:i/>
                <w:iCs/>
                <w:color w:val="000000"/>
                <w:sz w:val="20"/>
                <w:szCs w:val="20"/>
              </w:rPr>
            </w:pPr>
            <w:r>
              <w:rPr>
                <w:rFonts w:ascii="Calibri" w:hAnsi="Calibri" w:cs="Calibri"/>
                <w:b/>
                <w:bCs/>
                <w:i/>
                <w:iCs/>
                <w:color w:val="000000"/>
                <w:sz w:val="20"/>
                <w:szCs w:val="20"/>
              </w:rPr>
              <w:t> </w:t>
            </w:r>
          </w:p>
        </w:tc>
        <w:tc>
          <w:tcPr>
            <w:tcW w:w="1093" w:type="dxa"/>
            <w:tcBorders>
              <w:top w:val="nil"/>
              <w:left w:val="nil"/>
              <w:bottom w:val="single" w:sz="4" w:space="0" w:color="5B9BD5"/>
              <w:right w:val="nil"/>
            </w:tcBorders>
            <w:shd w:val="clear" w:color="auto" w:fill="auto"/>
            <w:vAlign w:val="bottom"/>
            <w:hideMark/>
          </w:tcPr>
          <w:p w:rsidR="0034657E" w:rsidRDefault="0034657E" w:rsidP="00900B3D">
            <w:pPr>
              <w:jc w:val="center"/>
              <w:rPr>
                <w:rFonts w:ascii="Calibri" w:hAnsi="Calibri" w:cs="Calibri"/>
                <w:color w:val="000000"/>
                <w:sz w:val="20"/>
                <w:szCs w:val="20"/>
              </w:rPr>
            </w:pPr>
            <w:r>
              <w:rPr>
                <w:rFonts w:ascii="Calibri" w:hAnsi="Calibri" w:cs="Calibri"/>
                <w:color w:val="000000"/>
                <w:sz w:val="20"/>
                <w:szCs w:val="20"/>
              </w:rPr>
              <w:t> </w:t>
            </w:r>
          </w:p>
        </w:tc>
        <w:tc>
          <w:tcPr>
            <w:tcW w:w="1253" w:type="dxa"/>
            <w:tcBorders>
              <w:top w:val="nil"/>
              <w:left w:val="nil"/>
              <w:bottom w:val="single" w:sz="4" w:space="0" w:color="5B9BD5"/>
              <w:right w:val="nil"/>
            </w:tcBorders>
            <w:shd w:val="clear" w:color="auto" w:fill="auto"/>
            <w:vAlign w:val="bottom"/>
            <w:hideMark/>
          </w:tcPr>
          <w:p w:rsidR="0034657E" w:rsidRDefault="0034657E" w:rsidP="00900B3D">
            <w:pPr>
              <w:jc w:val="center"/>
              <w:rPr>
                <w:rFonts w:ascii="Calibri" w:hAnsi="Calibri" w:cs="Calibri"/>
                <w:color w:val="000000"/>
                <w:sz w:val="20"/>
                <w:szCs w:val="20"/>
              </w:rPr>
            </w:pPr>
            <w:r>
              <w:rPr>
                <w:rFonts w:ascii="Calibri" w:hAnsi="Calibri" w:cs="Calibri"/>
                <w:color w:val="000000"/>
                <w:sz w:val="20"/>
                <w:szCs w:val="20"/>
              </w:rPr>
              <w:t> </w:t>
            </w:r>
          </w:p>
        </w:tc>
        <w:tc>
          <w:tcPr>
            <w:tcW w:w="1353" w:type="dxa"/>
            <w:tcBorders>
              <w:top w:val="nil"/>
              <w:left w:val="single" w:sz="4" w:space="0" w:color="5B9BD5"/>
              <w:bottom w:val="single" w:sz="4" w:space="0" w:color="5B9BD5"/>
              <w:right w:val="single" w:sz="4" w:space="0" w:color="5B9BD5"/>
            </w:tcBorders>
            <w:shd w:val="clear" w:color="auto" w:fill="auto"/>
            <w:vAlign w:val="bottom"/>
            <w:hideMark/>
          </w:tcPr>
          <w:p w:rsidR="0034657E" w:rsidRDefault="0034657E" w:rsidP="00900B3D">
            <w:pPr>
              <w:jc w:val="right"/>
              <w:rPr>
                <w:rFonts w:ascii="Calibri" w:hAnsi="Calibri" w:cs="Calibri"/>
                <w:b/>
                <w:bCs/>
                <w:color w:val="000000"/>
                <w:sz w:val="20"/>
                <w:szCs w:val="20"/>
              </w:rPr>
            </w:pPr>
            <w:r>
              <w:rPr>
                <w:rFonts w:ascii="Calibri" w:hAnsi="Calibri" w:cs="Calibri"/>
                <w:b/>
                <w:bCs/>
                <w:color w:val="000000"/>
                <w:sz w:val="20"/>
                <w:szCs w:val="20"/>
              </w:rPr>
              <w:t>-53</w:t>
            </w:r>
          </w:p>
        </w:tc>
        <w:tc>
          <w:tcPr>
            <w:tcW w:w="1033" w:type="dxa"/>
            <w:tcBorders>
              <w:top w:val="nil"/>
              <w:left w:val="nil"/>
              <w:bottom w:val="single" w:sz="4" w:space="0" w:color="5B9BD5"/>
              <w:right w:val="single" w:sz="4" w:space="0" w:color="5B9BD5"/>
            </w:tcBorders>
            <w:shd w:val="clear" w:color="auto" w:fill="auto"/>
            <w:vAlign w:val="bottom"/>
            <w:hideMark/>
          </w:tcPr>
          <w:p w:rsidR="0034657E" w:rsidRDefault="0034657E" w:rsidP="00900B3D">
            <w:pPr>
              <w:jc w:val="center"/>
              <w:rPr>
                <w:rFonts w:ascii="Calibri" w:hAnsi="Calibri" w:cs="Calibri"/>
                <w:color w:val="000000"/>
                <w:sz w:val="20"/>
                <w:szCs w:val="20"/>
              </w:rPr>
            </w:pPr>
            <w:r>
              <w:rPr>
                <w:rFonts w:ascii="Calibri" w:hAnsi="Calibri" w:cs="Calibri"/>
                <w:color w:val="000000"/>
                <w:sz w:val="20"/>
                <w:szCs w:val="20"/>
              </w:rPr>
              <w:t> </w:t>
            </w:r>
          </w:p>
        </w:tc>
      </w:tr>
    </w:tbl>
    <w:p w:rsidR="0034657E" w:rsidRPr="004E355C" w:rsidRDefault="0034657E" w:rsidP="0034657E">
      <w:pPr>
        <w:spacing w:line="276" w:lineRule="auto"/>
        <w:jc w:val="both"/>
        <w:rPr>
          <w:rFonts w:asciiTheme="minorHAnsi" w:hAnsiTheme="minorHAnsi"/>
          <w:sz w:val="20"/>
          <w:szCs w:val="20"/>
          <w:lang w:val="sq-AL"/>
        </w:rPr>
      </w:pPr>
      <w:r w:rsidRPr="004E355C">
        <w:rPr>
          <w:rFonts w:asciiTheme="minorHAnsi" w:hAnsiTheme="minorHAnsi"/>
          <w:sz w:val="20"/>
          <w:szCs w:val="20"/>
          <w:lang w:val="sq-AL"/>
        </w:rPr>
        <w:t>Burimi: Ministria</w:t>
      </w:r>
      <w:r>
        <w:rPr>
          <w:rFonts w:asciiTheme="minorHAnsi" w:hAnsiTheme="minorHAnsi"/>
          <w:sz w:val="20"/>
          <w:szCs w:val="20"/>
          <w:lang w:val="sq-AL"/>
        </w:rPr>
        <w:t xml:space="preserve"> e Financave dhe Ekonomisë (2021</w:t>
      </w:r>
      <w:r w:rsidRPr="004E355C">
        <w:rPr>
          <w:rFonts w:asciiTheme="minorHAnsi" w:hAnsiTheme="minorHAnsi"/>
          <w:sz w:val="20"/>
          <w:szCs w:val="20"/>
          <w:lang w:val="sq-AL"/>
        </w:rPr>
        <w:t>)</w:t>
      </w:r>
    </w:p>
    <w:p w:rsidR="0034657E" w:rsidRDefault="0034657E" w:rsidP="0034657E">
      <w:pPr>
        <w:tabs>
          <w:tab w:val="left" w:pos="2511"/>
          <w:tab w:val="center" w:pos="4680"/>
        </w:tabs>
        <w:spacing w:before="240" w:line="276" w:lineRule="auto"/>
        <w:jc w:val="both"/>
        <w:rPr>
          <w:rFonts w:asciiTheme="minorHAnsi" w:hAnsiTheme="minorHAnsi"/>
          <w:iCs/>
          <w:color w:val="000000" w:themeColor="text1"/>
          <w:lang w:val="sq-AL"/>
        </w:rPr>
      </w:pPr>
      <w:r w:rsidRPr="004E355C">
        <w:rPr>
          <w:rFonts w:asciiTheme="minorHAnsi" w:hAnsiTheme="minorHAnsi" w:cstheme="minorHAnsi"/>
          <w:i/>
        </w:rPr>
        <w:t>Të ardhurat nga TVSH-ja në import</w:t>
      </w:r>
      <w:r w:rsidRPr="004E355C">
        <w:rPr>
          <w:rFonts w:asciiTheme="minorHAnsi" w:hAnsiTheme="minorHAnsi" w:cstheme="minorHAnsi"/>
        </w:rPr>
        <w:t xml:space="preserve"> janë realizuar në vlerën </w:t>
      </w:r>
      <w:r>
        <w:rPr>
          <w:rFonts w:asciiTheme="minorHAnsi" w:hAnsiTheme="minorHAnsi" w:cstheme="minorHAnsi"/>
        </w:rPr>
        <w:t>45.8</w:t>
      </w:r>
      <w:r w:rsidRPr="004E355C">
        <w:rPr>
          <w:rFonts w:asciiTheme="minorHAnsi" w:hAnsiTheme="minorHAnsi" w:cstheme="minorHAnsi"/>
        </w:rPr>
        <w:t xml:space="preserve"> miliardë lekë, </w:t>
      </w:r>
      <w:r>
        <w:rPr>
          <w:rFonts w:asciiTheme="minorHAnsi" w:hAnsiTheme="minorHAnsi" w:cstheme="minorHAnsi"/>
        </w:rPr>
        <w:t>26.9</w:t>
      </w:r>
      <w:r w:rsidRPr="004E355C">
        <w:rPr>
          <w:rFonts w:asciiTheme="minorHAnsi" w:hAnsiTheme="minorHAnsi" w:cstheme="minorHAnsi"/>
        </w:rPr>
        <w:t xml:space="preserve">% ose </w:t>
      </w:r>
      <w:r>
        <w:rPr>
          <w:rFonts w:asciiTheme="minorHAnsi" w:hAnsiTheme="minorHAnsi" w:cstheme="minorHAnsi"/>
        </w:rPr>
        <w:t>9.7 miliardë lekë më shume se 5 mujori i vitit 2020</w:t>
      </w:r>
      <w:r w:rsidRPr="004E355C">
        <w:rPr>
          <w:rFonts w:asciiTheme="minorHAnsi" w:hAnsiTheme="minorHAnsi" w:cstheme="minorHAnsi"/>
        </w:rPr>
        <w:t xml:space="preserve">, dhe </w:t>
      </w:r>
      <w:r>
        <w:rPr>
          <w:rFonts w:asciiTheme="minorHAnsi" w:hAnsiTheme="minorHAnsi" w:cstheme="minorHAnsi"/>
        </w:rPr>
        <w:t>1.3</w:t>
      </w:r>
      <w:r w:rsidRPr="004E355C">
        <w:rPr>
          <w:rFonts w:asciiTheme="minorHAnsi" w:hAnsiTheme="minorHAnsi" w:cstheme="minorHAnsi"/>
        </w:rPr>
        <w:t xml:space="preserve">% ose </w:t>
      </w:r>
      <w:r>
        <w:rPr>
          <w:rFonts w:asciiTheme="minorHAnsi" w:hAnsiTheme="minorHAnsi" w:cstheme="minorHAnsi"/>
        </w:rPr>
        <w:t xml:space="preserve">0.6 </w:t>
      </w:r>
      <w:r w:rsidRPr="004E355C">
        <w:rPr>
          <w:rFonts w:asciiTheme="minorHAnsi" w:hAnsiTheme="minorHAnsi" w:cstheme="minorHAnsi"/>
        </w:rPr>
        <w:t>mili</w:t>
      </w:r>
      <w:r>
        <w:rPr>
          <w:rFonts w:asciiTheme="minorHAnsi" w:hAnsiTheme="minorHAnsi" w:cstheme="minorHAnsi"/>
        </w:rPr>
        <w:t>ard</w:t>
      </w:r>
      <w:r w:rsidRPr="004E355C">
        <w:rPr>
          <w:rFonts w:asciiTheme="minorHAnsi" w:hAnsiTheme="minorHAnsi" w:cstheme="minorHAnsi"/>
        </w:rPr>
        <w:t>ë lekë më pak se plani.</w:t>
      </w:r>
      <w:r>
        <w:rPr>
          <w:rFonts w:asciiTheme="minorHAnsi" w:hAnsiTheme="minorHAnsi" w:cstheme="minorHAnsi"/>
        </w:rPr>
        <w:t xml:space="preserve"> Gjate 5 mujorit 2021 rënia e sasisë së importuar të energjisë elektrike -409.5 mijë megawatorë, krahasuar me vitin 2020 ka sjellë efekt -351 milionë lekë në të ardhura për tvsh, megjithëse efekti nga ndryshimi i cmimit ishte +183.8 milionë lekë</w:t>
      </w:r>
      <w:r w:rsidRPr="00FF0225">
        <w:rPr>
          <w:rFonts w:asciiTheme="minorHAnsi" w:hAnsiTheme="minorHAnsi" w:cstheme="minorHAnsi"/>
          <w:color w:val="000000" w:themeColor="text1"/>
        </w:rPr>
        <w:t>.</w:t>
      </w:r>
      <w:r>
        <w:rPr>
          <w:rFonts w:asciiTheme="minorHAnsi" w:hAnsiTheme="minorHAnsi" w:cstheme="minorHAnsi"/>
          <w:color w:val="000000" w:themeColor="text1"/>
        </w:rPr>
        <w:t xml:space="preserve"> </w:t>
      </w:r>
      <w:r w:rsidRPr="00FF0225">
        <w:rPr>
          <w:rFonts w:asciiTheme="minorHAnsi" w:hAnsiTheme="minorHAnsi" w:cstheme="minorHAnsi"/>
          <w:color w:val="000000" w:themeColor="text1"/>
        </w:rPr>
        <w:t>Grup-produktet me kontribut pozitiv në të ardhurat nga TVSH në import rezultuan: importi automjeteve t</w:t>
      </w:r>
      <w:r>
        <w:rPr>
          <w:rFonts w:asciiTheme="minorHAnsi" w:hAnsiTheme="minorHAnsi" w:cstheme="minorHAnsi"/>
          <w:color w:val="000000" w:themeColor="text1"/>
        </w:rPr>
        <w:t>ë</w:t>
      </w:r>
      <w:r w:rsidRPr="00FF0225">
        <w:rPr>
          <w:rFonts w:asciiTheme="minorHAnsi" w:hAnsiTheme="minorHAnsi" w:cstheme="minorHAnsi"/>
          <w:color w:val="000000" w:themeColor="text1"/>
        </w:rPr>
        <w:t xml:space="preserve"> perdorura,</w:t>
      </w:r>
      <w:r>
        <w:rPr>
          <w:rFonts w:asciiTheme="minorHAnsi" w:hAnsiTheme="minorHAnsi" w:cstheme="minorHAnsi"/>
          <w:color w:val="000000" w:themeColor="text1"/>
        </w:rPr>
        <w:t xml:space="preserve"> </w:t>
      </w:r>
      <w:r w:rsidRPr="00FF0225">
        <w:rPr>
          <w:rFonts w:asciiTheme="minorHAnsi" w:hAnsiTheme="minorHAnsi" w:cstheme="minorHAnsi"/>
          <w:color w:val="000000" w:themeColor="text1"/>
        </w:rPr>
        <w:t>karburante importi,</w:t>
      </w:r>
      <w:r>
        <w:rPr>
          <w:rFonts w:asciiTheme="minorHAnsi" w:hAnsiTheme="minorHAnsi" w:cstheme="minorHAnsi"/>
          <w:color w:val="000000" w:themeColor="text1"/>
        </w:rPr>
        <w:t xml:space="preserve"> </w:t>
      </w:r>
      <w:r w:rsidRPr="00FF0225">
        <w:rPr>
          <w:rFonts w:asciiTheme="minorHAnsi" w:hAnsiTheme="minorHAnsi" w:cstheme="minorHAnsi"/>
          <w:color w:val="000000" w:themeColor="text1"/>
        </w:rPr>
        <w:t>metalet baz</w:t>
      </w:r>
      <w:r>
        <w:rPr>
          <w:rFonts w:asciiTheme="minorHAnsi" w:hAnsiTheme="minorHAnsi" w:cstheme="minorHAnsi"/>
          <w:color w:val="000000" w:themeColor="text1"/>
        </w:rPr>
        <w:t>ë</w:t>
      </w:r>
      <w:r w:rsidRPr="00FF0225">
        <w:rPr>
          <w:rFonts w:asciiTheme="minorHAnsi" w:hAnsiTheme="minorHAnsi" w:cstheme="minorHAnsi"/>
          <w:color w:val="000000" w:themeColor="text1"/>
        </w:rPr>
        <w:t xml:space="preserve"> dhe artikujt prej tyre,</w:t>
      </w:r>
      <w:r>
        <w:rPr>
          <w:rFonts w:asciiTheme="minorHAnsi" w:hAnsiTheme="minorHAnsi" w:cstheme="minorHAnsi"/>
          <w:color w:val="000000" w:themeColor="text1"/>
        </w:rPr>
        <w:t xml:space="preserve"> </w:t>
      </w:r>
      <w:r w:rsidRPr="00FF0225">
        <w:rPr>
          <w:rFonts w:asciiTheme="minorHAnsi" w:hAnsiTheme="minorHAnsi" w:cstheme="minorHAnsi"/>
          <w:color w:val="000000" w:themeColor="text1"/>
        </w:rPr>
        <w:t>veshjet dhe tekstilet dhe materialet e nd</w:t>
      </w:r>
      <w:r>
        <w:rPr>
          <w:rFonts w:asciiTheme="minorHAnsi" w:hAnsiTheme="minorHAnsi" w:cstheme="minorHAnsi"/>
          <w:color w:val="000000" w:themeColor="text1"/>
        </w:rPr>
        <w:t>ë</w:t>
      </w:r>
      <w:r w:rsidRPr="00FF0225">
        <w:rPr>
          <w:rFonts w:asciiTheme="minorHAnsi" w:hAnsiTheme="minorHAnsi" w:cstheme="minorHAnsi"/>
          <w:color w:val="000000" w:themeColor="text1"/>
        </w:rPr>
        <w:t>rtimit.</w:t>
      </w:r>
      <w:r>
        <w:rPr>
          <w:rFonts w:asciiTheme="minorHAnsi" w:hAnsiTheme="minorHAnsi" w:cstheme="minorHAnsi"/>
          <w:color w:val="000000" w:themeColor="text1"/>
        </w:rPr>
        <w:t xml:space="preserve"> </w:t>
      </w:r>
      <w:r w:rsidRPr="00FF0225">
        <w:rPr>
          <w:rFonts w:asciiTheme="minorHAnsi" w:hAnsiTheme="minorHAnsi" w:cstheme="minorHAnsi"/>
          <w:color w:val="000000" w:themeColor="text1"/>
        </w:rPr>
        <w:t>Energjia elektrike</w:t>
      </w:r>
      <w:r w:rsidR="00BE341C">
        <w:rPr>
          <w:rFonts w:asciiTheme="minorHAnsi" w:hAnsiTheme="minorHAnsi" w:cstheme="minorHAnsi"/>
          <w:color w:val="000000" w:themeColor="text1"/>
        </w:rPr>
        <w:t>,</w:t>
      </w:r>
      <w:r w:rsidRPr="00FF0225">
        <w:rPr>
          <w:rFonts w:asciiTheme="minorHAnsi" w:hAnsiTheme="minorHAnsi" w:cstheme="minorHAnsi"/>
          <w:color w:val="000000" w:themeColor="text1"/>
        </w:rPr>
        <w:t xml:space="preserve"> </w:t>
      </w:r>
      <w:r w:rsidR="00900B3D">
        <w:rPr>
          <w:rFonts w:asciiTheme="minorHAnsi" w:hAnsiTheme="minorHAnsi" w:cstheme="minorHAnsi"/>
          <w:color w:val="000000" w:themeColor="text1"/>
        </w:rPr>
        <w:t xml:space="preserve">mielli </w:t>
      </w:r>
      <w:r w:rsidR="00BE341C">
        <w:rPr>
          <w:rFonts w:asciiTheme="minorHAnsi" w:hAnsiTheme="minorHAnsi" w:cstheme="minorHAnsi"/>
          <w:color w:val="000000" w:themeColor="text1"/>
        </w:rPr>
        <w:t xml:space="preserve">e </w:t>
      </w:r>
      <w:r w:rsidR="00900B3D">
        <w:rPr>
          <w:rFonts w:asciiTheme="minorHAnsi" w:hAnsiTheme="minorHAnsi" w:cstheme="minorHAnsi"/>
          <w:color w:val="000000" w:themeColor="text1"/>
        </w:rPr>
        <w:t>gruri</w:t>
      </w:r>
      <w:r w:rsidRPr="00FF0225">
        <w:rPr>
          <w:rFonts w:asciiTheme="minorHAnsi" w:hAnsiTheme="minorHAnsi" w:cstheme="minorHAnsi"/>
          <w:color w:val="000000" w:themeColor="text1"/>
        </w:rPr>
        <w:t>,</w:t>
      </w:r>
      <w:r w:rsidR="00900B3D">
        <w:rPr>
          <w:rFonts w:asciiTheme="minorHAnsi" w:hAnsiTheme="minorHAnsi" w:cstheme="minorHAnsi"/>
          <w:color w:val="000000" w:themeColor="text1"/>
        </w:rPr>
        <w:t xml:space="preserve"> fruta-</w:t>
      </w:r>
      <w:r w:rsidRPr="00FF0225">
        <w:rPr>
          <w:rFonts w:asciiTheme="minorHAnsi" w:hAnsiTheme="minorHAnsi" w:cstheme="minorHAnsi"/>
          <w:color w:val="000000" w:themeColor="text1"/>
        </w:rPr>
        <w:t>perimet,</w:t>
      </w:r>
      <w:r>
        <w:rPr>
          <w:rFonts w:asciiTheme="minorHAnsi" w:hAnsiTheme="minorHAnsi" w:cstheme="minorHAnsi"/>
          <w:color w:val="000000" w:themeColor="text1"/>
        </w:rPr>
        <w:t xml:space="preserve"> </w:t>
      </w:r>
      <w:r w:rsidRPr="00FF0225">
        <w:rPr>
          <w:rFonts w:asciiTheme="minorHAnsi" w:hAnsiTheme="minorHAnsi" w:cstheme="minorHAnsi"/>
          <w:color w:val="000000" w:themeColor="text1"/>
        </w:rPr>
        <w:t>mishi</w:t>
      </w:r>
      <w:r w:rsidR="00BE341C">
        <w:rPr>
          <w:rFonts w:asciiTheme="minorHAnsi" w:hAnsiTheme="minorHAnsi" w:cstheme="minorHAnsi"/>
          <w:color w:val="000000" w:themeColor="text1"/>
        </w:rPr>
        <w:t>,</w:t>
      </w:r>
      <w:r w:rsidRPr="00FF0225">
        <w:rPr>
          <w:rFonts w:asciiTheme="minorHAnsi" w:hAnsiTheme="minorHAnsi" w:cstheme="minorHAnsi"/>
          <w:color w:val="000000" w:themeColor="text1"/>
        </w:rPr>
        <w:t xml:space="preserve"> dhjamra</w:t>
      </w:r>
      <w:r w:rsidR="00BE341C">
        <w:rPr>
          <w:rFonts w:asciiTheme="minorHAnsi" w:hAnsiTheme="minorHAnsi" w:cstheme="minorHAnsi"/>
          <w:color w:val="000000" w:themeColor="text1"/>
        </w:rPr>
        <w:t>t</w:t>
      </w:r>
      <w:r w:rsidRPr="00FF0225">
        <w:rPr>
          <w:rFonts w:asciiTheme="minorHAnsi" w:hAnsiTheme="minorHAnsi" w:cstheme="minorHAnsi"/>
          <w:color w:val="000000" w:themeColor="text1"/>
        </w:rPr>
        <w:t xml:space="preserve"> e vajra</w:t>
      </w:r>
      <w:r w:rsidR="00BE341C">
        <w:rPr>
          <w:rFonts w:asciiTheme="minorHAnsi" w:hAnsiTheme="minorHAnsi" w:cstheme="minorHAnsi"/>
          <w:color w:val="000000" w:themeColor="text1"/>
        </w:rPr>
        <w:t>t</w:t>
      </w:r>
      <w:r w:rsidRPr="00FF0225">
        <w:rPr>
          <w:rFonts w:asciiTheme="minorHAnsi" w:hAnsiTheme="minorHAnsi" w:cstheme="minorHAnsi"/>
          <w:color w:val="000000" w:themeColor="text1"/>
        </w:rPr>
        <w:t xml:space="preserve"> shtazor</w:t>
      </w:r>
      <w:r>
        <w:rPr>
          <w:rFonts w:asciiTheme="minorHAnsi" w:hAnsiTheme="minorHAnsi" w:cstheme="minorHAnsi"/>
          <w:color w:val="000000" w:themeColor="text1"/>
        </w:rPr>
        <w:t>ë</w:t>
      </w:r>
      <w:r w:rsidRPr="00FF0225">
        <w:rPr>
          <w:rFonts w:asciiTheme="minorHAnsi" w:hAnsiTheme="minorHAnsi" w:cstheme="minorHAnsi"/>
          <w:color w:val="000000" w:themeColor="text1"/>
        </w:rPr>
        <w:t>, ka</w:t>
      </w:r>
      <w:r w:rsidR="00BE341C">
        <w:rPr>
          <w:rFonts w:asciiTheme="minorHAnsi" w:hAnsiTheme="minorHAnsi" w:cstheme="minorHAnsi"/>
          <w:color w:val="000000" w:themeColor="text1"/>
        </w:rPr>
        <w:t>në</w:t>
      </w:r>
      <w:r w:rsidRPr="00FF0225">
        <w:rPr>
          <w:rFonts w:asciiTheme="minorHAnsi" w:hAnsiTheme="minorHAnsi" w:cstheme="minorHAnsi"/>
          <w:color w:val="000000" w:themeColor="text1"/>
        </w:rPr>
        <w:t xml:space="preserve"> dhënë efektin kryesor negativ me </w:t>
      </w:r>
      <w:r w:rsidR="00BE341C">
        <w:rPr>
          <w:rFonts w:asciiTheme="minorHAnsi" w:hAnsiTheme="minorHAnsi" w:cstheme="minorHAnsi"/>
          <w:color w:val="000000" w:themeColor="text1"/>
        </w:rPr>
        <w:t xml:space="preserve">               minus </w:t>
      </w:r>
      <w:r w:rsidRPr="00FF0225">
        <w:rPr>
          <w:rFonts w:asciiTheme="minorHAnsi" w:hAnsiTheme="minorHAnsi" w:cstheme="minorHAnsi"/>
          <w:color w:val="000000" w:themeColor="text1"/>
        </w:rPr>
        <w:t>0.8 miliardë lekë</w:t>
      </w:r>
      <w:r w:rsidRPr="00FF0225">
        <w:rPr>
          <w:rFonts w:asciiTheme="minorHAnsi" w:hAnsiTheme="minorHAnsi"/>
          <w:iCs/>
          <w:color w:val="000000" w:themeColor="text1"/>
          <w:lang w:val="sq-AL"/>
        </w:rPr>
        <w:t>.</w:t>
      </w:r>
    </w:p>
    <w:p w:rsidR="0034657E" w:rsidRPr="00B11317" w:rsidRDefault="0034657E" w:rsidP="00900B3D">
      <w:pPr>
        <w:tabs>
          <w:tab w:val="left" w:pos="2511"/>
          <w:tab w:val="center" w:pos="4680"/>
        </w:tabs>
        <w:spacing w:line="276" w:lineRule="auto"/>
        <w:jc w:val="both"/>
        <w:rPr>
          <w:rFonts w:asciiTheme="minorHAnsi" w:hAnsiTheme="minorHAnsi"/>
          <w:color w:val="000000" w:themeColor="text1"/>
          <w:sz w:val="4"/>
          <w:lang w:val="sq-AL"/>
        </w:rPr>
      </w:pPr>
    </w:p>
    <w:p w:rsidR="0034657E" w:rsidRPr="00900B3D" w:rsidRDefault="0034657E" w:rsidP="0034657E">
      <w:pPr>
        <w:pStyle w:val="Caption"/>
        <w:keepNext/>
        <w:spacing w:after="0"/>
        <w:jc w:val="both"/>
        <w:rPr>
          <w:rFonts w:asciiTheme="minorHAnsi" w:hAnsiTheme="minorHAnsi"/>
          <w:b w:val="0"/>
          <w:bCs w:val="0"/>
          <w:i/>
          <w:color w:val="auto"/>
          <w:sz w:val="22"/>
          <w:szCs w:val="24"/>
          <w:lang w:val="sq-AL"/>
        </w:rPr>
      </w:pPr>
      <w:bookmarkStart w:id="19" w:name="_Toc12449191"/>
      <w:bookmarkStart w:id="20" w:name="_Toc76470056"/>
      <w:r w:rsidRPr="00900B3D">
        <w:rPr>
          <w:rFonts w:asciiTheme="minorHAnsi" w:hAnsiTheme="minorHAnsi"/>
          <w:b w:val="0"/>
          <w:bCs w:val="0"/>
          <w:i/>
          <w:color w:val="auto"/>
          <w:sz w:val="22"/>
          <w:szCs w:val="24"/>
          <w:lang w:val="sq-AL"/>
        </w:rPr>
        <w:t xml:space="preserve">Tabela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Tabela \* ARABIC </w:instrText>
      </w:r>
      <w:r w:rsidRPr="00900B3D">
        <w:rPr>
          <w:rFonts w:asciiTheme="minorHAnsi" w:hAnsiTheme="minorHAnsi"/>
          <w:b w:val="0"/>
          <w:bCs w:val="0"/>
          <w:i/>
          <w:color w:val="auto"/>
          <w:sz w:val="22"/>
          <w:szCs w:val="24"/>
          <w:lang w:val="sq-AL"/>
        </w:rPr>
        <w:fldChar w:fldCharType="separate"/>
      </w:r>
      <w:r w:rsidR="003C5F40">
        <w:rPr>
          <w:rFonts w:asciiTheme="minorHAnsi" w:hAnsiTheme="minorHAnsi"/>
          <w:b w:val="0"/>
          <w:bCs w:val="0"/>
          <w:i/>
          <w:noProof/>
          <w:color w:val="auto"/>
          <w:sz w:val="22"/>
          <w:szCs w:val="24"/>
          <w:lang w:val="sq-AL"/>
        </w:rPr>
        <w:t>2</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pozitivë në të ardhurat nga TVSH/Diferencat Janar-Maj 2021/20</w:t>
      </w:r>
      <w:bookmarkEnd w:id="19"/>
      <w:r w:rsidRPr="00900B3D">
        <w:rPr>
          <w:rFonts w:asciiTheme="minorHAnsi" w:hAnsiTheme="minorHAnsi"/>
          <w:b w:val="0"/>
          <w:bCs w:val="0"/>
          <w:i/>
          <w:color w:val="auto"/>
          <w:sz w:val="22"/>
          <w:szCs w:val="24"/>
          <w:lang w:val="sq-AL"/>
        </w:rPr>
        <w:t>20</w:t>
      </w:r>
      <w:bookmarkEnd w:id="20"/>
    </w:p>
    <w:tbl>
      <w:tblPr>
        <w:tblStyle w:val="ListTable3-Accent52"/>
        <w:tblW w:w="9404" w:type="dxa"/>
        <w:jc w:val="center"/>
        <w:tblLook w:val="04A0" w:firstRow="1" w:lastRow="0" w:firstColumn="1" w:lastColumn="0" w:noHBand="0" w:noVBand="1"/>
      </w:tblPr>
      <w:tblGrid>
        <w:gridCol w:w="3880"/>
        <w:gridCol w:w="1154"/>
        <w:gridCol w:w="1188"/>
        <w:gridCol w:w="753"/>
        <w:gridCol w:w="1676"/>
        <w:gridCol w:w="753"/>
      </w:tblGrid>
      <w:tr w:rsidR="0034657E" w:rsidRPr="004E355C" w:rsidTr="00900B3D">
        <w:trPr>
          <w:cnfStyle w:val="100000000000" w:firstRow="1" w:lastRow="0" w:firstColumn="0" w:lastColumn="0" w:oddVBand="0" w:evenVBand="0" w:oddHBand="0" w:evenHBand="0" w:firstRowFirstColumn="0" w:firstRowLastColumn="0" w:lastRowFirstColumn="0" w:lastRowLastColumn="0"/>
          <w:trHeight w:val="359"/>
          <w:jc w:val="center"/>
        </w:trPr>
        <w:tc>
          <w:tcPr>
            <w:cnfStyle w:val="001000000100" w:firstRow="0" w:lastRow="0" w:firstColumn="1" w:lastColumn="0" w:oddVBand="0" w:evenVBand="0" w:oddHBand="0" w:evenHBand="0" w:firstRowFirstColumn="1" w:firstRowLastColumn="0" w:lastRowFirstColumn="0" w:lastRowLastColumn="0"/>
            <w:tcW w:w="9404" w:type="dxa"/>
            <w:gridSpan w:val="6"/>
            <w:hideMark/>
          </w:tcPr>
          <w:p w:rsidR="0034657E" w:rsidRPr="004E355C" w:rsidRDefault="0034657E" w:rsidP="00900B3D">
            <w:pPr>
              <w:jc w:val="center"/>
              <w:rPr>
                <w:rFonts w:asciiTheme="minorHAnsi" w:hAnsiTheme="minorHAnsi" w:cstheme="minorHAnsi"/>
                <w:color w:val="auto"/>
                <w:sz w:val="18"/>
                <w:szCs w:val="18"/>
              </w:rPr>
            </w:pPr>
            <w:r w:rsidRPr="004E355C">
              <w:rPr>
                <w:rFonts w:asciiTheme="minorHAnsi" w:hAnsiTheme="minorHAnsi" w:cstheme="minorHAnsi"/>
                <w:color w:val="auto"/>
                <w:sz w:val="20"/>
                <w:szCs w:val="18"/>
              </w:rPr>
              <w:t>Produktet me kontribut pozitiv</w:t>
            </w:r>
          </w:p>
        </w:tc>
      </w:tr>
      <w:tr w:rsidR="0034657E" w:rsidRPr="004E355C" w:rsidTr="00900B3D">
        <w:trPr>
          <w:cnfStyle w:val="000000100000" w:firstRow="0" w:lastRow="0" w:firstColumn="0" w:lastColumn="0" w:oddVBand="0" w:evenVBand="0" w:oddHBand="1" w:evenHBand="0" w:firstRowFirstColumn="0" w:firstRowLastColumn="0" w:lastRowFirstColumn="0" w:lastRowLastColumn="0"/>
          <w:trHeight w:val="323"/>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34657E" w:rsidRPr="004E355C" w:rsidRDefault="0034657E" w:rsidP="00900B3D">
            <w:pPr>
              <w:rPr>
                <w:rFonts w:asciiTheme="minorHAnsi" w:hAnsiTheme="minorHAnsi" w:cstheme="minorHAnsi"/>
                <w:b w:val="0"/>
                <w:bCs w:val="0"/>
                <w:sz w:val="18"/>
                <w:szCs w:val="18"/>
              </w:rPr>
            </w:pPr>
            <w:r w:rsidRPr="004E355C">
              <w:rPr>
                <w:rFonts w:asciiTheme="minorHAnsi" w:hAnsiTheme="minorHAnsi" w:cstheme="minorHAnsi"/>
                <w:sz w:val="18"/>
                <w:szCs w:val="18"/>
              </w:rPr>
              <w:t> </w:t>
            </w:r>
          </w:p>
        </w:tc>
        <w:tc>
          <w:tcPr>
            <w:tcW w:w="1154" w:type="dxa"/>
            <w:hideMark/>
          </w:tcPr>
          <w:p w:rsidR="0034657E" w:rsidRPr="004E355C" w:rsidRDefault="0034657E" w:rsidP="00900B3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Njësia</w:t>
            </w:r>
          </w:p>
        </w:tc>
        <w:tc>
          <w:tcPr>
            <w:tcW w:w="1188" w:type="dxa"/>
            <w:hideMark/>
          </w:tcPr>
          <w:p w:rsidR="0034657E" w:rsidRPr="004E355C" w:rsidRDefault="0034657E" w:rsidP="00900B3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Sasi</w:t>
            </w:r>
          </w:p>
        </w:tc>
        <w:tc>
          <w:tcPr>
            <w:tcW w:w="753" w:type="dxa"/>
            <w:hideMark/>
          </w:tcPr>
          <w:p w:rsidR="0034657E" w:rsidRPr="004E355C" w:rsidRDefault="0034657E" w:rsidP="00900B3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w:t>
            </w:r>
          </w:p>
        </w:tc>
        <w:tc>
          <w:tcPr>
            <w:tcW w:w="1676" w:type="dxa"/>
            <w:hideMark/>
          </w:tcPr>
          <w:p w:rsidR="0034657E" w:rsidRPr="004E355C" w:rsidRDefault="0034657E" w:rsidP="00900B3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TVSH/milionë lekë</w:t>
            </w:r>
          </w:p>
        </w:tc>
        <w:tc>
          <w:tcPr>
            <w:tcW w:w="753" w:type="dxa"/>
            <w:hideMark/>
          </w:tcPr>
          <w:p w:rsidR="0034657E" w:rsidRPr="004E355C" w:rsidRDefault="0034657E" w:rsidP="00900B3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w:t>
            </w:r>
          </w:p>
        </w:tc>
      </w:tr>
      <w:tr w:rsidR="0034657E" w:rsidRPr="004E355C" w:rsidTr="00900B3D">
        <w:trPr>
          <w:trHeight w:val="151"/>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34657E" w:rsidRPr="004E355C" w:rsidRDefault="0034657E" w:rsidP="00900B3D">
            <w:pPr>
              <w:pStyle w:val="NormalWeb"/>
              <w:spacing w:before="0" w:beforeAutospacing="0" w:after="0" w:afterAutospacing="0"/>
              <w:textAlignment w:val="bottom"/>
              <w:rPr>
                <w:rFonts w:asciiTheme="minorHAnsi" w:hAnsiTheme="minorHAnsi" w:cstheme="minorHAnsi"/>
                <w:b w:val="0"/>
                <w:sz w:val="18"/>
                <w:szCs w:val="18"/>
              </w:rPr>
            </w:pPr>
            <w:r>
              <w:rPr>
                <w:rFonts w:asciiTheme="minorHAnsi" w:hAnsiTheme="minorHAnsi" w:cstheme="minorHAnsi"/>
                <w:b w:val="0"/>
                <w:sz w:val="18"/>
                <w:szCs w:val="18"/>
              </w:rPr>
              <w:t>Automjete të përdorura</w:t>
            </w:r>
          </w:p>
        </w:tc>
        <w:tc>
          <w:tcPr>
            <w:tcW w:w="1154"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i/>
                <w:iCs/>
                <w:kern w:val="24"/>
                <w:sz w:val="18"/>
                <w:szCs w:val="18"/>
              </w:rPr>
              <w:t>cope</w:t>
            </w:r>
          </w:p>
        </w:tc>
        <w:tc>
          <w:tcPr>
            <w:tcW w:w="1188"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7,862</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39.3</w:t>
            </w:r>
            <w:r w:rsidRPr="004E355C">
              <w:rPr>
                <w:rFonts w:asciiTheme="minorHAnsi" w:hAnsiTheme="minorHAnsi" w:cstheme="minorHAnsi"/>
                <w:kern w:val="24"/>
                <w:sz w:val="18"/>
                <w:szCs w:val="18"/>
              </w:rPr>
              <w:t>%</w:t>
            </w:r>
          </w:p>
        </w:tc>
        <w:tc>
          <w:tcPr>
            <w:tcW w:w="1676" w:type="dxa"/>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1,368</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83.7</w:t>
            </w:r>
            <w:r w:rsidRPr="004E355C">
              <w:rPr>
                <w:rFonts w:asciiTheme="minorHAnsi" w:hAnsiTheme="minorHAnsi" w:cstheme="minorHAnsi"/>
                <w:kern w:val="24"/>
                <w:sz w:val="18"/>
                <w:szCs w:val="18"/>
              </w:rPr>
              <w:t>%</w:t>
            </w:r>
          </w:p>
        </w:tc>
      </w:tr>
      <w:tr w:rsidR="0034657E" w:rsidRPr="004E355C" w:rsidTr="00900B3D">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34657E" w:rsidRPr="004E355C" w:rsidRDefault="0034657E" w:rsidP="00900B3D">
            <w:pPr>
              <w:pStyle w:val="NormalWeb"/>
              <w:spacing w:before="0" w:beforeAutospacing="0" w:after="0" w:afterAutospacing="0"/>
              <w:textAlignment w:val="bottom"/>
              <w:rPr>
                <w:rFonts w:asciiTheme="minorHAnsi" w:hAnsiTheme="minorHAnsi" w:cstheme="minorHAnsi"/>
                <w:b w:val="0"/>
                <w:sz w:val="18"/>
                <w:szCs w:val="18"/>
              </w:rPr>
            </w:pPr>
            <w:r>
              <w:rPr>
                <w:rFonts w:asciiTheme="minorHAnsi" w:hAnsiTheme="minorHAnsi" w:cstheme="minorHAnsi"/>
                <w:b w:val="0"/>
                <w:sz w:val="18"/>
                <w:szCs w:val="18"/>
              </w:rPr>
              <w:t>Karburant Import</w:t>
            </w:r>
          </w:p>
        </w:tc>
        <w:tc>
          <w:tcPr>
            <w:tcW w:w="1154"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38,389</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16.8</w:t>
            </w:r>
            <w:r w:rsidRPr="004E355C">
              <w:rPr>
                <w:rFonts w:asciiTheme="minorHAnsi" w:hAnsiTheme="minorHAnsi" w:cstheme="minorHAnsi"/>
                <w:kern w:val="24"/>
                <w:sz w:val="18"/>
                <w:szCs w:val="18"/>
              </w:rPr>
              <w:t>%</w:t>
            </w:r>
          </w:p>
        </w:tc>
        <w:tc>
          <w:tcPr>
            <w:tcW w:w="1676" w:type="dxa"/>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1,215</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23.9</w:t>
            </w:r>
            <w:r w:rsidRPr="004E355C">
              <w:rPr>
                <w:rFonts w:asciiTheme="minorHAnsi" w:hAnsiTheme="minorHAnsi" w:cstheme="minorHAnsi"/>
                <w:kern w:val="24"/>
                <w:sz w:val="18"/>
                <w:szCs w:val="18"/>
              </w:rPr>
              <w:t>%</w:t>
            </w:r>
          </w:p>
        </w:tc>
      </w:tr>
      <w:tr w:rsidR="0034657E" w:rsidRPr="004E355C" w:rsidTr="00900B3D">
        <w:trPr>
          <w:trHeight w:val="187"/>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34657E" w:rsidRPr="004E355C" w:rsidRDefault="0034657E" w:rsidP="00900B3D">
            <w:pPr>
              <w:pStyle w:val="NormalWeb"/>
              <w:spacing w:before="0" w:beforeAutospacing="0" w:after="0" w:afterAutospacing="0"/>
              <w:textAlignment w:val="bottom"/>
              <w:rPr>
                <w:rFonts w:asciiTheme="minorHAnsi" w:hAnsiTheme="minorHAnsi" w:cstheme="minorHAnsi"/>
                <w:b w:val="0"/>
                <w:sz w:val="18"/>
                <w:szCs w:val="18"/>
              </w:rPr>
            </w:pPr>
            <w:r>
              <w:rPr>
                <w:rFonts w:asciiTheme="minorHAnsi" w:hAnsiTheme="minorHAnsi" w:cstheme="minorHAnsi"/>
                <w:b w:val="0"/>
                <w:sz w:val="18"/>
                <w:szCs w:val="18"/>
              </w:rPr>
              <w:t>Metalet bazë dhe artikujt prej tyre</w:t>
            </w:r>
          </w:p>
        </w:tc>
        <w:tc>
          <w:tcPr>
            <w:tcW w:w="1154"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21,380</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10.4</w:t>
            </w:r>
            <w:r w:rsidRPr="004E355C">
              <w:rPr>
                <w:rFonts w:asciiTheme="minorHAnsi" w:hAnsiTheme="minorHAnsi" w:cstheme="minorHAnsi"/>
                <w:kern w:val="24"/>
                <w:sz w:val="18"/>
                <w:szCs w:val="18"/>
              </w:rPr>
              <w:t>%</w:t>
            </w:r>
          </w:p>
        </w:tc>
        <w:tc>
          <w:tcPr>
            <w:tcW w:w="1676" w:type="dxa"/>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1,178</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42.1</w:t>
            </w:r>
            <w:r w:rsidRPr="004E355C">
              <w:rPr>
                <w:rFonts w:asciiTheme="minorHAnsi" w:hAnsiTheme="minorHAnsi" w:cstheme="minorHAnsi"/>
                <w:kern w:val="24"/>
                <w:sz w:val="18"/>
                <w:szCs w:val="18"/>
              </w:rPr>
              <w:t>%</w:t>
            </w:r>
          </w:p>
        </w:tc>
      </w:tr>
      <w:tr w:rsidR="0034657E" w:rsidRPr="004E355C" w:rsidTr="00900B3D">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34657E" w:rsidRPr="004E355C" w:rsidRDefault="0034657E" w:rsidP="00900B3D">
            <w:pPr>
              <w:pStyle w:val="NormalWeb"/>
              <w:spacing w:before="0" w:beforeAutospacing="0" w:after="0" w:afterAutospacing="0"/>
              <w:textAlignment w:val="bottom"/>
              <w:rPr>
                <w:rFonts w:asciiTheme="minorHAnsi" w:hAnsiTheme="minorHAnsi" w:cstheme="minorHAnsi"/>
                <w:b w:val="0"/>
                <w:sz w:val="18"/>
                <w:szCs w:val="18"/>
              </w:rPr>
            </w:pPr>
            <w:r>
              <w:rPr>
                <w:rFonts w:asciiTheme="minorHAnsi" w:hAnsiTheme="minorHAnsi" w:cstheme="minorHAnsi"/>
                <w:b w:val="0"/>
                <w:sz w:val="18"/>
                <w:szCs w:val="18"/>
              </w:rPr>
              <w:t>Veshje,Tekstile</w:t>
            </w:r>
          </w:p>
        </w:tc>
        <w:tc>
          <w:tcPr>
            <w:tcW w:w="1154"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3,446</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33.9</w:t>
            </w:r>
            <w:r w:rsidRPr="004E355C">
              <w:rPr>
                <w:rFonts w:asciiTheme="minorHAnsi" w:hAnsiTheme="minorHAnsi" w:cstheme="minorHAnsi"/>
                <w:kern w:val="24"/>
                <w:sz w:val="18"/>
                <w:szCs w:val="18"/>
              </w:rPr>
              <w:t>%</w:t>
            </w:r>
          </w:p>
        </w:tc>
        <w:tc>
          <w:tcPr>
            <w:tcW w:w="1676" w:type="dxa"/>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596</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51.7</w:t>
            </w:r>
            <w:r w:rsidRPr="004E355C">
              <w:rPr>
                <w:rFonts w:asciiTheme="minorHAnsi" w:hAnsiTheme="minorHAnsi" w:cstheme="minorHAnsi"/>
                <w:kern w:val="24"/>
                <w:sz w:val="18"/>
                <w:szCs w:val="18"/>
              </w:rPr>
              <w:t>%</w:t>
            </w:r>
          </w:p>
        </w:tc>
      </w:tr>
      <w:tr w:rsidR="0034657E" w:rsidRPr="004E355C" w:rsidTr="00900B3D">
        <w:trPr>
          <w:trHeight w:val="224"/>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34657E" w:rsidRPr="004E355C" w:rsidRDefault="0034657E" w:rsidP="00900B3D">
            <w:pPr>
              <w:pStyle w:val="NormalWeb"/>
              <w:spacing w:before="0" w:beforeAutospacing="0" w:after="0" w:afterAutospacing="0"/>
              <w:textAlignment w:val="bottom"/>
              <w:rPr>
                <w:rFonts w:asciiTheme="minorHAnsi" w:hAnsiTheme="minorHAnsi" w:cstheme="minorHAnsi"/>
                <w:b w:val="0"/>
                <w:sz w:val="18"/>
                <w:szCs w:val="18"/>
              </w:rPr>
            </w:pPr>
            <w:r>
              <w:rPr>
                <w:rFonts w:asciiTheme="minorHAnsi" w:hAnsiTheme="minorHAnsi" w:cstheme="minorHAnsi"/>
                <w:b w:val="0"/>
                <w:sz w:val="18"/>
                <w:szCs w:val="18"/>
              </w:rPr>
              <w:t>Materiale të ndërtimit</w:t>
            </w:r>
          </w:p>
        </w:tc>
        <w:tc>
          <w:tcPr>
            <w:tcW w:w="1154"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70,438</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19.1</w:t>
            </w:r>
            <w:r w:rsidRPr="004E355C">
              <w:rPr>
                <w:rFonts w:asciiTheme="minorHAnsi" w:hAnsiTheme="minorHAnsi" w:cstheme="minorHAnsi"/>
                <w:kern w:val="24"/>
                <w:sz w:val="18"/>
                <w:szCs w:val="18"/>
              </w:rPr>
              <w:t>%</w:t>
            </w:r>
          </w:p>
        </w:tc>
        <w:tc>
          <w:tcPr>
            <w:tcW w:w="1676" w:type="dxa"/>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398</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kern w:val="24"/>
                <w:sz w:val="18"/>
                <w:szCs w:val="18"/>
              </w:rPr>
              <w:t>40.3</w:t>
            </w:r>
            <w:r w:rsidRPr="004E355C">
              <w:rPr>
                <w:rFonts w:asciiTheme="minorHAnsi" w:hAnsiTheme="minorHAnsi" w:cstheme="minorHAnsi"/>
                <w:kern w:val="24"/>
                <w:sz w:val="18"/>
                <w:szCs w:val="18"/>
              </w:rPr>
              <w:t>%</w:t>
            </w:r>
          </w:p>
        </w:tc>
      </w:tr>
      <w:tr w:rsidR="0034657E" w:rsidRPr="004E355C" w:rsidTr="00900B3D">
        <w:trPr>
          <w:cnfStyle w:val="000000100000" w:firstRow="0" w:lastRow="0" w:firstColumn="0" w:lastColumn="0" w:oddVBand="0" w:evenVBand="0" w:oddHBand="1" w:evenHBand="0" w:firstRowFirstColumn="0" w:firstRowLastColumn="0" w:lastRowFirstColumn="0" w:lastRowLastColumn="0"/>
          <w:trHeight w:val="142"/>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34657E" w:rsidRPr="004E355C" w:rsidRDefault="0034657E" w:rsidP="00900B3D">
            <w:pPr>
              <w:pStyle w:val="NormalWeb"/>
              <w:spacing w:before="0" w:beforeAutospacing="0" w:after="0" w:afterAutospacing="0"/>
              <w:textAlignment w:val="bottom"/>
              <w:rPr>
                <w:rFonts w:asciiTheme="minorHAnsi" w:hAnsiTheme="minorHAnsi" w:cstheme="minorHAnsi"/>
                <w:b w:val="0"/>
                <w:sz w:val="18"/>
                <w:szCs w:val="18"/>
              </w:rPr>
            </w:pPr>
            <w:r w:rsidRPr="004E355C">
              <w:rPr>
                <w:rFonts w:asciiTheme="minorHAnsi" w:hAnsiTheme="minorHAnsi" w:cstheme="minorHAnsi"/>
                <w:kern w:val="24"/>
                <w:sz w:val="18"/>
                <w:szCs w:val="18"/>
              </w:rPr>
              <w:t>Efekti</w:t>
            </w:r>
          </w:p>
        </w:tc>
        <w:tc>
          <w:tcPr>
            <w:tcW w:w="1154"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b/>
                <w:bCs/>
                <w:i/>
                <w:iCs/>
                <w:kern w:val="24"/>
                <w:sz w:val="18"/>
                <w:szCs w:val="18"/>
              </w:rPr>
              <w:t> </w:t>
            </w:r>
          </w:p>
        </w:tc>
        <w:tc>
          <w:tcPr>
            <w:tcW w:w="1188"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 </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 </w:t>
            </w:r>
          </w:p>
        </w:tc>
        <w:tc>
          <w:tcPr>
            <w:tcW w:w="1676"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b/>
                <w:bCs/>
                <w:kern w:val="24"/>
                <w:sz w:val="18"/>
                <w:szCs w:val="18"/>
              </w:rPr>
              <w:t>4,754</w:t>
            </w:r>
          </w:p>
        </w:tc>
        <w:tc>
          <w:tcPr>
            <w:tcW w:w="753" w:type="dxa"/>
            <w:hideMark/>
          </w:tcPr>
          <w:p w:rsidR="0034657E" w:rsidRPr="004E355C" w:rsidRDefault="0034657E" w:rsidP="00900B3D">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 </w:t>
            </w:r>
          </w:p>
        </w:tc>
      </w:tr>
    </w:tbl>
    <w:p w:rsidR="0034657E" w:rsidRDefault="0034657E" w:rsidP="0034657E">
      <w:pPr>
        <w:spacing w:line="276" w:lineRule="auto"/>
        <w:jc w:val="both"/>
        <w:rPr>
          <w:rFonts w:asciiTheme="minorHAnsi" w:hAnsiTheme="minorHAnsi"/>
          <w:sz w:val="20"/>
          <w:szCs w:val="20"/>
          <w:lang w:val="sq-AL"/>
        </w:rPr>
      </w:pPr>
      <w:r>
        <w:rPr>
          <w:rFonts w:asciiTheme="minorHAnsi" w:hAnsiTheme="minorHAnsi"/>
          <w:sz w:val="20"/>
          <w:szCs w:val="20"/>
          <w:lang w:val="sq-AL"/>
        </w:rPr>
        <w:t xml:space="preserve">  </w:t>
      </w:r>
      <w:r w:rsidRPr="004E355C">
        <w:rPr>
          <w:rFonts w:asciiTheme="minorHAnsi" w:hAnsiTheme="minorHAnsi"/>
          <w:sz w:val="20"/>
          <w:szCs w:val="20"/>
          <w:lang w:val="sq-AL"/>
        </w:rPr>
        <w:t>Burimi: Ministria e Financave dhe Ekonomisë (20</w:t>
      </w:r>
      <w:r>
        <w:rPr>
          <w:rFonts w:asciiTheme="minorHAnsi" w:hAnsiTheme="minorHAnsi"/>
          <w:sz w:val="20"/>
          <w:szCs w:val="20"/>
          <w:lang w:val="sq-AL"/>
        </w:rPr>
        <w:t>21</w:t>
      </w:r>
      <w:r w:rsidRPr="004E355C">
        <w:rPr>
          <w:rFonts w:asciiTheme="minorHAnsi" w:hAnsiTheme="minorHAnsi"/>
          <w:sz w:val="20"/>
          <w:szCs w:val="20"/>
          <w:lang w:val="sq-AL"/>
        </w:rPr>
        <w:t>)</w:t>
      </w:r>
    </w:p>
    <w:p w:rsidR="0034657E" w:rsidRPr="00B11317" w:rsidRDefault="0034657E" w:rsidP="0034657E">
      <w:pPr>
        <w:spacing w:line="276" w:lineRule="auto"/>
        <w:jc w:val="both"/>
        <w:rPr>
          <w:rFonts w:asciiTheme="minorHAnsi" w:hAnsiTheme="minorHAnsi"/>
          <w:sz w:val="8"/>
          <w:szCs w:val="20"/>
          <w:lang w:val="sq-AL"/>
        </w:rPr>
      </w:pPr>
    </w:p>
    <w:p w:rsidR="0034657E" w:rsidRPr="002326C7" w:rsidRDefault="0034657E" w:rsidP="0034657E">
      <w:pPr>
        <w:spacing w:line="276" w:lineRule="auto"/>
        <w:ind w:firstLine="720"/>
        <w:jc w:val="both"/>
        <w:rPr>
          <w:rFonts w:asciiTheme="minorHAnsi" w:hAnsiTheme="minorHAnsi"/>
          <w:sz w:val="8"/>
          <w:szCs w:val="8"/>
          <w:lang w:val="sq-AL"/>
        </w:rPr>
      </w:pPr>
    </w:p>
    <w:p w:rsidR="0034657E" w:rsidRPr="00900B3D" w:rsidRDefault="0034657E" w:rsidP="0034657E">
      <w:pPr>
        <w:pStyle w:val="Caption"/>
        <w:keepNext/>
        <w:spacing w:after="0"/>
        <w:jc w:val="both"/>
        <w:rPr>
          <w:rFonts w:asciiTheme="minorHAnsi" w:hAnsiTheme="minorHAnsi"/>
          <w:b w:val="0"/>
          <w:bCs w:val="0"/>
          <w:i/>
          <w:color w:val="auto"/>
          <w:sz w:val="22"/>
          <w:szCs w:val="24"/>
          <w:lang w:val="sq-AL"/>
        </w:rPr>
      </w:pPr>
      <w:bookmarkStart w:id="21" w:name="_Toc12449192"/>
      <w:bookmarkStart w:id="22" w:name="_Toc76470057"/>
      <w:r w:rsidRPr="00900B3D">
        <w:rPr>
          <w:rFonts w:asciiTheme="minorHAnsi" w:hAnsiTheme="minorHAnsi"/>
          <w:b w:val="0"/>
          <w:bCs w:val="0"/>
          <w:i/>
          <w:color w:val="auto"/>
          <w:sz w:val="22"/>
          <w:szCs w:val="24"/>
          <w:lang w:val="sq-AL"/>
        </w:rPr>
        <w:t xml:space="preserve">Tabela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Tabela \* ARABIC </w:instrText>
      </w:r>
      <w:r w:rsidRPr="00900B3D">
        <w:rPr>
          <w:rFonts w:asciiTheme="minorHAnsi" w:hAnsiTheme="minorHAnsi"/>
          <w:b w:val="0"/>
          <w:bCs w:val="0"/>
          <w:i/>
          <w:color w:val="auto"/>
          <w:sz w:val="22"/>
          <w:szCs w:val="24"/>
          <w:lang w:val="sq-AL"/>
        </w:rPr>
        <w:fldChar w:fldCharType="separate"/>
      </w:r>
      <w:r w:rsidR="003C5F40">
        <w:rPr>
          <w:rFonts w:asciiTheme="minorHAnsi" w:hAnsiTheme="minorHAnsi"/>
          <w:b w:val="0"/>
          <w:bCs w:val="0"/>
          <w:i/>
          <w:noProof/>
          <w:color w:val="auto"/>
          <w:sz w:val="22"/>
          <w:szCs w:val="24"/>
          <w:lang w:val="sq-AL"/>
        </w:rPr>
        <w:t>3</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negativë në të ardhurat nga TVSH/ Diferencat Janar-Maj 2021/20</w:t>
      </w:r>
      <w:bookmarkEnd w:id="21"/>
      <w:r w:rsidRPr="00900B3D">
        <w:rPr>
          <w:rFonts w:asciiTheme="minorHAnsi" w:hAnsiTheme="minorHAnsi"/>
          <w:b w:val="0"/>
          <w:bCs w:val="0"/>
          <w:i/>
          <w:color w:val="auto"/>
          <w:sz w:val="22"/>
          <w:szCs w:val="24"/>
          <w:lang w:val="sq-AL"/>
        </w:rPr>
        <w:t>20</w:t>
      </w:r>
      <w:bookmarkEnd w:id="22"/>
    </w:p>
    <w:tbl>
      <w:tblPr>
        <w:tblStyle w:val="ListTable3-Accent52"/>
        <w:tblW w:w="9515" w:type="dxa"/>
        <w:jc w:val="center"/>
        <w:tblLayout w:type="fixed"/>
        <w:tblLook w:val="04A0" w:firstRow="1" w:lastRow="0" w:firstColumn="1" w:lastColumn="0" w:noHBand="0" w:noVBand="1"/>
      </w:tblPr>
      <w:tblGrid>
        <w:gridCol w:w="4109"/>
        <w:gridCol w:w="1110"/>
        <w:gridCol w:w="951"/>
        <w:gridCol w:w="740"/>
        <w:gridCol w:w="1674"/>
        <w:gridCol w:w="931"/>
      </w:tblGrid>
      <w:tr w:rsidR="0034657E" w:rsidRPr="004E355C" w:rsidTr="00900B3D">
        <w:trPr>
          <w:cnfStyle w:val="100000000000" w:firstRow="1" w:lastRow="0" w:firstColumn="0" w:lastColumn="0" w:oddVBand="0" w:evenVBand="0" w:oddHBand="0" w:evenHBand="0" w:firstRowFirstColumn="0" w:firstRowLastColumn="0" w:lastRowFirstColumn="0" w:lastRowLastColumn="0"/>
          <w:trHeight w:val="387"/>
          <w:jc w:val="center"/>
        </w:trPr>
        <w:tc>
          <w:tcPr>
            <w:cnfStyle w:val="001000000100" w:firstRow="0" w:lastRow="0" w:firstColumn="1" w:lastColumn="0" w:oddVBand="0" w:evenVBand="0" w:oddHBand="0" w:evenHBand="0" w:firstRowFirstColumn="1" w:firstRowLastColumn="0" w:lastRowFirstColumn="0" w:lastRowLastColumn="0"/>
            <w:tcW w:w="9515" w:type="dxa"/>
            <w:gridSpan w:val="6"/>
            <w:hideMark/>
          </w:tcPr>
          <w:p w:rsidR="0034657E" w:rsidRPr="004E355C" w:rsidRDefault="0034657E" w:rsidP="00900B3D">
            <w:pPr>
              <w:jc w:val="center"/>
              <w:rPr>
                <w:rFonts w:asciiTheme="minorHAnsi" w:hAnsiTheme="minorHAnsi" w:cstheme="minorHAnsi"/>
                <w:b w:val="0"/>
                <w:color w:val="auto"/>
                <w:sz w:val="18"/>
                <w:szCs w:val="18"/>
              </w:rPr>
            </w:pPr>
            <w:r w:rsidRPr="004E355C">
              <w:rPr>
                <w:rFonts w:asciiTheme="minorHAnsi" w:hAnsiTheme="minorHAnsi" w:cstheme="minorHAnsi"/>
                <w:color w:val="auto"/>
                <w:sz w:val="20"/>
                <w:szCs w:val="18"/>
              </w:rPr>
              <w:t>Produktet me kontribut negativ</w:t>
            </w:r>
          </w:p>
        </w:tc>
      </w:tr>
      <w:tr w:rsidR="0034657E" w:rsidRPr="004E355C" w:rsidTr="00900B3D">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4109" w:type="dxa"/>
            <w:hideMark/>
          </w:tcPr>
          <w:p w:rsidR="0034657E" w:rsidRPr="004E355C" w:rsidRDefault="0034657E" w:rsidP="00900B3D">
            <w:pPr>
              <w:rPr>
                <w:rFonts w:asciiTheme="minorHAnsi" w:hAnsiTheme="minorHAnsi" w:cstheme="minorHAnsi"/>
                <w:b w:val="0"/>
                <w:bCs w:val="0"/>
                <w:sz w:val="18"/>
                <w:szCs w:val="18"/>
              </w:rPr>
            </w:pPr>
            <w:r w:rsidRPr="004E355C">
              <w:rPr>
                <w:rFonts w:asciiTheme="minorHAnsi" w:hAnsiTheme="minorHAnsi" w:cstheme="minorHAnsi"/>
                <w:sz w:val="18"/>
                <w:szCs w:val="18"/>
              </w:rPr>
              <w:t> </w:t>
            </w:r>
          </w:p>
        </w:tc>
        <w:tc>
          <w:tcPr>
            <w:tcW w:w="1110" w:type="dxa"/>
            <w:hideMark/>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Njësia</w:t>
            </w:r>
          </w:p>
        </w:tc>
        <w:tc>
          <w:tcPr>
            <w:tcW w:w="951" w:type="dxa"/>
            <w:hideMark/>
          </w:tcPr>
          <w:p w:rsidR="0034657E" w:rsidRPr="004E355C" w:rsidRDefault="0034657E" w:rsidP="00900B3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Sasi</w:t>
            </w:r>
          </w:p>
        </w:tc>
        <w:tc>
          <w:tcPr>
            <w:tcW w:w="740" w:type="dxa"/>
            <w:hideMark/>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Pr>
                <w:rFonts w:asciiTheme="minorHAnsi" w:hAnsiTheme="minorHAnsi" w:cstheme="minorHAnsi"/>
                <w:b/>
                <w:bCs/>
                <w:sz w:val="18"/>
                <w:szCs w:val="18"/>
              </w:rPr>
              <w:t xml:space="preserve">    </w:t>
            </w:r>
            <w:r w:rsidRPr="004E355C">
              <w:rPr>
                <w:rFonts w:asciiTheme="minorHAnsi" w:hAnsiTheme="minorHAnsi" w:cstheme="minorHAnsi"/>
                <w:b/>
                <w:bCs/>
                <w:sz w:val="18"/>
                <w:szCs w:val="18"/>
              </w:rPr>
              <w:t>%</w:t>
            </w:r>
          </w:p>
        </w:tc>
        <w:tc>
          <w:tcPr>
            <w:tcW w:w="1674" w:type="dxa"/>
            <w:hideMark/>
          </w:tcPr>
          <w:p w:rsidR="0034657E" w:rsidRPr="004E355C" w:rsidRDefault="0034657E" w:rsidP="00900B3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TVSH/milionë lekë</w:t>
            </w:r>
          </w:p>
        </w:tc>
        <w:tc>
          <w:tcPr>
            <w:tcW w:w="930" w:type="dxa"/>
            <w:hideMark/>
          </w:tcPr>
          <w:p w:rsidR="0034657E" w:rsidRPr="004E355C" w:rsidRDefault="0034657E" w:rsidP="00900B3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w:t>
            </w:r>
          </w:p>
        </w:tc>
      </w:tr>
      <w:tr w:rsidR="0034657E" w:rsidRPr="004E355C" w:rsidTr="00900B3D">
        <w:trPr>
          <w:trHeight w:val="184"/>
          <w:jc w:val="center"/>
        </w:trPr>
        <w:tc>
          <w:tcPr>
            <w:cnfStyle w:val="001000000000" w:firstRow="0" w:lastRow="0" w:firstColumn="1" w:lastColumn="0" w:oddVBand="0" w:evenVBand="0" w:oddHBand="0" w:evenHBand="0" w:firstRowFirstColumn="0" w:firstRowLastColumn="0" w:lastRowFirstColumn="0" w:lastRowLastColumn="0"/>
            <w:tcW w:w="4109" w:type="dxa"/>
          </w:tcPr>
          <w:p w:rsidR="0034657E" w:rsidRPr="004E355C" w:rsidRDefault="0034657E" w:rsidP="00900B3D">
            <w:pPr>
              <w:rPr>
                <w:rFonts w:asciiTheme="minorHAnsi" w:hAnsiTheme="minorHAnsi" w:cstheme="minorHAnsi"/>
                <w:b w:val="0"/>
                <w:sz w:val="18"/>
                <w:szCs w:val="18"/>
              </w:rPr>
            </w:pPr>
            <w:r>
              <w:rPr>
                <w:rFonts w:asciiTheme="minorHAnsi" w:hAnsiTheme="minorHAnsi" w:cstheme="minorHAnsi"/>
                <w:b w:val="0"/>
                <w:sz w:val="18"/>
                <w:szCs w:val="18"/>
              </w:rPr>
              <w:t>Energji Elektrike</w:t>
            </w:r>
          </w:p>
        </w:tc>
        <w:tc>
          <w:tcPr>
            <w:tcW w:w="1110"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Megavatorë </w:t>
            </w:r>
          </w:p>
        </w:tc>
        <w:tc>
          <w:tcPr>
            <w:tcW w:w="951"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-409,489</w:t>
            </w:r>
          </w:p>
        </w:tc>
        <w:tc>
          <w:tcPr>
            <w:tcW w:w="740"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-86.1</w:t>
            </w:r>
            <w:r w:rsidRPr="004E355C">
              <w:rPr>
                <w:rFonts w:asciiTheme="minorHAnsi" w:hAnsiTheme="minorHAnsi" w:cstheme="minorHAnsi"/>
                <w:sz w:val="18"/>
                <w:szCs w:val="18"/>
              </w:rPr>
              <w:t>%</w:t>
            </w:r>
          </w:p>
        </w:tc>
        <w:tc>
          <w:tcPr>
            <w:tcW w:w="1674"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w:t>
            </w:r>
            <w:r w:rsidRPr="004E355C">
              <w:rPr>
                <w:rFonts w:asciiTheme="minorHAnsi" w:hAnsiTheme="minorHAnsi" w:cstheme="minorHAnsi"/>
                <w:sz w:val="18"/>
                <w:szCs w:val="18"/>
              </w:rPr>
              <w:t>-</w:t>
            </w:r>
            <w:r>
              <w:rPr>
                <w:rFonts w:asciiTheme="minorHAnsi" w:hAnsiTheme="minorHAnsi" w:cstheme="minorHAnsi"/>
                <w:sz w:val="18"/>
                <w:szCs w:val="18"/>
              </w:rPr>
              <w:t>351</w:t>
            </w:r>
          </w:p>
        </w:tc>
        <w:tc>
          <w:tcPr>
            <w:tcW w:w="930"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-30.4</w:t>
            </w:r>
            <w:r w:rsidRPr="004E355C">
              <w:rPr>
                <w:rFonts w:asciiTheme="minorHAnsi" w:hAnsiTheme="minorHAnsi" w:cstheme="minorHAnsi"/>
                <w:sz w:val="18"/>
                <w:szCs w:val="18"/>
              </w:rPr>
              <w:t>%</w:t>
            </w:r>
          </w:p>
        </w:tc>
      </w:tr>
      <w:tr w:rsidR="0034657E" w:rsidRPr="004E355C" w:rsidTr="00900B3D">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4109" w:type="dxa"/>
          </w:tcPr>
          <w:p w:rsidR="0034657E" w:rsidRPr="004E355C" w:rsidRDefault="0034657E" w:rsidP="00900B3D">
            <w:pPr>
              <w:rPr>
                <w:rFonts w:asciiTheme="minorHAnsi" w:hAnsiTheme="minorHAnsi" w:cstheme="minorHAnsi"/>
                <w:b w:val="0"/>
                <w:sz w:val="18"/>
                <w:szCs w:val="18"/>
              </w:rPr>
            </w:pPr>
            <w:r>
              <w:rPr>
                <w:rFonts w:asciiTheme="minorHAnsi" w:hAnsiTheme="minorHAnsi" w:cstheme="minorHAnsi"/>
                <w:b w:val="0"/>
                <w:sz w:val="18"/>
                <w:szCs w:val="18"/>
              </w:rPr>
              <w:t>Mielli dhe Gruri</w:t>
            </w:r>
          </w:p>
        </w:tc>
        <w:tc>
          <w:tcPr>
            <w:tcW w:w="1110"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xml:space="preserve">Ton </w:t>
            </w:r>
          </w:p>
        </w:tc>
        <w:tc>
          <w:tcPr>
            <w:tcW w:w="951"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-46,616</w:t>
            </w:r>
          </w:p>
        </w:tc>
        <w:tc>
          <w:tcPr>
            <w:tcW w:w="740"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-58.3</w:t>
            </w:r>
            <w:r w:rsidRPr="004E355C">
              <w:rPr>
                <w:rFonts w:asciiTheme="minorHAnsi" w:hAnsiTheme="minorHAnsi" w:cstheme="minorHAnsi"/>
                <w:sz w:val="18"/>
                <w:szCs w:val="18"/>
              </w:rPr>
              <w:t>%</w:t>
            </w:r>
          </w:p>
        </w:tc>
        <w:tc>
          <w:tcPr>
            <w:tcW w:w="1674"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w:t>
            </w:r>
            <w:r w:rsidRPr="004E355C">
              <w:rPr>
                <w:rFonts w:asciiTheme="minorHAnsi" w:hAnsiTheme="minorHAnsi" w:cstheme="minorHAnsi"/>
                <w:sz w:val="18"/>
                <w:szCs w:val="18"/>
              </w:rPr>
              <w:t>-</w:t>
            </w:r>
            <w:r>
              <w:rPr>
                <w:rFonts w:asciiTheme="minorHAnsi" w:hAnsiTheme="minorHAnsi" w:cstheme="minorHAnsi"/>
                <w:sz w:val="18"/>
                <w:szCs w:val="18"/>
              </w:rPr>
              <w:t>227</w:t>
            </w:r>
          </w:p>
        </w:tc>
        <w:tc>
          <w:tcPr>
            <w:tcW w:w="930"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30.3</w:t>
            </w:r>
            <w:r w:rsidRPr="004E355C">
              <w:rPr>
                <w:rFonts w:asciiTheme="minorHAnsi" w:hAnsiTheme="minorHAnsi" w:cstheme="minorHAnsi"/>
                <w:sz w:val="18"/>
                <w:szCs w:val="18"/>
              </w:rPr>
              <w:t>%</w:t>
            </w:r>
          </w:p>
        </w:tc>
      </w:tr>
      <w:tr w:rsidR="0034657E" w:rsidRPr="004E355C" w:rsidTr="00900B3D">
        <w:trPr>
          <w:trHeight w:val="104"/>
          <w:jc w:val="center"/>
        </w:trPr>
        <w:tc>
          <w:tcPr>
            <w:cnfStyle w:val="001000000000" w:firstRow="0" w:lastRow="0" w:firstColumn="1" w:lastColumn="0" w:oddVBand="0" w:evenVBand="0" w:oddHBand="0" w:evenHBand="0" w:firstRowFirstColumn="0" w:firstRowLastColumn="0" w:lastRowFirstColumn="0" w:lastRowLastColumn="0"/>
            <w:tcW w:w="4109" w:type="dxa"/>
          </w:tcPr>
          <w:p w:rsidR="0034657E" w:rsidRPr="004E355C" w:rsidRDefault="0034657E" w:rsidP="00900B3D">
            <w:pPr>
              <w:rPr>
                <w:rFonts w:asciiTheme="minorHAnsi" w:hAnsiTheme="minorHAnsi" w:cstheme="minorHAnsi"/>
                <w:b w:val="0"/>
                <w:sz w:val="18"/>
                <w:szCs w:val="18"/>
              </w:rPr>
            </w:pPr>
            <w:r>
              <w:rPr>
                <w:rFonts w:asciiTheme="minorHAnsi" w:hAnsiTheme="minorHAnsi" w:cstheme="minorHAnsi"/>
                <w:b w:val="0"/>
                <w:sz w:val="18"/>
                <w:szCs w:val="18"/>
              </w:rPr>
              <w:t>Fruta Perime</w:t>
            </w:r>
          </w:p>
        </w:tc>
        <w:tc>
          <w:tcPr>
            <w:tcW w:w="1110"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xml:space="preserve">Ton </w:t>
            </w:r>
          </w:p>
        </w:tc>
        <w:tc>
          <w:tcPr>
            <w:tcW w:w="951"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-10,207</w:t>
            </w:r>
          </w:p>
        </w:tc>
        <w:tc>
          <w:tcPr>
            <w:tcW w:w="740"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-19.4</w:t>
            </w:r>
            <w:r w:rsidRPr="004E355C">
              <w:rPr>
                <w:rFonts w:asciiTheme="minorHAnsi" w:hAnsiTheme="minorHAnsi" w:cstheme="minorHAnsi"/>
                <w:sz w:val="18"/>
                <w:szCs w:val="18"/>
              </w:rPr>
              <w:t>%</w:t>
            </w:r>
          </w:p>
        </w:tc>
        <w:tc>
          <w:tcPr>
            <w:tcW w:w="1674"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w:t>
            </w:r>
            <w:r w:rsidRPr="004E355C">
              <w:rPr>
                <w:rFonts w:asciiTheme="minorHAnsi" w:hAnsiTheme="minorHAnsi" w:cstheme="minorHAnsi"/>
                <w:sz w:val="18"/>
                <w:szCs w:val="18"/>
              </w:rPr>
              <w:t>-</w:t>
            </w:r>
            <w:r>
              <w:rPr>
                <w:rFonts w:asciiTheme="minorHAnsi" w:hAnsiTheme="minorHAnsi" w:cstheme="minorHAnsi"/>
                <w:sz w:val="18"/>
                <w:szCs w:val="18"/>
              </w:rPr>
              <w:t>81</w:t>
            </w:r>
          </w:p>
        </w:tc>
        <w:tc>
          <w:tcPr>
            <w:tcW w:w="930"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8.8</w:t>
            </w:r>
            <w:r w:rsidRPr="004E355C">
              <w:rPr>
                <w:rFonts w:asciiTheme="minorHAnsi" w:hAnsiTheme="minorHAnsi" w:cstheme="minorHAnsi"/>
                <w:sz w:val="18"/>
                <w:szCs w:val="18"/>
              </w:rPr>
              <w:t>%</w:t>
            </w:r>
          </w:p>
        </w:tc>
      </w:tr>
      <w:tr w:rsidR="0034657E" w:rsidRPr="004E355C" w:rsidTr="00900B3D">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4109" w:type="dxa"/>
          </w:tcPr>
          <w:p w:rsidR="0034657E" w:rsidRPr="004E355C" w:rsidRDefault="0034657E" w:rsidP="00900B3D">
            <w:pPr>
              <w:rPr>
                <w:rFonts w:asciiTheme="minorHAnsi" w:hAnsiTheme="minorHAnsi" w:cstheme="minorHAnsi"/>
                <w:b w:val="0"/>
                <w:sz w:val="18"/>
                <w:szCs w:val="18"/>
              </w:rPr>
            </w:pPr>
            <w:r>
              <w:rPr>
                <w:rFonts w:asciiTheme="minorHAnsi" w:hAnsiTheme="minorHAnsi" w:cstheme="minorHAnsi"/>
                <w:b w:val="0"/>
                <w:sz w:val="18"/>
                <w:szCs w:val="18"/>
              </w:rPr>
              <w:t>Mishi</w:t>
            </w:r>
          </w:p>
        </w:tc>
        <w:tc>
          <w:tcPr>
            <w:tcW w:w="1110"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xml:space="preserve">Ton </w:t>
            </w:r>
          </w:p>
        </w:tc>
        <w:tc>
          <w:tcPr>
            <w:tcW w:w="951"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-5,627</w:t>
            </w:r>
          </w:p>
        </w:tc>
        <w:tc>
          <w:tcPr>
            <w:tcW w:w="740"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-26.7</w:t>
            </w:r>
            <w:r w:rsidRPr="004E355C">
              <w:rPr>
                <w:rFonts w:asciiTheme="minorHAnsi" w:hAnsiTheme="minorHAnsi" w:cstheme="minorHAnsi"/>
                <w:sz w:val="18"/>
                <w:szCs w:val="18"/>
              </w:rPr>
              <w:t>%</w:t>
            </w:r>
          </w:p>
        </w:tc>
        <w:tc>
          <w:tcPr>
            <w:tcW w:w="1674"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w:t>
            </w:r>
            <w:r w:rsidRPr="004E355C">
              <w:rPr>
                <w:rFonts w:asciiTheme="minorHAnsi" w:hAnsiTheme="minorHAnsi" w:cstheme="minorHAnsi"/>
                <w:sz w:val="18"/>
                <w:szCs w:val="18"/>
              </w:rPr>
              <w:t>-</w:t>
            </w:r>
            <w:r>
              <w:rPr>
                <w:rFonts w:asciiTheme="minorHAnsi" w:hAnsiTheme="minorHAnsi" w:cstheme="minorHAnsi"/>
                <w:sz w:val="18"/>
                <w:szCs w:val="18"/>
              </w:rPr>
              <w:t>58</w:t>
            </w:r>
          </w:p>
        </w:tc>
        <w:tc>
          <w:tcPr>
            <w:tcW w:w="930"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21.0</w:t>
            </w:r>
            <w:r w:rsidRPr="004E355C">
              <w:rPr>
                <w:rFonts w:asciiTheme="minorHAnsi" w:hAnsiTheme="minorHAnsi" w:cstheme="minorHAnsi"/>
                <w:sz w:val="18"/>
                <w:szCs w:val="18"/>
              </w:rPr>
              <w:t>%</w:t>
            </w:r>
          </w:p>
        </w:tc>
      </w:tr>
      <w:tr w:rsidR="0034657E" w:rsidRPr="004E355C" w:rsidTr="00900B3D">
        <w:trPr>
          <w:trHeight w:val="201"/>
          <w:jc w:val="center"/>
        </w:trPr>
        <w:tc>
          <w:tcPr>
            <w:cnfStyle w:val="001000000000" w:firstRow="0" w:lastRow="0" w:firstColumn="1" w:lastColumn="0" w:oddVBand="0" w:evenVBand="0" w:oddHBand="0" w:evenHBand="0" w:firstRowFirstColumn="0" w:firstRowLastColumn="0" w:lastRowFirstColumn="0" w:lastRowLastColumn="0"/>
            <w:tcW w:w="4109" w:type="dxa"/>
          </w:tcPr>
          <w:p w:rsidR="0034657E" w:rsidRPr="004E355C" w:rsidRDefault="0034657E" w:rsidP="00900B3D">
            <w:pPr>
              <w:rPr>
                <w:rFonts w:asciiTheme="minorHAnsi" w:hAnsiTheme="minorHAnsi" w:cstheme="minorHAnsi"/>
                <w:b w:val="0"/>
                <w:sz w:val="18"/>
                <w:szCs w:val="18"/>
              </w:rPr>
            </w:pPr>
            <w:r>
              <w:rPr>
                <w:rFonts w:asciiTheme="minorHAnsi" w:hAnsiTheme="minorHAnsi" w:cstheme="minorHAnsi"/>
                <w:b w:val="0"/>
                <w:sz w:val="18"/>
                <w:szCs w:val="18"/>
              </w:rPr>
              <w:t>Dhjamra dhe Vajra shtazore</w:t>
            </w:r>
          </w:p>
        </w:tc>
        <w:tc>
          <w:tcPr>
            <w:tcW w:w="1110"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xml:space="preserve">Ton </w:t>
            </w:r>
          </w:p>
        </w:tc>
        <w:tc>
          <w:tcPr>
            <w:tcW w:w="951"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-5,965</w:t>
            </w:r>
          </w:p>
        </w:tc>
        <w:tc>
          <w:tcPr>
            <w:tcW w:w="740"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-43.7</w:t>
            </w:r>
            <w:r w:rsidRPr="004E355C">
              <w:rPr>
                <w:rFonts w:asciiTheme="minorHAnsi" w:hAnsiTheme="minorHAnsi" w:cstheme="minorHAnsi"/>
                <w:sz w:val="18"/>
                <w:szCs w:val="18"/>
              </w:rPr>
              <w:t>%</w:t>
            </w:r>
          </w:p>
        </w:tc>
        <w:tc>
          <w:tcPr>
            <w:tcW w:w="1674"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w:t>
            </w:r>
            <w:r w:rsidRPr="004E355C">
              <w:rPr>
                <w:rFonts w:asciiTheme="minorHAnsi" w:hAnsiTheme="minorHAnsi" w:cstheme="minorHAnsi"/>
                <w:sz w:val="18"/>
                <w:szCs w:val="18"/>
              </w:rPr>
              <w:t>-</w:t>
            </w:r>
            <w:r>
              <w:rPr>
                <w:rFonts w:asciiTheme="minorHAnsi" w:hAnsiTheme="minorHAnsi" w:cstheme="minorHAnsi"/>
                <w:sz w:val="18"/>
                <w:szCs w:val="18"/>
              </w:rPr>
              <w:t>47</w:t>
            </w:r>
          </w:p>
        </w:tc>
        <w:tc>
          <w:tcPr>
            <w:tcW w:w="930" w:type="dxa"/>
          </w:tcPr>
          <w:p w:rsidR="0034657E" w:rsidRPr="004E355C" w:rsidRDefault="0034657E" w:rsidP="00900B3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w:t>
            </w:r>
            <w:r>
              <w:rPr>
                <w:rFonts w:asciiTheme="minorHAnsi" w:hAnsiTheme="minorHAnsi" w:cstheme="minorHAnsi"/>
                <w:sz w:val="18"/>
                <w:szCs w:val="18"/>
              </w:rPr>
              <w:t>9.7</w:t>
            </w:r>
            <w:r w:rsidRPr="004E355C">
              <w:rPr>
                <w:rFonts w:asciiTheme="minorHAnsi" w:hAnsiTheme="minorHAnsi" w:cstheme="minorHAnsi"/>
                <w:sz w:val="18"/>
                <w:szCs w:val="18"/>
              </w:rPr>
              <w:t>%</w:t>
            </w:r>
          </w:p>
        </w:tc>
      </w:tr>
      <w:tr w:rsidR="0034657E" w:rsidRPr="004E355C" w:rsidTr="00900B3D">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4109" w:type="dxa"/>
          </w:tcPr>
          <w:p w:rsidR="0034657E" w:rsidRPr="004E355C" w:rsidRDefault="0034657E" w:rsidP="00900B3D">
            <w:pPr>
              <w:rPr>
                <w:rFonts w:asciiTheme="minorHAnsi" w:hAnsiTheme="minorHAnsi" w:cstheme="minorHAnsi"/>
                <w:b w:val="0"/>
                <w:sz w:val="18"/>
                <w:szCs w:val="18"/>
              </w:rPr>
            </w:pPr>
          </w:p>
        </w:tc>
        <w:tc>
          <w:tcPr>
            <w:tcW w:w="1110"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w:t>
            </w:r>
          </w:p>
        </w:tc>
        <w:tc>
          <w:tcPr>
            <w:tcW w:w="951"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w:t>
            </w:r>
          </w:p>
        </w:tc>
        <w:tc>
          <w:tcPr>
            <w:tcW w:w="740"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w:t>
            </w:r>
          </w:p>
        </w:tc>
        <w:tc>
          <w:tcPr>
            <w:tcW w:w="1674"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              </w:t>
            </w:r>
            <w:r w:rsidRPr="004E355C">
              <w:rPr>
                <w:rFonts w:asciiTheme="minorHAnsi" w:hAnsiTheme="minorHAnsi" w:cstheme="minorHAnsi"/>
                <w:sz w:val="18"/>
                <w:szCs w:val="18"/>
              </w:rPr>
              <w:t>-</w:t>
            </w:r>
            <w:r>
              <w:rPr>
                <w:rFonts w:asciiTheme="minorHAnsi" w:hAnsiTheme="minorHAnsi" w:cstheme="minorHAnsi"/>
                <w:sz w:val="18"/>
                <w:szCs w:val="18"/>
              </w:rPr>
              <w:t>764</w:t>
            </w:r>
          </w:p>
        </w:tc>
        <w:tc>
          <w:tcPr>
            <w:tcW w:w="930" w:type="dxa"/>
          </w:tcPr>
          <w:p w:rsidR="0034657E" w:rsidRPr="004E355C" w:rsidRDefault="0034657E" w:rsidP="00900B3D">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w:t>
            </w:r>
          </w:p>
        </w:tc>
      </w:tr>
    </w:tbl>
    <w:p w:rsidR="0034657E" w:rsidRDefault="0034657E" w:rsidP="0034657E">
      <w:pPr>
        <w:tabs>
          <w:tab w:val="left" w:pos="810"/>
          <w:tab w:val="center" w:pos="4680"/>
          <w:tab w:val="left" w:pos="9360"/>
        </w:tabs>
        <w:spacing w:line="276" w:lineRule="auto"/>
        <w:rPr>
          <w:rFonts w:asciiTheme="minorHAnsi" w:hAnsiTheme="minorHAnsi"/>
          <w:sz w:val="20"/>
          <w:szCs w:val="20"/>
          <w:lang w:val="sq-AL"/>
        </w:rPr>
      </w:pPr>
      <w:r w:rsidRPr="004E355C">
        <w:rPr>
          <w:rFonts w:asciiTheme="minorHAnsi" w:hAnsiTheme="minorHAnsi"/>
          <w:sz w:val="20"/>
          <w:szCs w:val="20"/>
          <w:lang w:val="sq-AL"/>
        </w:rPr>
        <w:t>Burimi: Ministria e Financave dhe Ekonomisë (20</w:t>
      </w:r>
      <w:r>
        <w:rPr>
          <w:rFonts w:asciiTheme="minorHAnsi" w:hAnsiTheme="minorHAnsi"/>
          <w:sz w:val="20"/>
          <w:szCs w:val="20"/>
          <w:lang w:val="sq-AL"/>
        </w:rPr>
        <w:t>21</w:t>
      </w:r>
      <w:r w:rsidRPr="004E355C">
        <w:rPr>
          <w:rFonts w:asciiTheme="minorHAnsi" w:hAnsiTheme="minorHAnsi"/>
          <w:sz w:val="20"/>
          <w:szCs w:val="20"/>
          <w:lang w:val="sq-AL"/>
        </w:rPr>
        <w:t>)</w:t>
      </w:r>
    </w:p>
    <w:p w:rsidR="0034657E" w:rsidRDefault="0034657E" w:rsidP="0034657E">
      <w:pPr>
        <w:spacing w:line="276" w:lineRule="auto"/>
        <w:jc w:val="both"/>
        <w:rPr>
          <w:rFonts w:asciiTheme="minorHAnsi" w:hAnsiTheme="minorHAnsi" w:cstheme="minorHAnsi"/>
          <w:color w:val="000000" w:themeColor="text1"/>
        </w:rPr>
      </w:pPr>
      <w:r w:rsidRPr="004E355C">
        <w:rPr>
          <w:rFonts w:asciiTheme="minorHAnsi" w:hAnsiTheme="minorHAnsi" w:cstheme="minorHAnsi"/>
          <w:i/>
        </w:rPr>
        <w:lastRenderedPageBreak/>
        <w:t>Të ardhurat nga renta minerare</w:t>
      </w:r>
      <w:r w:rsidRPr="004E355C">
        <w:rPr>
          <w:rFonts w:asciiTheme="minorHAnsi" w:hAnsiTheme="minorHAnsi" w:cstheme="minorHAnsi"/>
        </w:rPr>
        <w:t xml:space="preserve"> në eksport janë realizuar në vlerën </w:t>
      </w:r>
      <w:r>
        <w:rPr>
          <w:rFonts w:asciiTheme="minorHAnsi" w:hAnsiTheme="minorHAnsi" w:cstheme="minorHAnsi"/>
        </w:rPr>
        <w:t>1 miliardë</w:t>
      </w:r>
      <w:r w:rsidRPr="004E355C">
        <w:rPr>
          <w:rFonts w:asciiTheme="minorHAnsi" w:hAnsiTheme="minorHAnsi" w:cstheme="minorHAnsi"/>
        </w:rPr>
        <w:t xml:space="preserve"> lekë, </w:t>
      </w:r>
      <w:r>
        <w:rPr>
          <w:rFonts w:asciiTheme="minorHAnsi" w:hAnsiTheme="minorHAnsi" w:cstheme="minorHAnsi"/>
        </w:rPr>
        <w:t>33.4% krahasuar me vitin 2020</w:t>
      </w:r>
      <w:r w:rsidRPr="004E355C">
        <w:rPr>
          <w:rFonts w:asciiTheme="minorHAnsi" w:hAnsiTheme="minorHAnsi" w:cstheme="minorHAnsi"/>
        </w:rPr>
        <w:t>, dhe</w:t>
      </w:r>
      <w:r>
        <w:rPr>
          <w:rFonts w:asciiTheme="minorHAnsi" w:hAnsiTheme="minorHAnsi" w:cstheme="minorHAnsi"/>
        </w:rPr>
        <w:t xml:space="preserve"> realizim 103.9% kundrejt planit</w:t>
      </w:r>
      <w:r w:rsidRPr="004E355C">
        <w:rPr>
          <w:rFonts w:asciiTheme="minorHAnsi" w:hAnsiTheme="minorHAnsi" w:cstheme="minorHAnsi"/>
        </w:rPr>
        <w:t xml:space="preserve"> ose </w:t>
      </w:r>
      <w:r>
        <w:rPr>
          <w:rFonts w:asciiTheme="minorHAnsi" w:hAnsiTheme="minorHAnsi" w:cstheme="minorHAnsi"/>
        </w:rPr>
        <w:t>40 milionë lekë më shumë</w:t>
      </w:r>
      <w:r w:rsidRPr="004E355C">
        <w:rPr>
          <w:rFonts w:asciiTheme="minorHAnsi" w:hAnsiTheme="minorHAnsi" w:cstheme="minorHAnsi"/>
        </w:rPr>
        <w:t>.</w:t>
      </w:r>
      <w:r w:rsidRPr="004E355C">
        <w:rPr>
          <w:rFonts w:asciiTheme="minorHAnsi" w:hAnsiTheme="minorHAnsi" w:cstheme="minorHAnsi"/>
          <w:lang w:val="it-IT"/>
        </w:rPr>
        <w:t xml:space="preserve"> </w:t>
      </w:r>
      <w:r w:rsidRPr="00CE5AC8">
        <w:rPr>
          <w:rFonts w:asciiTheme="minorHAnsi" w:hAnsiTheme="minorHAnsi" w:cstheme="minorHAnsi"/>
          <w:color w:val="000000" w:themeColor="text1"/>
        </w:rPr>
        <w:t xml:space="preserve">Të ardhurat nga renta minerare për naftën bruto janë rritur me </w:t>
      </w:r>
      <w:r>
        <w:rPr>
          <w:rFonts w:asciiTheme="minorHAnsi" w:hAnsiTheme="minorHAnsi" w:cstheme="minorHAnsi"/>
          <w:color w:val="000000" w:themeColor="text1"/>
        </w:rPr>
        <w:t>257.9</w:t>
      </w:r>
      <w:r w:rsidRPr="00CE5AC8">
        <w:rPr>
          <w:rFonts w:asciiTheme="minorHAnsi" w:hAnsiTheme="minorHAnsi" w:cstheme="minorHAnsi"/>
          <w:color w:val="000000" w:themeColor="text1"/>
        </w:rPr>
        <w:t xml:space="preserve"> milionë lekë</w:t>
      </w:r>
      <w:r>
        <w:rPr>
          <w:rFonts w:asciiTheme="minorHAnsi" w:hAnsiTheme="minorHAnsi" w:cstheme="minorHAnsi"/>
          <w:color w:val="000000" w:themeColor="text1"/>
        </w:rPr>
        <w:t xml:space="preserve"> k</w:t>
      </w:r>
      <w:r w:rsidRPr="005F4681">
        <w:rPr>
          <w:rFonts w:asciiTheme="minorHAnsi" w:hAnsiTheme="minorHAnsi" w:cstheme="minorHAnsi"/>
          <w:color w:val="000000" w:themeColor="text1"/>
        </w:rPr>
        <w:t xml:space="preserve">rahasuar </w:t>
      </w:r>
      <w:r>
        <w:rPr>
          <w:rFonts w:asciiTheme="minorHAnsi" w:hAnsiTheme="minorHAnsi" w:cstheme="minorHAnsi"/>
          <w:color w:val="000000" w:themeColor="text1"/>
        </w:rPr>
        <w:t xml:space="preserve">me vitin e kaluar. Rritja e të ardhurave të rentës nga nafta bruto ka ardhur si rjedhojë e rritjes së sasisë dhe njekohësisht edhe rritjes së çmimit në tregjet ndërkombetare. Rritja e sasisë së eksportuar e naftes bruto ka sjelle efekt prej 22.3 milionë lekë ose 8.9% më shumë se viti i kaluar, kurse efekti si rezultat i rritjes së çmimit në tregjet ndërkombetare për 5 mujorin e vitit 2021 është 205 milionë lekë. Gjatë 5 mujorit 2021 kemi një rritje të rentës për njësi nga 2.38 lekë/ton në 3.13 lekë/ton. </w:t>
      </w:r>
    </w:p>
    <w:p w:rsidR="0034657E" w:rsidRDefault="0034657E" w:rsidP="0034657E">
      <w:pPr>
        <w:spacing w:line="276" w:lineRule="auto"/>
        <w:jc w:val="both"/>
        <w:rPr>
          <w:rFonts w:asciiTheme="minorHAnsi" w:hAnsiTheme="minorHAnsi" w:cstheme="minorHAnsi"/>
          <w:color w:val="000000" w:themeColor="text1"/>
        </w:rPr>
      </w:pPr>
      <w:r w:rsidRPr="001A789B">
        <w:rPr>
          <w:rFonts w:asciiTheme="minorHAnsi" w:hAnsiTheme="minorHAnsi" w:cstheme="minorHAnsi"/>
          <w:color w:val="000000" w:themeColor="text1"/>
        </w:rPr>
        <w:t xml:space="preserve">Ndërkohë, të ardhurat nga mineralet e eksportuara kanë pësuar rritje në masën 197.8 milionë lekë për shkak të rritjes së sasisë së eksportuar, me rreth 13.2% </w:t>
      </w:r>
      <w:r>
        <w:rPr>
          <w:rFonts w:asciiTheme="minorHAnsi" w:hAnsiTheme="minorHAnsi" w:cstheme="minorHAnsi"/>
          <w:color w:val="000000" w:themeColor="text1"/>
        </w:rPr>
        <w:t xml:space="preserve">dhe me efekt 21 milionë lekë </w:t>
      </w:r>
      <w:r w:rsidRPr="001A789B">
        <w:rPr>
          <w:rFonts w:asciiTheme="minorHAnsi" w:hAnsiTheme="minorHAnsi" w:cstheme="minorHAnsi"/>
          <w:color w:val="000000" w:themeColor="text1"/>
        </w:rPr>
        <w:t>krahasuar me 5 mujorin e vitit 2020</w:t>
      </w:r>
      <w:r>
        <w:rPr>
          <w:rFonts w:asciiTheme="minorHAnsi" w:hAnsiTheme="minorHAnsi" w:cstheme="minorHAnsi"/>
          <w:color w:val="000000" w:themeColor="text1"/>
        </w:rPr>
        <w:t>,</w:t>
      </w:r>
      <w:r w:rsidRPr="001A789B">
        <w:rPr>
          <w:rFonts w:asciiTheme="minorHAnsi" w:hAnsiTheme="minorHAnsi" w:cstheme="minorHAnsi"/>
          <w:color w:val="000000" w:themeColor="text1"/>
        </w:rPr>
        <w:t xml:space="preserve"> dhe rritjes s</w:t>
      </w:r>
      <w:r>
        <w:rPr>
          <w:rFonts w:asciiTheme="minorHAnsi" w:hAnsiTheme="minorHAnsi" w:cstheme="minorHAnsi"/>
          <w:color w:val="000000" w:themeColor="text1"/>
        </w:rPr>
        <w:t>ë</w:t>
      </w:r>
      <w:r w:rsidRPr="001A789B">
        <w:rPr>
          <w:rFonts w:asciiTheme="minorHAnsi" w:hAnsiTheme="minorHAnsi" w:cstheme="minorHAnsi"/>
          <w:color w:val="000000" w:themeColor="text1"/>
        </w:rPr>
        <w:t xml:space="preserve"> </w:t>
      </w:r>
      <w:r>
        <w:rPr>
          <w:rFonts w:asciiTheme="minorHAnsi" w:hAnsiTheme="minorHAnsi" w:cstheme="minorHAnsi"/>
          <w:color w:val="000000" w:themeColor="text1"/>
        </w:rPr>
        <w:t>ç</w:t>
      </w:r>
      <w:r w:rsidRPr="001A789B">
        <w:rPr>
          <w:rFonts w:asciiTheme="minorHAnsi" w:hAnsiTheme="minorHAnsi" w:cstheme="minorHAnsi"/>
          <w:color w:val="000000" w:themeColor="text1"/>
        </w:rPr>
        <w:t>mimit t</w:t>
      </w:r>
      <w:r>
        <w:rPr>
          <w:rFonts w:asciiTheme="minorHAnsi" w:hAnsiTheme="minorHAnsi" w:cstheme="minorHAnsi"/>
          <w:color w:val="000000" w:themeColor="text1"/>
        </w:rPr>
        <w:t>ë</w:t>
      </w:r>
      <w:r w:rsidRPr="001A789B">
        <w:rPr>
          <w:rFonts w:asciiTheme="minorHAnsi" w:hAnsiTheme="minorHAnsi" w:cstheme="minorHAnsi"/>
          <w:color w:val="000000" w:themeColor="text1"/>
        </w:rPr>
        <w:t xml:space="preserve"> mineraleve,</w:t>
      </w:r>
      <w:r>
        <w:rPr>
          <w:rFonts w:asciiTheme="minorHAnsi" w:hAnsiTheme="minorHAnsi" w:cstheme="minorHAnsi"/>
          <w:color w:val="000000" w:themeColor="text1"/>
        </w:rPr>
        <w:t xml:space="preserve"> </w:t>
      </w:r>
      <w:r w:rsidRPr="001A789B">
        <w:rPr>
          <w:rFonts w:asciiTheme="minorHAnsi" w:hAnsiTheme="minorHAnsi" w:cstheme="minorHAnsi"/>
          <w:color w:val="000000" w:themeColor="text1"/>
        </w:rPr>
        <w:t>me efekt +18</w:t>
      </w:r>
      <w:r>
        <w:rPr>
          <w:rFonts w:asciiTheme="minorHAnsi" w:hAnsiTheme="minorHAnsi" w:cstheme="minorHAnsi"/>
          <w:color w:val="000000" w:themeColor="text1"/>
        </w:rPr>
        <w:t xml:space="preserve"> </w:t>
      </w:r>
      <w:r w:rsidRPr="001A789B">
        <w:rPr>
          <w:rFonts w:asciiTheme="minorHAnsi" w:hAnsiTheme="minorHAnsi" w:cstheme="minorHAnsi"/>
          <w:color w:val="000000" w:themeColor="text1"/>
        </w:rPr>
        <w:t>milion</w:t>
      </w:r>
      <w:r>
        <w:rPr>
          <w:rFonts w:asciiTheme="minorHAnsi" w:hAnsiTheme="minorHAnsi" w:cstheme="minorHAnsi"/>
          <w:color w:val="000000" w:themeColor="text1"/>
        </w:rPr>
        <w:t>ë</w:t>
      </w:r>
      <w:r w:rsidRPr="001A789B">
        <w:rPr>
          <w:rFonts w:asciiTheme="minorHAnsi" w:hAnsiTheme="minorHAnsi" w:cstheme="minorHAnsi"/>
          <w:color w:val="000000" w:themeColor="text1"/>
        </w:rPr>
        <w:t xml:space="preserve"> lek</w:t>
      </w:r>
      <w:r>
        <w:rPr>
          <w:rFonts w:asciiTheme="minorHAnsi" w:hAnsiTheme="minorHAnsi" w:cstheme="minorHAnsi"/>
          <w:color w:val="000000" w:themeColor="text1"/>
        </w:rPr>
        <w:t>ë</w:t>
      </w:r>
      <w:r w:rsidRPr="001A789B">
        <w:rPr>
          <w:rFonts w:asciiTheme="minorHAnsi" w:hAnsiTheme="minorHAnsi" w:cstheme="minorHAnsi"/>
          <w:color w:val="000000" w:themeColor="text1"/>
        </w:rPr>
        <w:t>.</w:t>
      </w:r>
    </w:p>
    <w:p w:rsidR="0034657E" w:rsidRPr="002326C7" w:rsidRDefault="0034657E" w:rsidP="0034657E">
      <w:pPr>
        <w:spacing w:line="276" w:lineRule="auto"/>
        <w:jc w:val="both"/>
        <w:rPr>
          <w:rFonts w:asciiTheme="minorHAnsi" w:hAnsiTheme="minorHAnsi"/>
          <w:sz w:val="8"/>
          <w:szCs w:val="8"/>
          <w:lang w:val="sq-AL"/>
        </w:rPr>
      </w:pPr>
    </w:p>
    <w:p w:rsidR="0034657E" w:rsidRPr="00900B3D" w:rsidRDefault="0034657E" w:rsidP="0034657E">
      <w:pPr>
        <w:pStyle w:val="Caption"/>
        <w:keepNext/>
        <w:spacing w:after="0"/>
        <w:jc w:val="both"/>
        <w:rPr>
          <w:rFonts w:asciiTheme="minorHAnsi" w:hAnsiTheme="minorHAnsi"/>
          <w:b w:val="0"/>
          <w:bCs w:val="0"/>
          <w:i/>
          <w:color w:val="auto"/>
          <w:sz w:val="22"/>
          <w:szCs w:val="24"/>
          <w:lang w:val="sq-AL"/>
        </w:rPr>
      </w:pPr>
      <w:bookmarkStart w:id="23" w:name="_Toc12449193"/>
      <w:r w:rsidRPr="00900B3D">
        <w:rPr>
          <w:rFonts w:asciiTheme="minorHAnsi" w:hAnsiTheme="minorHAnsi"/>
          <w:b w:val="0"/>
          <w:bCs w:val="0"/>
          <w:i/>
          <w:color w:val="auto"/>
          <w:sz w:val="22"/>
          <w:szCs w:val="24"/>
          <w:lang w:val="sq-AL"/>
        </w:rPr>
        <w:t xml:space="preserve">Tabela </w:t>
      </w:r>
      <w:r w:rsidR="00900B3D" w:rsidRPr="00900B3D">
        <w:rPr>
          <w:rFonts w:asciiTheme="minorHAnsi" w:hAnsiTheme="minorHAnsi"/>
          <w:b w:val="0"/>
          <w:bCs w:val="0"/>
          <w:i/>
          <w:color w:val="auto"/>
          <w:sz w:val="22"/>
          <w:szCs w:val="24"/>
          <w:lang w:val="sq-AL"/>
        </w:rPr>
        <w:t>x</w:t>
      </w:r>
      <w:r w:rsidRPr="00900B3D">
        <w:rPr>
          <w:rFonts w:asciiTheme="minorHAnsi" w:hAnsiTheme="minorHAnsi"/>
          <w:b w:val="0"/>
          <w:bCs w:val="0"/>
          <w:i/>
          <w:color w:val="auto"/>
          <w:sz w:val="22"/>
          <w:szCs w:val="24"/>
          <w:lang w:val="sq-AL"/>
        </w:rPr>
        <w:t xml:space="preserve">  : Të dhëna për Rentën Minerare, naftë bruto dhe minerale të tjera (në milionë lekë)</w:t>
      </w:r>
      <w:bookmarkEnd w:id="23"/>
    </w:p>
    <w:tbl>
      <w:tblPr>
        <w:tblStyle w:val="GridTable4-Accent52"/>
        <w:tblW w:w="4921" w:type="pct"/>
        <w:jc w:val="center"/>
        <w:tblLayout w:type="fixed"/>
        <w:tblLook w:val="0600" w:firstRow="0" w:lastRow="0" w:firstColumn="0" w:lastColumn="0" w:noHBand="1" w:noVBand="1"/>
      </w:tblPr>
      <w:tblGrid>
        <w:gridCol w:w="1652"/>
        <w:gridCol w:w="632"/>
        <w:gridCol w:w="631"/>
        <w:gridCol w:w="631"/>
        <w:gridCol w:w="754"/>
        <w:gridCol w:w="632"/>
        <w:gridCol w:w="634"/>
        <w:gridCol w:w="634"/>
        <w:gridCol w:w="873"/>
        <w:gridCol w:w="757"/>
        <w:gridCol w:w="759"/>
        <w:gridCol w:w="879"/>
      </w:tblGrid>
      <w:tr w:rsidR="00900B3D" w:rsidRPr="004E355C" w:rsidTr="00A17731">
        <w:trPr>
          <w:trHeight w:val="52"/>
          <w:jc w:val="center"/>
        </w:trPr>
        <w:tc>
          <w:tcPr>
            <w:tcW w:w="872" w:type="pct"/>
            <w:vMerge w:val="restart"/>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8"/>
                <w:szCs w:val="18"/>
              </w:rPr>
            </w:pPr>
          </w:p>
        </w:tc>
        <w:tc>
          <w:tcPr>
            <w:tcW w:w="1398" w:type="pct"/>
            <w:gridSpan w:val="4"/>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8"/>
                <w:szCs w:val="18"/>
              </w:rPr>
            </w:pPr>
            <w:r w:rsidRPr="004E355C">
              <w:rPr>
                <w:rFonts w:cstheme="minorHAnsi"/>
                <w:b/>
                <w:bCs/>
                <w:iCs/>
                <w:sz w:val="18"/>
                <w:szCs w:val="18"/>
              </w:rPr>
              <w:t>Sasia në mijë ton</w:t>
            </w:r>
          </w:p>
        </w:tc>
        <w:tc>
          <w:tcPr>
            <w:tcW w:w="1465" w:type="pct"/>
            <w:gridSpan w:val="4"/>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8"/>
                <w:szCs w:val="18"/>
              </w:rPr>
            </w:pPr>
            <w:r w:rsidRPr="004E355C">
              <w:rPr>
                <w:rFonts w:cstheme="minorHAnsi"/>
                <w:b/>
                <w:bCs/>
                <w:iCs/>
                <w:sz w:val="18"/>
                <w:szCs w:val="18"/>
              </w:rPr>
              <w:t>Të ardhura nga Renta në mijë lekë</w:t>
            </w:r>
          </w:p>
        </w:tc>
        <w:tc>
          <w:tcPr>
            <w:tcW w:w="1265" w:type="pct"/>
            <w:gridSpan w:val="3"/>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8"/>
                <w:szCs w:val="18"/>
              </w:rPr>
            </w:pPr>
            <w:r w:rsidRPr="004E355C">
              <w:rPr>
                <w:rFonts w:cstheme="minorHAnsi"/>
                <w:b/>
                <w:bCs/>
                <w:iCs/>
                <w:sz w:val="18"/>
                <w:szCs w:val="18"/>
              </w:rPr>
              <w:t>Efektet</w:t>
            </w:r>
          </w:p>
        </w:tc>
      </w:tr>
      <w:tr w:rsidR="00A17731" w:rsidRPr="004E355C" w:rsidTr="00A17731">
        <w:trPr>
          <w:trHeight w:val="358"/>
          <w:jc w:val="center"/>
        </w:trPr>
        <w:tc>
          <w:tcPr>
            <w:tcW w:w="872" w:type="pct"/>
            <w:vMerge/>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8"/>
                <w:szCs w:val="18"/>
              </w:rPr>
            </w:pPr>
          </w:p>
        </w:tc>
        <w:tc>
          <w:tcPr>
            <w:tcW w:w="334" w:type="pct"/>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6"/>
                <w:szCs w:val="16"/>
              </w:rPr>
            </w:pPr>
            <w:r>
              <w:rPr>
                <w:rFonts w:cstheme="minorHAnsi"/>
                <w:b/>
                <w:bCs/>
                <w:iCs/>
                <w:sz w:val="16"/>
                <w:szCs w:val="16"/>
              </w:rPr>
              <w:t>2020</w:t>
            </w:r>
          </w:p>
        </w:tc>
        <w:tc>
          <w:tcPr>
            <w:tcW w:w="333" w:type="pct"/>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6"/>
                <w:szCs w:val="16"/>
              </w:rPr>
            </w:pPr>
            <w:r>
              <w:rPr>
                <w:rFonts w:cstheme="minorHAnsi"/>
                <w:b/>
                <w:bCs/>
                <w:iCs/>
                <w:sz w:val="16"/>
                <w:szCs w:val="16"/>
              </w:rPr>
              <w:t>2021</w:t>
            </w:r>
          </w:p>
        </w:tc>
        <w:tc>
          <w:tcPr>
            <w:tcW w:w="333" w:type="pct"/>
            <w:shd w:val="clear" w:color="auto" w:fill="92CDDC" w:themeFill="accent5" w:themeFillTint="99"/>
            <w:hideMark/>
          </w:tcPr>
          <w:p w:rsidR="0034657E" w:rsidRPr="004E355C" w:rsidRDefault="0034657E" w:rsidP="00900B3D">
            <w:pPr>
              <w:tabs>
                <w:tab w:val="left" w:pos="2511"/>
                <w:tab w:val="center" w:pos="4680"/>
              </w:tabs>
              <w:spacing w:line="276" w:lineRule="auto"/>
              <w:rPr>
                <w:rFonts w:cstheme="minorHAnsi"/>
                <w:b/>
                <w:bCs/>
                <w:iCs/>
                <w:sz w:val="16"/>
                <w:szCs w:val="16"/>
              </w:rPr>
            </w:pPr>
            <w:r w:rsidRPr="004E355C">
              <w:rPr>
                <w:rFonts w:cstheme="minorHAnsi"/>
                <w:b/>
                <w:bCs/>
                <w:iCs/>
                <w:sz w:val="16"/>
                <w:szCs w:val="16"/>
              </w:rPr>
              <w:t xml:space="preserve"> </w:t>
            </w:r>
            <w:r>
              <w:rPr>
                <w:rFonts w:cstheme="minorHAnsi"/>
                <w:b/>
                <w:bCs/>
                <w:iCs/>
                <w:sz w:val="16"/>
                <w:szCs w:val="16"/>
              </w:rPr>
              <w:t>2021</w:t>
            </w:r>
            <w:r w:rsidRPr="004E355C">
              <w:rPr>
                <w:rFonts w:cstheme="minorHAnsi"/>
                <w:b/>
                <w:bCs/>
                <w:iCs/>
                <w:sz w:val="16"/>
                <w:szCs w:val="16"/>
              </w:rPr>
              <w:t>/</w:t>
            </w:r>
          </w:p>
          <w:p w:rsidR="0034657E" w:rsidRPr="004E355C" w:rsidRDefault="0034657E" w:rsidP="00900B3D">
            <w:pPr>
              <w:tabs>
                <w:tab w:val="left" w:pos="2511"/>
                <w:tab w:val="center" w:pos="4680"/>
              </w:tabs>
              <w:spacing w:line="276" w:lineRule="auto"/>
              <w:jc w:val="center"/>
              <w:rPr>
                <w:rFonts w:cstheme="minorHAnsi"/>
                <w:b/>
                <w:sz w:val="16"/>
                <w:szCs w:val="16"/>
              </w:rPr>
            </w:pPr>
            <w:r>
              <w:rPr>
                <w:rFonts w:cstheme="minorHAnsi"/>
                <w:b/>
                <w:bCs/>
                <w:iCs/>
                <w:sz w:val="16"/>
                <w:szCs w:val="16"/>
              </w:rPr>
              <w:t>2020</w:t>
            </w:r>
          </w:p>
        </w:tc>
        <w:tc>
          <w:tcPr>
            <w:tcW w:w="398" w:type="pct"/>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6"/>
                <w:szCs w:val="16"/>
              </w:rPr>
            </w:pPr>
            <w:r w:rsidRPr="004E355C">
              <w:rPr>
                <w:rFonts w:cstheme="minorHAnsi"/>
                <w:b/>
                <w:bCs/>
                <w:iCs/>
                <w:sz w:val="16"/>
                <w:szCs w:val="16"/>
              </w:rPr>
              <w:t>në %</w:t>
            </w:r>
          </w:p>
        </w:tc>
        <w:tc>
          <w:tcPr>
            <w:tcW w:w="334" w:type="pct"/>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6"/>
                <w:szCs w:val="16"/>
              </w:rPr>
            </w:pPr>
            <w:r>
              <w:rPr>
                <w:rFonts w:cstheme="minorHAnsi"/>
                <w:b/>
                <w:bCs/>
                <w:iCs/>
                <w:sz w:val="16"/>
                <w:szCs w:val="16"/>
              </w:rPr>
              <w:t>2020</w:t>
            </w:r>
          </w:p>
        </w:tc>
        <w:tc>
          <w:tcPr>
            <w:tcW w:w="335" w:type="pct"/>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6"/>
                <w:szCs w:val="16"/>
              </w:rPr>
            </w:pPr>
            <w:r>
              <w:rPr>
                <w:rFonts w:cstheme="minorHAnsi"/>
                <w:b/>
                <w:bCs/>
                <w:iCs/>
                <w:sz w:val="16"/>
                <w:szCs w:val="16"/>
              </w:rPr>
              <w:t>2021</w:t>
            </w:r>
          </w:p>
        </w:tc>
        <w:tc>
          <w:tcPr>
            <w:tcW w:w="335" w:type="pct"/>
            <w:shd w:val="clear" w:color="auto" w:fill="92CDDC" w:themeFill="accent5" w:themeFillTint="99"/>
            <w:hideMark/>
          </w:tcPr>
          <w:p w:rsidR="0034657E" w:rsidRPr="00B53FB9" w:rsidRDefault="0034657E" w:rsidP="00900B3D">
            <w:pPr>
              <w:tabs>
                <w:tab w:val="left" w:pos="2511"/>
                <w:tab w:val="center" w:pos="4680"/>
              </w:tabs>
              <w:spacing w:line="276" w:lineRule="auto"/>
              <w:jc w:val="center"/>
              <w:rPr>
                <w:rFonts w:cstheme="minorHAnsi"/>
                <w:b/>
                <w:bCs/>
                <w:iCs/>
                <w:sz w:val="16"/>
                <w:szCs w:val="16"/>
              </w:rPr>
            </w:pPr>
            <w:r>
              <w:rPr>
                <w:rFonts w:cstheme="minorHAnsi"/>
                <w:b/>
                <w:bCs/>
                <w:iCs/>
                <w:sz w:val="16"/>
                <w:szCs w:val="16"/>
              </w:rPr>
              <w:t>2021/ 2020</w:t>
            </w:r>
          </w:p>
        </w:tc>
        <w:tc>
          <w:tcPr>
            <w:tcW w:w="461" w:type="pct"/>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6"/>
                <w:szCs w:val="16"/>
              </w:rPr>
            </w:pPr>
            <w:r w:rsidRPr="004E355C">
              <w:rPr>
                <w:rFonts w:cstheme="minorHAnsi"/>
                <w:b/>
                <w:bCs/>
                <w:iCs/>
                <w:sz w:val="16"/>
                <w:szCs w:val="16"/>
              </w:rPr>
              <w:t>në %</w:t>
            </w:r>
          </w:p>
        </w:tc>
        <w:tc>
          <w:tcPr>
            <w:tcW w:w="400" w:type="pct"/>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6"/>
                <w:szCs w:val="16"/>
              </w:rPr>
            </w:pPr>
            <w:r w:rsidRPr="004E355C">
              <w:rPr>
                <w:rFonts w:cstheme="minorHAnsi"/>
                <w:b/>
                <w:bCs/>
                <w:iCs/>
                <w:sz w:val="16"/>
                <w:szCs w:val="16"/>
              </w:rPr>
              <w:t xml:space="preserve"> Sasi</w:t>
            </w:r>
          </w:p>
        </w:tc>
        <w:tc>
          <w:tcPr>
            <w:tcW w:w="401" w:type="pct"/>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6"/>
                <w:szCs w:val="16"/>
              </w:rPr>
            </w:pPr>
            <w:r w:rsidRPr="004E355C">
              <w:rPr>
                <w:rFonts w:cstheme="minorHAnsi"/>
                <w:b/>
                <w:bCs/>
                <w:iCs/>
                <w:sz w:val="16"/>
                <w:szCs w:val="16"/>
              </w:rPr>
              <w:t>Çmim</w:t>
            </w:r>
          </w:p>
        </w:tc>
        <w:tc>
          <w:tcPr>
            <w:tcW w:w="462" w:type="pct"/>
            <w:shd w:val="clear" w:color="auto" w:fill="92CDDC" w:themeFill="accent5" w:themeFillTint="99"/>
            <w:hideMark/>
          </w:tcPr>
          <w:p w:rsidR="0034657E" w:rsidRPr="004E355C" w:rsidRDefault="0034657E" w:rsidP="00900B3D">
            <w:pPr>
              <w:tabs>
                <w:tab w:val="left" w:pos="2511"/>
                <w:tab w:val="center" w:pos="4680"/>
              </w:tabs>
              <w:spacing w:line="276" w:lineRule="auto"/>
              <w:jc w:val="center"/>
              <w:rPr>
                <w:rFonts w:cstheme="minorHAnsi"/>
                <w:b/>
                <w:sz w:val="16"/>
                <w:szCs w:val="16"/>
              </w:rPr>
            </w:pPr>
            <w:r w:rsidRPr="004E355C">
              <w:rPr>
                <w:rFonts w:cstheme="minorHAnsi"/>
                <w:b/>
                <w:bCs/>
                <w:iCs/>
                <w:sz w:val="16"/>
                <w:szCs w:val="16"/>
              </w:rPr>
              <w:t>Efekt Total</w:t>
            </w:r>
          </w:p>
        </w:tc>
      </w:tr>
      <w:tr w:rsidR="00A17731" w:rsidRPr="004E355C" w:rsidTr="00A17731">
        <w:trPr>
          <w:trHeight w:val="104"/>
          <w:jc w:val="center"/>
        </w:trPr>
        <w:tc>
          <w:tcPr>
            <w:tcW w:w="872" w:type="pct"/>
            <w:hideMark/>
          </w:tcPr>
          <w:p w:rsidR="0034657E" w:rsidRPr="004E355C" w:rsidRDefault="0034657E" w:rsidP="00900B3D">
            <w:pPr>
              <w:tabs>
                <w:tab w:val="left" w:pos="2511"/>
                <w:tab w:val="center" w:pos="4680"/>
              </w:tabs>
              <w:spacing w:line="276" w:lineRule="auto"/>
              <w:jc w:val="center"/>
              <w:rPr>
                <w:rFonts w:cstheme="minorHAnsi"/>
                <w:b/>
                <w:sz w:val="16"/>
                <w:szCs w:val="16"/>
              </w:rPr>
            </w:pPr>
            <w:r w:rsidRPr="004E355C">
              <w:rPr>
                <w:rFonts w:cstheme="minorHAnsi"/>
                <w:b/>
                <w:sz w:val="16"/>
                <w:szCs w:val="16"/>
              </w:rPr>
              <w:t>Rentë minerare           Naftë Bruto</w:t>
            </w:r>
          </w:p>
        </w:tc>
        <w:tc>
          <w:tcPr>
            <w:tcW w:w="334" w:type="pct"/>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sz w:val="18"/>
                <w:szCs w:val="18"/>
              </w:rPr>
              <w:t>251</w:t>
            </w:r>
          </w:p>
        </w:tc>
        <w:tc>
          <w:tcPr>
            <w:tcW w:w="333" w:type="pct"/>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sz w:val="18"/>
                <w:szCs w:val="18"/>
              </w:rPr>
              <w:t>274</w:t>
            </w:r>
          </w:p>
        </w:tc>
        <w:tc>
          <w:tcPr>
            <w:tcW w:w="333"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22</w:t>
            </w:r>
          </w:p>
        </w:tc>
        <w:tc>
          <w:tcPr>
            <w:tcW w:w="398"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8.9%</w:t>
            </w:r>
          </w:p>
        </w:tc>
        <w:tc>
          <w:tcPr>
            <w:tcW w:w="334"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599</w:t>
            </w:r>
          </w:p>
        </w:tc>
        <w:tc>
          <w:tcPr>
            <w:tcW w:w="335"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857</w:t>
            </w:r>
          </w:p>
        </w:tc>
        <w:tc>
          <w:tcPr>
            <w:tcW w:w="335"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258</w:t>
            </w:r>
          </w:p>
        </w:tc>
        <w:tc>
          <w:tcPr>
            <w:tcW w:w="461"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43</w:t>
            </w:r>
            <w:r w:rsidRPr="004E355C">
              <w:rPr>
                <w:rFonts w:cstheme="minorHAnsi"/>
                <w:kern w:val="24"/>
                <w:sz w:val="18"/>
                <w:szCs w:val="18"/>
              </w:rPr>
              <w:t>%</w:t>
            </w:r>
          </w:p>
        </w:tc>
        <w:tc>
          <w:tcPr>
            <w:tcW w:w="400" w:type="pct"/>
            <w:hideMark/>
          </w:tcPr>
          <w:p w:rsidR="0034657E" w:rsidRPr="004E355C" w:rsidRDefault="0034657E" w:rsidP="00900B3D">
            <w:pPr>
              <w:pStyle w:val="NormalWeb"/>
              <w:spacing w:before="0" w:beforeAutospacing="0" w:after="0" w:afterAutospacing="0"/>
              <w:jc w:val="center"/>
              <w:textAlignment w:val="bottom"/>
              <w:rPr>
                <w:rFonts w:cstheme="minorHAnsi"/>
                <w:sz w:val="18"/>
                <w:szCs w:val="18"/>
              </w:rPr>
            </w:pPr>
            <w:r>
              <w:rPr>
                <w:rFonts w:cstheme="minorHAnsi"/>
                <w:kern w:val="24"/>
                <w:sz w:val="18"/>
                <w:szCs w:val="18"/>
              </w:rPr>
              <w:t>53,081</w:t>
            </w:r>
          </w:p>
        </w:tc>
        <w:tc>
          <w:tcPr>
            <w:tcW w:w="401"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205</w:t>
            </w:r>
          </w:p>
        </w:tc>
        <w:tc>
          <w:tcPr>
            <w:tcW w:w="462"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258</w:t>
            </w:r>
          </w:p>
        </w:tc>
      </w:tr>
      <w:tr w:rsidR="00A17731" w:rsidRPr="004E355C" w:rsidTr="00A17731">
        <w:trPr>
          <w:trHeight w:val="89"/>
          <w:jc w:val="center"/>
        </w:trPr>
        <w:tc>
          <w:tcPr>
            <w:tcW w:w="872" w:type="pct"/>
            <w:hideMark/>
          </w:tcPr>
          <w:p w:rsidR="0034657E" w:rsidRPr="004E355C" w:rsidRDefault="0034657E" w:rsidP="00900B3D">
            <w:pPr>
              <w:tabs>
                <w:tab w:val="left" w:pos="2511"/>
                <w:tab w:val="center" w:pos="4680"/>
              </w:tabs>
              <w:spacing w:line="276" w:lineRule="auto"/>
              <w:jc w:val="center"/>
              <w:rPr>
                <w:rFonts w:cstheme="minorHAnsi"/>
                <w:b/>
                <w:sz w:val="16"/>
                <w:szCs w:val="16"/>
              </w:rPr>
            </w:pPr>
            <w:r w:rsidRPr="004E355C">
              <w:rPr>
                <w:rFonts w:cstheme="minorHAnsi"/>
                <w:b/>
                <w:sz w:val="16"/>
                <w:szCs w:val="16"/>
              </w:rPr>
              <w:t>Rentë minerare Minerale të tjera</w:t>
            </w:r>
          </w:p>
        </w:tc>
        <w:tc>
          <w:tcPr>
            <w:tcW w:w="334" w:type="pct"/>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sz w:val="18"/>
                <w:szCs w:val="18"/>
              </w:rPr>
              <w:t>730</w:t>
            </w:r>
          </w:p>
        </w:tc>
        <w:tc>
          <w:tcPr>
            <w:tcW w:w="333" w:type="pct"/>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sz w:val="18"/>
                <w:szCs w:val="18"/>
              </w:rPr>
              <w:t>827</w:t>
            </w:r>
          </w:p>
        </w:tc>
        <w:tc>
          <w:tcPr>
            <w:tcW w:w="333"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97</w:t>
            </w:r>
          </w:p>
        </w:tc>
        <w:tc>
          <w:tcPr>
            <w:tcW w:w="398"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13.2</w:t>
            </w:r>
            <w:r w:rsidRPr="004E355C">
              <w:rPr>
                <w:rFonts w:cstheme="minorHAnsi"/>
                <w:kern w:val="24"/>
                <w:sz w:val="18"/>
                <w:szCs w:val="18"/>
              </w:rPr>
              <w:t>%</w:t>
            </w:r>
          </w:p>
        </w:tc>
        <w:tc>
          <w:tcPr>
            <w:tcW w:w="334"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159</w:t>
            </w:r>
          </w:p>
        </w:tc>
        <w:tc>
          <w:tcPr>
            <w:tcW w:w="335"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198</w:t>
            </w:r>
          </w:p>
        </w:tc>
        <w:tc>
          <w:tcPr>
            <w:tcW w:w="335"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39</w:t>
            </w:r>
          </w:p>
        </w:tc>
        <w:tc>
          <w:tcPr>
            <w:tcW w:w="461"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24.5</w:t>
            </w:r>
            <w:r w:rsidRPr="004E355C">
              <w:rPr>
                <w:rFonts w:cstheme="minorHAnsi"/>
                <w:kern w:val="24"/>
                <w:sz w:val="18"/>
                <w:szCs w:val="18"/>
              </w:rPr>
              <w:t>%</w:t>
            </w:r>
          </w:p>
        </w:tc>
        <w:tc>
          <w:tcPr>
            <w:tcW w:w="400" w:type="pct"/>
            <w:hideMark/>
          </w:tcPr>
          <w:p w:rsidR="0034657E" w:rsidRPr="004E355C" w:rsidRDefault="0034657E" w:rsidP="00900B3D">
            <w:pPr>
              <w:pStyle w:val="NormalWeb"/>
              <w:spacing w:before="0" w:beforeAutospacing="0" w:after="0" w:afterAutospacing="0"/>
              <w:jc w:val="center"/>
              <w:textAlignment w:val="bottom"/>
              <w:rPr>
                <w:rFonts w:cstheme="minorHAnsi"/>
                <w:sz w:val="18"/>
                <w:szCs w:val="18"/>
              </w:rPr>
            </w:pPr>
            <w:r>
              <w:rPr>
                <w:rFonts w:cstheme="minorHAnsi"/>
                <w:kern w:val="24"/>
                <w:sz w:val="18"/>
                <w:szCs w:val="18"/>
              </w:rPr>
              <w:t>21,018</w:t>
            </w:r>
          </w:p>
        </w:tc>
        <w:tc>
          <w:tcPr>
            <w:tcW w:w="401"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18</w:t>
            </w:r>
          </w:p>
        </w:tc>
        <w:tc>
          <w:tcPr>
            <w:tcW w:w="462" w:type="pct"/>
            <w:hideMark/>
          </w:tcPr>
          <w:p w:rsidR="0034657E" w:rsidRPr="004E355C" w:rsidRDefault="0034657E" w:rsidP="00900B3D">
            <w:pPr>
              <w:pStyle w:val="NormalWeb"/>
              <w:spacing w:before="0" w:beforeAutospacing="0" w:after="0" w:afterAutospacing="0"/>
              <w:jc w:val="right"/>
              <w:textAlignment w:val="bottom"/>
              <w:rPr>
                <w:rFonts w:cstheme="minorHAnsi"/>
                <w:sz w:val="18"/>
                <w:szCs w:val="18"/>
              </w:rPr>
            </w:pPr>
            <w:r>
              <w:rPr>
                <w:rFonts w:cstheme="minorHAnsi"/>
                <w:kern w:val="24"/>
                <w:sz w:val="18"/>
                <w:szCs w:val="18"/>
              </w:rPr>
              <w:t>39</w:t>
            </w:r>
          </w:p>
        </w:tc>
      </w:tr>
      <w:tr w:rsidR="00A17731" w:rsidRPr="004E355C" w:rsidTr="00A17731">
        <w:trPr>
          <w:trHeight w:val="252"/>
          <w:jc w:val="center"/>
        </w:trPr>
        <w:tc>
          <w:tcPr>
            <w:tcW w:w="872" w:type="pct"/>
            <w:hideMark/>
          </w:tcPr>
          <w:p w:rsidR="0034657E" w:rsidRPr="004E355C" w:rsidRDefault="0034657E" w:rsidP="00900B3D">
            <w:pPr>
              <w:tabs>
                <w:tab w:val="left" w:pos="2511"/>
                <w:tab w:val="center" w:pos="4680"/>
              </w:tabs>
              <w:spacing w:line="276" w:lineRule="auto"/>
              <w:jc w:val="center"/>
              <w:rPr>
                <w:rFonts w:cstheme="minorHAnsi"/>
                <w:b/>
                <w:sz w:val="18"/>
                <w:szCs w:val="18"/>
              </w:rPr>
            </w:pPr>
            <w:r w:rsidRPr="004E355C">
              <w:rPr>
                <w:rFonts w:cstheme="minorHAnsi"/>
                <w:b/>
                <w:iCs/>
                <w:sz w:val="18"/>
                <w:szCs w:val="18"/>
              </w:rPr>
              <w:t>Totali</w:t>
            </w:r>
          </w:p>
        </w:tc>
        <w:tc>
          <w:tcPr>
            <w:tcW w:w="334" w:type="pct"/>
            <w:hideMark/>
          </w:tcPr>
          <w:p w:rsidR="0034657E" w:rsidRPr="004E355C" w:rsidRDefault="0034657E" w:rsidP="00900B3D">
            <w:pPr>
              <w:pStyle w:val="NormalWeb"/>
              <w:spacing w:before="0" w:beforeAutospacing="0" w:after="0" w:afterAutospacing="0"/>
              <w:jc w:val="right"/>
              <w:textAlignment w:val="bottom"/>
              <w:rPr>
                <w:rFonts w:cstheme="minorHAnsi"/>
                <w:b/>
                <w:sz w:val="18"/>
                <w:szCs w:val="18"/>
              </w:rPr>
            </w:pPr>
            <w:r>
              <w:rPr>
                <w:rFonts w:cstheme="minorHAnsi"/>
                <w:b/>
                <w:kern w:val="24"/>
                <w:sz w:val="18"/>
                <w:szCs w:val="18"/>
              </w:rPr>
              <w:t>984</w:t>
            </w:r>
          </w:p>
        </w:tc>
        <w:tc>
          <w:tcPr>
            <w:tcW w:w="333" w:type="pct"/>
            <w:hideMark/>
          </w:tcPr>
          <w:p w:rsidR="0034657E" w:rsidRPr="004E355C" w:rsidRDefault="0034657E" w:rsidP="00900B3D">
            <w:pPr>
              <w:pStyle w:val="NormalWeb"/>
              <w:spacing w:before="0" w:beforeAutospacing="0" w:after="0" w:afterAutospacing="0"/>
              <w:jc w:val="right"/>
              <w:textAlignment w:val="bottom"/>
              <w:rPr>
                <w:rFonts w:cstheme="minorHAnsi"/>
                <w:b/>
                <w:sz w:val="18"/>
                <w:szCs w:val="18"/>
              </w:rPr>
            </w:pPr>
            <w:r>
              <w:rPr>
                <w:rFonts w:cstheme="minorHAnsi"/>
                <w:b/>
                <w:kern w:val="24"/>
                <w:sz w:val="18"/>
                <w:szCs w:val="18"/>
              </w:rPr>
              <w:t>1,103</w:t>
            </w:r>
          </w:p>
        </w:tc>
        <w:tc>
          <w:tcPr>
            <w:tcW w:w="333" w:type="pct"/>
            <w:hideMark/>
          </w:tcPr>
          <w:p w:rsidR="0034657E" w:rsidRPr="004E355C" w:rsidRDefault="0034657E" w:rsidP="00900B3D">
            <w:pPr>
              <w:pStyle w:val="NormalWeb"/>
              <w:spacing w:before="0" w:beforeAutospacing="0" w:after="0" w:afterAutospacing="0"/>
              <w:jc w:val="right"/>
              <w:textAlignment w:val="bottom"/>
              <w:rPr>
                <w:rFonts w:cstheme="minorHAnsi"/>
                <w:b/>
                <w:sz w:val="18"/>
                <w:szCs w:val="18"/>
              </w:rPr>
            </w:pPr>
            <w:r>
              <w:rPr>
                <w:rFonts w:cstheme="minorHAnsi"/>
                <w:b/>
                <w:kern w:val="24"/>
                <w:sz w:val="18"/>
                <w:szCs w:val="18"/>
              </w:rPr>
              <w:t>119</w:t>
            </w:r>
          </w:p>
        </w:tc>
        <w:tc>
          <w:tcPr>
            <w:tcW w:w="398" w:type="pct"/>
            <w:hideMark/>
          </w:tcPr>
          <w:p w:rsidR="0034657E" w:rsidRPr="004E355C" w:rsidRDefault="0034657E" w:rsidP="00900B3D">
            <w:pPr>
              <w:pStyle w:val="NormalWeb"/>
              <w:spacing w:before="0" w:beforeAutospacing="0" w:after="0" w:afterAutospacing="0"/>
              <w:jc w:val="right"/>
              <w:textAlignment w:val="bottom"/>
              <w:rPr>
                <w:rFonts w:cstheme="minorHAnsi"/>
                <w:b/>
                <w:sz w:val="18"/>
                <w:szCs w:val="18"/>
              </w:rPr>
            </w:pPr>
            <w:r>
              <w:rPr>
                <w:rFonts w:cstheme="minorHAnsi"/>
                <w:b/>
                <w:kern w:val="24"/>
                <w:sz w:val="18"/>
                <w:szCs w:val="18"/>
              </w:rPr>
              <w:t>22.1</w:t>
            </w:r>
            <w:r w:rsidRPr="004E355C">
              <w:rPr>
                <w:rFonts w:cstheme="minorHAnsi"/>
                <w:b/>
                <w:kern w:val="24"/>
                <w:sz w:val="18"/>
                <w:szCs w:val="18"/>
              </w:rPr>
              <w:t>%</w:t>
            </w:r>
          </w:p>
        </w:tc>
        <w:tc>
          <w:tcPr>
            <w:tcW w:w="334" w:type="pct"/>
            <w:hideMark/>
          </w:tcPr>
          <w:p w:rsidR="0034657E" w:rsidRPr="004E355C" w:rsidRDefault="0034657E" w:rsidP="00900B3D">
            <w:pPr>
              <w:pStyle w:val="NormalWeb"/>
              <w:spacing w:before="0" w:beforeAutospacing="0" w:after="0" w:afterAutospacing="0"/>
              <w:jc w:val="right"/>
              <w:textAlignment w:val="bottom"/>
              <w:rPr>
                <w:rFonts w:cstheme="minorHAnsi"/>
                <w:b/>
                <w:sz w:val="18"/>
                <w:szCs w:val="18"/>
              </w:rPr>
            </w:pPr>
            <w:r>
              <w:rPr>
                <w:rFonts w:cstheme="minorHAnsi"/>
                <w:b/>
                <w:kern w:val="24"/>
                <w:sz w:val="18"/>
                <w:szCs w:val="18"/>
              </w:rPr>
              <w:t>760</w:t>
            </w:r>
          </w:p>
        </w:tc>
        <w:tc>
          <w:tcPr>
            <w:tcW w:w="335" w:type="pct"/>
            <w:hideMark/>
          </w:tcPr>
          <w:p w:rsidR="0034657E" w:rsidRPr="004E355C" w:rsidRDefault="0034657E" w:rsidP="00900B3D">
            <w:pPr>
              <w:pStyle w:val="NormalWeb"/>
              <w:spacing w:before="0" w:beforeAutospacing="0" w:after="0" w:afterAutospacing="0"/>
              <w:jc w:val="right"/>
              <w:textAlignment w:val="bottom"/>
              <w:rPr>
                <w:rFonts w:cstheme="minorHAnsi"/>
                <w:b/>
                <w:sz w:val="18"/>
                <w:szCs w:val="18"/>
              </w:rPr>
            </w:pPr>
            <w:r>
              <w:rPr>
                <w:rFonts w:cstheme="minorHAnsi"/>
                <w:b/>
                <w:kern w:val="24"/>
                <w:sz w:val="18"/>
                <w:szCs w:val="18"/>
              </w:rPr>
              <w:t>1,057</w:t>
            </w:r>
          </w:p>
        </w:tc>
        <w:tc>
          <w:tcPr>
            <w:tcW w:w="335" w:type="pct"/>
            <w:hideMark/>
          </w:tcPr>
          <w:p w:rsidR="0034657E" w:rsidRPr="004E355C" w:rsidRDefault="0034657E" w:rsidP="00900B3D">
            <w:pPr>
              <w:pStyle w:val="NormalWeb"/>
              <w:spacing w:before="0" w:beforeAutospacing="0" w:after="0" w:afterAutospacing="0"/>
              <w:jc w:val="right"/>
              <w:textAlignment w:val="bottom"/>
              <w:rPr>
                <w:rFonts w:cstheme="minorHAnsi"/>
                <w:b/>
                <w:sz w:val="18"/>
                <w:szCs w:val="18"/>
              </w:rPr>
            </w:pPr>
            <w:r>
              <w:rPr>
                <w:rFonts w:cstheme="minorHAnsi"/>
                <w:b/>
                <w:kern w:val="24"/>
                <w:sz w:val="18"/>
                <w:szCs w:val="18"/>
              </w:rPr>
              <w:t>297</w:t>
            </w:r>
          </w:p>
        </w:tc>
        <w:tc>
          <w:tcPr>
            <w:tcW w:w="461" w:type="pct"/>
            <w:hideMark/>
          </w:tcPr>
          <w:p w:rsidR="0034657E" w:rsidRPr="004E355C" w:rsidRDefault="0034657E" w:rsidP="00900B3D">
            <w:pPr>
              <w:pStyle w:val="NormalWeb"/>
              <w:spacing w:before="0" w:beforeAutospacing="0" w:after="0" w:afterAutospacing="0"/>
              <w:jc w:val="right"/>
              <w:textAlignment w:val="bottom"/>
              <w:rPr>
                <w:rFonts w:cstheme="minorHAnsi"/>
                <w:b/>
                <w:sz w:val="18"/>
                <w:szCs w:val="18"/>
              </w:rPr>
            </w:pPr>
            <w:r>
              <w:rPr>
                <w:rFonts w:cstheme="minorHAnsi"/>
                <w:b/>
                <w:kern w:val="24"/>
                <w:sz w:val="18"/>
                <w:szCs w:val="18"/>
              </w:rPr>
              <w:t>67.6</w:t>
            </w:r>
            <w:r w:rsidRPr="004E355C">
              <w:rPr>
                <w:rFonts w:cstheme="minorHAnsi"/>
                <w:b/>
                <w:kern w:val="24"/>
                <w:sz w:val="18"/>
                <w:szCs w:val="18"/>
              </w:rPr>
              <w:t>%</w:t>
            </w:r>
          </w:p>
        </w:tc>
        <w:tc>
          <w:tcPr>
            <w:tcW w:w="400" w:type="pct"/>
            <w:hideMark/>
          </w:tcPr>
          <w:p w:rsidR="0034657E" w:rsidRPr="004E355C" w:rsidRDefault="0034657E" w:rsidP="00900B3D">
            <w:pPr>
              <w:pStyle w:val="NormalWeb"/>
              <w:spacing w:before="0" w:beforeAutospacing="0" w:after="0" w:afterAutospacing="0"/>
              <w:jc w:val="right"/>
              <w:textAlignment w:val="bottom"/>
              <w:rPr>
                <w:rFonts w:cstheme="minorHAnsi"/>
                <w:b/>
                <w:sz w:val="18"/>
                <w:szCs w:val="18"/>
              </w:rPr>
            </w:pPr>
            <w:r>
              <w:rPr>
                <w:rFonts w:cstheme="minorHAnsi"/>
                <w:b/>
                <w:kern w:val="24"/>
                <w:sz w:val="18"/>
                <w:szCs w:val="18"/>
              </w:rPr>
              <w:t>74,100</w:t>
            </w:r>
          </w:p>
        </w:tc>
        <w:tc>
          <w:tcPr>
            <w:tcW w:w="401" w:type="pct"/>
            <w:hideMark/>
          </w:tcPr>
          <w:p w:rsidR="0034657E" w:rsidRPr="004E355C" w:rsidRDefault="0034657E" w:rsidP="00900B3D">
            <w:pPr>
              <w:pStyle w:val="NormalWeb"/>
              <w:spacing w:before="0" w:beforeAutospacing="0" w:after="0" w:afterAutospacing="0"/>
              <w:jc w:val="right"/>
              <w:textAlignment w:val="bottom"/>
              <w:rPr>
                <w:rFonts w:cstheme="minorHAnsi"/>
                <w:b/>
                <w:sz w:val="18"/>
                <w:szCs w:val="18"/>
              </w:rPr>
            </w:pPr>
            <w:r>
              <w:rPr>
                <w:rFonts w:cstheme="minorHAnsi"/>
                <w:b/>
                <w:kern w:val="24"/>
                <w:sz w:val="18"/>
                <w:szCs w:val="18"/>
              </w:rPr>
              <w:t>223</w:t>
            </w:r>
          </w:p>
        </w:tc>
        <w:tc>
          <w:tcPr>
            <w:tcW w:w="462" w:type="pct"/>
            <w:hideMark/>
          </w:tcPr>
          <w:p w:rsidR="0034657E" w:rsidRPr="004E355C" w:rsidRDefault="0034657E" w:rsidP="00900B3D">
            <w:pPr>
              <w:pStyle w:val="NormalWeb"/>
              <w:spacing w:before="0" w:beforeAutospacing="0" w:after="0" w:afterAutospacing="0"/>
              <w:jc w:val="right"/>
              <w:textAlignment w:val="bottom"/>
              <w:rPr>
                <w:rFonts w:cstheme="minorHAnsi"/>
                <w:b/>
                <w:sz w:val="18"/>
                <w:szCs w:val="18"/>
              </w:rPr>
            </w:pPr>
            <w:r>
              <w:rPr>
                <w:rFonts w:cstheme="minorHAnsi"/>
                <w:b/>
                <w:kern w:val="24"/>
                <w:sz w:val="18"/>
                <w:szCs w:val="18"/>
              </w:rPr>
              <w:t>297</w:t>
            </w:r>
          </w:p>
        </w:tc>
      </w:tr>
    </w:tbl>
    <w:p w:rsidR="0034657E" w:rsidRPr="004E355C" w:rsidRDefault="0034657E" w:rsidP="0034657E">
      <w:pPr>
        <w:tabs>
          <w:tab w:val="left" w:pos="2511"/>
          <w:tab w:val="center" w:pos="4680"/>
          <w:tab w:val="left" w:pos="9360"/>
        </w:tabs>
        <w:spacing w:line="276" w:lineRule="auto"/>
        <w:jc w:val="both"/>
        <w:rPr>
          <w:rFonts w:asciiTheme="minorHAnsi" w:hAnsiTheme="minorHAnsi"/>
          <w:sz w:val="20"/>
          <w:szCs w:val="20"/>
          <w:lang w:val="sq-AL"/>
        </w:rPr>
      </w:pPr>
      <w:r w:rsidRPr="004E355C">
        <w:rPr>
          <w:rFonts w:asciiTheme="minorHAnsi" w:hAnsiTheme="minorHAnsi"/>
          <w:sz w:val="20"/>
          <w:szCs w:val="20"/>
          <w:lang w:val="sq-AL"/>
        </w:rPr>
        <w:t>Burimi: Ministria e Financave dhe Ekonomisë (20</w:t>
      </w:r>
      <w:r>
        <w:rPr>
          <w:rFonts w:asciiTheme="minorHAnsi" w:hAnsiTheme="minorHAnsi"/>
          <w:sz w:val="20"/>
          <w:szCs w:val="20"/>
          <w:lang w:val="sq-AL"/>
        </w:rPr>
        <w:t>21</w:t>
      </w:r>
      <w:r w:rsidRPr="004E355C">
        <w:rPr>
          <w:rFonts w:asciiTheme="minorHAnsi" w:hAnsiTheme="minorHAnsi"/>
          <w:sz w:val="20"/>
          <w:szCs w:val="20"/>
          <w:lang w:val="sq-AL"/>
        </w:rPr>
        <w:t>)</w:t>
      </w:r>
    </w:p>
    <w:p w:rsidR="0034657E" w:rsidRPr="004E355C" w:rsidRDefault="0034657E" w:rsidP="0034657E">
      <w:pPr>
        <w:spacing w:before="240" w:line="276" w:lineRule="auto"/>
        <w:jc w:val="both"/>
        <w:rPr>
          <w:rFonts w:asciiTheme="minorHAnsi" w:hAnsiTheme="minorHAnsi"/>
          <w:lang w:val="sq-AL"/>
        </w:rPr>
      </w:pPr>
      <w:r w:rsidRPr="004E355C">
        <w:rPr>
          <w:rFonts w:asciiTheme="minorHAnsi" w:hAnsiTheme="minorHAnsi"/>
          <w:b/>
          <w:bCs/>
          <w:lang w:val="sq-AL"/>
        </w:rPr>
        <w:t xml:space="preserve">Të Ardhurat nga Drejtoria e Përgjithshme e Tatimeve </w:t>
      </w:r>
      <w:r w:rsidRPr="004E355C">
        <w:rPr>
          <w:rFonts w:asciiTheme="minorHAnsi" w:hAnsiTheme="minorHAnsi"/>
          <w:bCs/>
          <w:lang w:val="sq-AL"/>
        </w:rPr>
        <w:t>–</w:t>
      </w:r>
      <w:r w:rsidRPr="004E355C">
        <w:rPr>
          <w:rFonts w:asciiTheme="minorHAnsi" w:hAnsiTheme="minorHAnsi"/>
          <w:lang w:val="sq-AL"/>
        </w:rPr>
        <w:t xml:space="preserve"> </w:t>
      </w:r>
      <w:r w:rsidRPr="004E355C">
        <w:rPr>
          <w:rFonts w:asciiTheme="minorHAnsi" w:hAnsiTheme="minorHAnsi" w:cstheme="minorHAnsi"/>
        </w:rPr>
        <w:t>Të ardhurat e mbledhura nga administrata tatimore (përfshirë kontributet) për 5 mujorin e vitit 20</w:t>
      </w:r>
      <w:r>
        <w:rPr>
          <w:rFonts w:asciiTheme="minorHAnsi" w:hAnsiTheme="minorHAnsi" w:cstheme="minorHAnsi"/>
        </w:rPr>
        <w:t>21</w:t>
      </w:r>
      <w:r w:rsidRPr="004E355C">
        <w:rPr>
          <w:rFonts w:asciiTheme="minorHAnsi" w:hAnsiTheme="minorHAnsi" w:cstheme="minorHAnsi"/>
        </w:rPr>
        <w:t xml:space="preserve"> janë realizuar në vlerën </w:t>
      </w:r>
      <w:r>
        <w:rPr>
          <w:rFonts w:asciiTheme="minorHAnsi" w:hAnsiTheme="minorHAnsi" w:cstheme="minorHAnsi"/>
        </w:rPr>
        <w:t>98.6</w:t>
      </w:r>
      <w:r w:rsidRPr="004E355C">
        <w:rPr>
          <w:rFonts w:asciiTheme="minorHAnsi" w:hAnsiTheme="minorHAnsi" w:cstheme="minorHAnsi"/>
        </w:rPr>
        <w:t xml:space="preserve"> miliardë lekë, </w:t>
      </w:r>
      <w:r>
        <w:rPr>
          <w:rFonts w:asciiTheme="minorHAnsi" w:hAnsiTheme="minorHAnsi" w:cstheme="minorHAnsi"/>
        </w:rPr>
        <w:t>13.6</w:t>
      </w:r>
      <w:r w:rsidRPr="004E355C">
        <w:rPr>
          <w:rFonts w:asciiTheme="minorHAnsi" w:hAnsiTheme="minorHAnsi" w:cstheme="minorHAnsi"/>
        </w:rPr>
        <w:t xml:space="preserve">% ose </w:t>
      </w:r>
      <w:r>
        <w:rPr>
          <w:rFonts w:asciiTheme="minorHAnsi" w:hAnsiTheme="minorHAnsi" w:cstheme="minorHAnsi"/>
        </w:rPr>
        <w:t>11.8</w:t>
      </w:r>
      <w:r w:rsidRPr="004E355C">
        <w:rPr>
          <w:rFonts w:asciiTheme="minorHAnsi" w:hAnsiTheme="minorHAnsi" w:cstheme="minorHAnsi"/>
        </w:rPr>
        <w:t xml:space="preserve"> miliardë lekë më </w:t>
      </w:r>
      <w:r>
        <w:rPr>
          <w:rFonts w:asciiTheme="minorHAnsi" w:hAnsiTheme="minorHAnsi" w:cstheme="minorHAnsi"/>
        </w:rPr>
        <w:t>shumë</w:t>
      </w:r>
      <w:r w:rsidRPr="004E355C">
        <w:rPr>
          <w:rFonts w:asciiTheme="minorHAnsi" w:hAnsiTheme="minorHAnsi" w:cstheme="minorHAnsi"/>
        </w:rPr>
        <w:t xml:space="preserve"> se e njëjta periudhë e një viti më parë dhe </w:t>
      </w:r>
      <w:r>
        <w:rPr>
          <w:rFonts w:asciiTheme="minorHAnsi" w:hAnsiTheme="minorHAnsi" w:cstheme="minorHAnsi"/>
        </w:rPr>
        <w:t>0.9</w:t>
      </w:r>
      <w:r w:rsidRPr="004E355C">
        <w:rPr>
          <w:rFonts w:asciiTheme="minorHAnsi" w:hAnsiTheme="minorHAnsi" w:cstheme="minorHAnsi"/>
        </w:rPr>
        <w:t xml:space="preserve">% ose </w:t>
      </w:r>
      <w:r>
        <w:rPr>
          <w:rFonts w:asciiTheme="minorHAnsi" w:hAnsiTheme="minorHAnsi" w:cstheme="minorHAnsi"/>
        </w:rPr>
        <w:t>886</w:t>
      </w:r>
      <w:r w:rsidRPr="004E355C">
        <w:rPr>
          <w:rFonts w:asciiTheme="minorHAnsi" w:hAnsiTheme="minorHAnsi" w:cstheme="minorHAnsi"/>
        </w:rPr>
        <w:t xml:space="preserve"> </w:t>
      </w:r>
      <w:r>
        <w:rPr>
          <w:rFonts w:asciiTheme="minorHAnsi" w:hAnsiTheme="minorHAnsi" w:cstheme="minorHAnsi"/>
        </w:rPr>
        <w:t>milionë lekë më shumë</w:t>
      </w:r>
      <w:r w:rsidRPr="004E355C">
        <w:rPr>
          <w:rFonts w:asciiTheme="minorHAnsi" w:hAnsiTheme="minorHAnsi" w:cstheme="minorHAnsi"/>
        </w:rPr>
        <w:t xml:space="preserve"> se plani i vitit 20</w:t>
      </w:r>
      <w:r>
        <w:rPr>
          <w:rFonts w:asciiTheme="minorHAnsi" w:hAnsiTheme="minorHAnsi" w:cstheme="minorHAnsi"/>
        </w:rPr>
        <w:t>21</w:t>
      </w:r>
      <w:r w:rsidRPr="004E355C">
        <w:rPr>
          <w:rFonts w:asciiTheme="minorHAnsi" w:hAnsiTheme="minorHAnsi"/>
          <w:lang w:val="sq-AL"/>
        </w:rPr>
        <w:t>.</w:t>
      </w:r>
    </w:p>
    <w:p w:rsidR="0034657E" w:rsidRDefault="0034657E" w:rsidP="0034657E">
      <w:pPr>
        <w:pStyle w:val="Caption"/>
        <w:keepNext/>
        <w:spacing w:before="240"/>
        <w:jc w:val="both"/>
        <w:rPr>
          <w:rFonts w:asciiTheme="minorHAnsi" w:hAnsiTheme="minorHAnsi"/>
          <w:b w:val="0"/>
          <w:bCs w:val="0"/>
          <w:i/>
          <w:color w:val="auto"/>
          <w:sz w:val="24"/>
          <w:szCs w:val="24"/>
          <w:lang w:val="sq-AL"/>
        </w:rPr>
      </w:pPr>
      <w:bookmarkStart w:id="24" w:name="_Toc12448431"/>
      <w:bookmarkStart w:id="25" w:name="_Toc76470122"/>
      <w:r w:rsidRPr="00A17731">
        <w:rPr>
          <w:rFonts w:asciiTheme="minorHAnsi" w:hAnsiTheme="minorHAnsi"/>
          <w:b w:val="0"/>
          <w:bCs w:val="0"/>
          <w:i/>
          <w:color w:val="auto"/>
          <w:sz w:val="22"/>
          <w:szCs w:val="24"/>
          <w:lang w:val="sq-AL"/>
        </w:rPr>
        <w:t xml:space="preserve">Grafiku </w:t>
      </w:r>
      <w:r w:rsidRPr="00A17731">
        <w:rPr>
          <w:rFonts w:asciiTheme="minorHAnsi" w:hAnsiTheme="minorHAnsi"/>
          <w:b w:val="0"/>
          <w:bCs w:val="0"/>
          <w:i/>
          <w:color w:val="auto"/>
          <w:sz w:val="22"/>
          <w:szCs w:val="24"/>
          <w:lang w:val="sq-AL"/>
        </w:rPr>
        <w:fldChar w:fldCharType="begin"/>
      </w:r>
      <w:r w:rsidRPr="00A17731">
        <w:rPr>
          <w:rFonts w:asciiTheme="minorHAnsi" w:hAnsiTheme="minorHAnsi"/>
          <w:b w:val="0"/>
          <w:bCs w:val="0"/>
          <w:i/>
          <w:color w:val="auto"/>
          <w:sz w:val="22"/>
          <w:szCs w:val="24"/>
          <w:lang w:val="sq-AL"/>
        </w:rPr>
        <w:instrText xml:space="preserve"> SEQ Grafiku \* ARABIC </w:instrText>
      </w:r>
      <w:r w:rsidRPr="00A17731">
        <w:rPr>
          <w:rFonts w:asciiTheme="minorHAnsi" w:hAnsiTheme="minorHAnsi"/>
          <w:b w:val="0"/>
          <w:bCs w:val="0"/>
          <w:i/>
          <w:color w:val="auto"/>
          <w:sz w:val="22"/>
          <w:szCs w:val="24"/>
          <w:lang w:val="sq-AL"/>
        </w:rPr>
        <w:fldChar w:fldCharType="separate"/>
      </w:r>
      <w:r w:rsidR="003C5F40">
        <w:rPr>
          <w:rFonts w:asciiTheme="minorHAnsi" w:hAnsiTheme="minorHAnsi"/>
          <w:b w:val="0"/>
          <w:bCs w:val="0"/>
          <w:i/>
          <w:noProof/>
          <w:color w:val="auto"/>
          <w:sz w:val="22"/>
          <w:szCs w:val="24"/>
          <w:lang w:val="sq-AL"/>
        </w:rPr>
        <w:t>3</w:t>
      </w:r>
      <w:r w:rsidRPr="00A17731">
        <w:rPr>
          <w:rFonts w:asciiTheme="minorHAnsi" w:hAnsiTheme="minorHAnsi"/>
          <w:b w:val="0"/>
          <w:bCs w:val="0"/>
          <w:i/>
          <w:color w:val="auto"/>
          <w:sz w:val="22"/>
          <w:szCs w:val="24"/>
          <w:lang w:val="sq-AL"/>
        </w:rPr>
        <w:fldChar w:fldCharType="end"/>
      </w:r>
      <w:r w:rsidRPr="00A17731">
        <w:rPr>
          <w:rFonts w:asciiTheme="minorHAnsi" w:hAnsiTheme="minorHAnsi"/>
          <w:b w:val="0"/>
          <w:bCs w:val="0"/>
          <w:i/>
          <w:color w:val="auto"/>
          <w:sz w:val="22"/>
          <w:szCs w:val="24"/>
          <w:lang w:val="sq-AL"/>
        </w:rPr>
        <w:t>: Të ardhurat nga Tatimet Janar- Maj 2021, Mujore dhe Progresive (në milionë lekë</w:t>
      </w:r>
      <w:r w:rsidRPr="004E355C">
        <w:rPr>
          <w:rFonts w:asciiTheme="minorHAnsi" w:hAnsiTheme="minorHAnsi"/>
          <w:b w:val="0"/>
          <w:bCs w:val="0"/>
          <w:i/>
          <w:color w:val="auto"/>
          <w:sz w:val="24"/>
          <w:szCs w:val="24"/>
          <w:lang w:val="sq-AL"/>
        </w:rPr>
        <w:t>)</w:t>
      </w:r>
      <w:bookmarkEnd w:id="24"/>
      <w:bookmarkEnd w:id="25"/>
    </w:p>
    <w:p w:rsidR="0034657E" w:rsidRPr="000C2A10" w:rsidRDefault="0034657E" w:rsidP="0034657E">
      <w:pPr>
        <w:rPr>
          <w:lang w:val="sq-AL"/>
        </w:rPr>
      </w:pPr>
      <w:r>
        <w:rPr>
          <w:noProof/>
        </w:rPr>
        <w:drawing>
          <wp:inline distT="0" distB="0" distL="0" distR="0" wp14:anchorId="558F61BB" wp14:editId="78A524DD">
            <wp:extent cx="2847975" cy="1666875"/>
            <wp:effectExtent l="0" t="0" r="9525" b="9525"/>
            <wp:docPr id="16" name="Chart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D1D79C6-A7B2-4A0A-B786-BE39F3B7A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noProof/>
        </w:rPr>
        <w:t xml:space="preserve"> </w:t>
      </w:r>
      <w:r>
        <w:rPr>
          <w:noProof/>
        </w:rPr>
        <w:drawing>
          <wp:anchor distT="0" distB="0" distL="114300" distR="114300" simplePos="0" relativeHeight="251654656" behindDoc="0" locked="0" layoutInCell="1" allowOverlap="1" wp14:anchorId="72841BA2" wp14:editId="5124FEAD">
            <wp:simplePos x="742950" y="4743450"/>
            <wp:positionH relativeFrom="column">
              <wp:align>left</wp:align>
            </wp:positionH>
            <wp:positionV relativeFrom="paragraph">
              <wp:align>top</wp:align>
            </wp:positionV>
            <wp:extent cx="2990850" cy="1680845"/>
            <wp:effectExtent l="0" t="0" r="0" b="14605"/>
            <wp:wrapSquare wrapText="bothSides"/>
            <wp:docPr id="7" name="Chart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CB3E3C4D-B430-463C-8936-18B7F94BB4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r>
        <w:rPr>
          <w:lang w:val="sq-AL"/>
        </w:rPr>
        <w:br w:type="textWrapping" w:clear="all"/>
      </w:r>
      <w:r w:rsidRPr="004E355C">
        <w:rPr>
          <w:rFonts w:asciiTheme="minorHAnsi" w:hAnsiTheme="minorHAnsi"/>
          <w:sz w:val="20"/>
          <w:szCs w:val="20"/>
          <w:lang w:val="sq-AL"/>
        </w:rPr>
        <w:t>Burimi: Ministria e Financave dhe Ekonomisë (20</w:t>
      </w:r>
      <w:r>
        <w:rPr>
          <w:rFonts w:asciiTheme="minorHAnsi" w:hAnsiTheme="minorHAnsi"/>
          <w:sz w:val="20"/>
          <w:szCs w:val="20"/>
          <w:lang w:val="sq-AL"/>
        </w:rPr>
        <w:t>21</w:t>
      </w:r>
      <w:r w:rsidRPr="004E355C">
        <w:rPr>
          <w:rFonts w:asciiTheme="minorHAnsi" w:hAnsiTheme="minorHAnsi"/>
          <w:sz w:val="20"/>
          <w:szCs w:val="20"/>
          <w:lang w:val="sq-AL"/>
        </w:rPr>
        <w:t>)</w:t>
      </w:r>
    </w:p>
    <w:p w:rsidR="0034657E" w:rsidRDefault="0034657E" w:rsidP="0034657E">
      <w:pPr>
        <w:spacing w:before="240" w:line="276" w:lineRule="auto"/>
        <w:jc w:val="both"/>
        <w:rPr>
          <w:rFonts w:asciiTheme="minorHAnsi" w:hAnsiTheme="minorHAnsi" w:cstheme="minorHAnsi"/>
        </w:rPr>
      </w:pPr>
      <w:r w:rsidRPr="004E355C">
        <w:rPr>
          <w:rFonts w:asciiTheme="minorHAnsi" w:hAnsiTheme="minorHAnsi" w:cstheme="minorHAnsi"/>
          <w:i/>
        </w:rPr>
        <w:t>Të ardhurat nga TVSH-ja neto brenda vendit</w:t>
      </w:r>
      <w:r w:rsidRPr="004E355C">
        <w:rPr>
          <w:rFonts w:asciiTheme="minorHAnsi" w:hAnsiTheme="minorHAnsi" w:cstheme="minorHAnsi"/>
        </w:rPr>
        <w:t xml:space="preserve"> janë realizuar në vlerën </w:t>
      </w:r>
      <w:r>
        <w:rPr>
          <w:rFonts w:asciiTheme="minorHAnsi" w:hAnsiTheme="minorHAnsi" w:cstheme="minorHAnsi"/>
        </w:rPr>
        <w:t>9.4</w:t>
      </w:r>
      <w:r w:rsidRPr="004E355C">
        <w:rPr>
          <w:rFonts w:asciiTheme="minorHAnsi" w:hAnsiTheme="minorHAnsi" w:cstheme="minorHAnsi"/>
        </w:rPr>
        <w:t xml:space="preserve"> miliardë lekë, </w:t>
      </w:r>
      <w:r>
        <w:rPr>
          <w:rFonts w:asciiTheme="minorHAnsi" w:hAnsiTheme="minorHAnsi" w:cstheme="minorHAnsi"/>
        </w:rPr>
        <w:t>80</w:t>
      </w:r>
      <w:r w:rsidRPr="004E355C">
        <w:rPr>
          <w:rFonts w:asciiTheme="minorHAnsi" w:hAnsiTheme="minorHAnsi" w:cstheme="minorHAnsi"/>
        </w:rPr>
        <w:t xml:space="preserve">% ose </w:t>
      </w:r>
      <w:r>
        <w:rPr>
          <w:rFonts w:asciiTheme="minorHAnsi" w:hAnsiTheme="minorHAnsi" w:cstheme="minorHAnsi"/>
        </w:rPr>
        <w:t>2.3</w:t>
      </w:r>
      <w:r w:rsidRPr="004E355C">
        <w:rPr>
          <w:rFonts w:asciiTheme="minorHAnsi" w:hAnsiTheme="minorHAnsi" w:cstheme="minorHAnsi"/>
        </w:rPr>
        <w:t xml:space="preserve"> mili</w:t>
      </w:r>
      <w:r>
        <w:rPr>
          <w:rFonts w:asciiTheme="minorHAnsi" w:hAnsiTheme="minorHAnsi" w:cstheme="minorHAnsi"/>
        </w:rPr>
        <w:t>ard</w:t>
      </w:r>
      <w:r w:rsidRPr="004E355C">
        <w:rPr>
          <w:rFonts w:asciiTheme="minorHAnsi" w:hAnsiTheme="minorHAnsi" w:cstheme="minorHAnsi"/>
        </w:rPr>
        <w:t>ë lekë më pak se 5 mujori i vitit 20</w:t>
      </w:r>
      <w:r>
        <w:rPr>
          <w:rFonts w:asciiTheme="minorHAnsi" w:hAnsiTheme="minorHAnsi" w:cstheme="minorHAnsi"/>
        </w:rPr>
        <w:t>20</w:t>
      </w:r>
      <w:r w:rsidRPr="004E355C">
        <w:rPr>
          <w:rFonts w:asciiTheme="minorHAnsi" w:hAnsiTheme="minorHAnsi" w:cstheme="minorHAnsi"/>
        </w:rPr>
        <w:t xml:space="preserve"> dhe me një realizim të planit të periudhës në masën </w:t>
      </w:r>
      <w:r>
        <w:rPr>
          <w:rFonts w:asciiTheme="minorHAnsi" w:hAnsiTheme="minorHAnsi" w:cstheme="minorHAnsi"/>
        </w:rPr>
        <w:t>91.2</w:t>
      </w:r>
      <w:r w:rsidRPr="004E355C">
        <w:rPr>
          <w:rFonts w:asciiTheme="minorHAnsi" w:hAnsiTheme="minorHAnsi" w:cstheme="minorHAnsi"/>
        </w:rPr>
        <w:t xml:space="preserve">% ose rreth </w:t>
      </w:r>
      <w:r>
        <w:rPr>
          <w:rFonts w:asciiTheme="minorHAnsi" w:hAnsiTheme="minorHAnsi" w:cstheme="minorHAnsi"/>
        </w:rPr>
        <w:t>0.9</w:t>
      </w:r>
      <w:r w:rsidRPr="004E355C">
        <w:rPr>
          <w:rFonts w:asciiTheme="minorHAnsi" w:hAnsiTheme="minorHAnsi" w:cstheme="minorHAnsi"/>
        </w:rPr>
        <w:t xml:space="preserve"> miliardë lekë më pak. </w:t>
      </w:r>
      <w:r w:rsidRPr="00113514">
        <w:rPr>
          <w:rFonts w:asciiTheme="minorHAnsi" w:hAnsiTheme="minorHAnsi" w:cstheme="minorHAnsi"/>
        </w:rPr>
        <w:t xml:space="preserve">Rimbursimi i TVSH-së krahasuar me 5 mujorin e vitit të kaluar është 108.6%, ose 6.4 miliardë lekë më shumë dhe </w:t>
      </w:r>
      <w:r>
        <w:rPr>
          <w:rFonts w:asciiTheme="minorHAnsi" w:hAnsiTheme="minorHAnsi" w:cstheme="minorHAnsi"/>
        </w:rPr>
        <w:t>1</w:t>
      </w:r>
      <w:r w:rsidRPr="00113514">
        <w:rPr>
          <w:rFonts w:asciiTheme="minorHAnsi" w:hAnsiTheme="minorHAnsi" w:cstheme="minorHAnsi"/>
        </w:rPr>
        <w:t>49.7% ose 4.1 miliardë lekë më shumë krahasuar me planin e vitit 2021.</w:t>
      </w:r>
    </w:p>
    <w:p w:rsidR="0034657E" w:rsidRPr="004E355C" w:rsidRDefault="0034657E" w:rsidP="0034657E">
      <w:pPr>
        <w:spacing w:before="240" w:line="276" w:lineRule="auto"/>
        <w:jc w:val="both"/>
        <w:rPr>
          <w:rFonts w:asciiTheme="minorHAnsi" w:eastAsia="SimSun" w:hAnsiTheme="minorHAnsi"/>
          <w:sz w:val="8"/>
          <w:szCs w:val="8"/>
          <w:lang w:val="sq-AL"/>
        </w:rPr>
      </w:pPr>
    </w:p>
    <w:p w:rsidR="0034657E" w:rsidRPr="00A17731" w:rsidRDefault="0034657E" w:rsidP="0034657E">
      <w:pPr>
        <w:pStyle w:val="Caption"/>
        <w:keepNext/>
        <w:spacing w:after="0"/>
        <w:jc w:val="both"/>
        <w:rPr>
          <w:rFonts w:asciiTheme="minorHAnsi" w:hAnsiTheme="minorHAnsi"/>
          <w:b w:val="0"/>
          <w:bCs w:val="0"/>
          <w:i/>
          <w:color w:val="auto"/>
          <w:sz w:val="22"/>
          <w:szCs w:val="24"/>
          <w:lang w:val="sq-AL"/>
        </w:rPr>
      </w:pPr>
      <w:bookmarkStart w:id="26" w:name="_Toc12448432"/>
      <w:r w:rsidRPr="00A17731">
        <w:rPr>
          <w:rFonts w:asciiTheme="minorHAnsi" w:hAnsiTheme="minorHAnsi"/>
          <w:b w:val="0"/>
          <w:bCs w:val="0"/>
          <w:i/>
          <w:color w:val="auto"/>
          <w:sz w:val="22"/>
          <w:szCs w:val="24"/>
          <w:lang w:val="sq-AL"/>
        </w:rPr>
        <w:lastRenderedPageBreak/>
        <w:t>Grafiku: Të ardhura nga TVSH dhe rimbursimi i TVSH, 5 mujori në vite (në miliardë lekë)</w:t>
      </w:r>
      <w:bookmarkEnd w:id="26"/>
    </w:p>
    <w:p w:rsidR="0034657E" w:rsidRPr="0053764B" w:rsidRDefault="0034657E" w:rsidP="00A17731">
      <w:pPr>
        <w:jc w:val="center"/>
        <w:rPr>
          <w:lang w:val="sq-AL"/>
        </w:rPr>
      </w:pPr>
      <w:r>
        <w:rPr>
          <w:noProof/>
        </w:rPr>
        <w:drawing>
          <wp:inline distT="0" distB="0" distL="0" distR="0" wp14:anchorId="134B112F" wp14:editId="41DF05DA">
            <wp:extent cx="6002655" cy="1661160"/>
            <wp:effectExtent l="0" t="0" r="17145" b="15240"/>
            <wp:docPr id="32" name="Chart 32">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FAC828DE-335E-47CB-9342-E404C94E4E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4657E" w:rsidRPr="0053764B" w:rsidRDefault="0034657E" w:rsidP="0034657E">
      <w:pPr>
        <w:tabs>
          <w:tab w:val="left" w:pos="540"/>
          <w:tab w:val="center" w:pos="4680"/>
          <w:tab w:val="left" w:pos="9360"/>
        </w:tabs>
        <w:spacing w:line="276" w:lineRule="auto"/>
        <w:rPr>
          <w:rFonts w:asciiTheme="minorHAnsi" w:hAnsiTheme="minorHAnsi"/>
          <w:sz w:val="20"/>
          <w:szCs w:val="20"/>
          <w:lang w:val="sq-AL"/>
        </w:rPr>
      </w:pPr>
      <w:r w:rsidRPr="004E355C">
        <w:rPr>
          <w:rFonts w:asciiTheme="minorHAnsi" w:hAnsiTheme="minorHAnsi"/>
          <w:sz w:val="20"/>
          <w:szCs w:val="20"/>
          <w:lang w:val="sq-AL"/>
        </w:rPr>
        <w:t>Burimi: Ministria e Financave dhe Ekonomisë (20</w:t>
      </w:r>
      <w:r>
        <w:rPr>
          <w:rFonts w:asciiTheme="minorHAnsi" w:hAnsiTheme="minorHAnsi"/>
          <w:sz w:val="20"/>
          <w:szCs w:val="20"/>
          <w:lang w:val="sq-AL"/>
        </w:rPr>
        <w:t>21</w:t>
      </w:r>
      <w:r w:rsidRPr="004E355C">
        <w:rPr>
          <w:rFonts w:asciiTheme="minorHAnsi" w:hAnsiTheme="minorHAnsi"/>
          <w:sz w:val="20"/>
          <w:szCs w:val="20"/>
          <w:lang w:val="sq-AL"/>
        </w:rPr>
        <w:t>)</w:t>
      </w:r>
    </w:p>
    <w:p w:rsidR="0034657E" w:rsidRPr="004E355C" w:rsidRDefault="0034657E" w:rsidP="0034657E">
      <w:pPr>
        <w:spacing w:line="276" w:lineRule="auto"/>
        <w:jc w:val="both"/>
        <w:rPr>
          <w:rFonts w:asciiTheme="minorHAnsi" w:hAnsiTheme="minorHAnsi"/>
          <w:b/>
          <w:i/>
          <w:sz w:val="16"/>
          <w:lang w:val="sq-AL"/>
        </w:rPr>
      </w:pPr>
    </w:p>
    <w:p w:rsidR="0034657E" w:rsidRPr="00DD6D17" w:rsidRDefault="0034657E" w:rsidP="0034657E">
      <w:pPr>
        <w:spacing w:before="80" w:line="276" w:lineRule="auto"/>
        <w:jc w:val="both"/>
        <w:rPr>
          <w:rFonts w:asciiTheme="minorHAnsi" w:hAnsiTheme="minorHAnsi"/>
          <w:lang w:val="sq-AL"/>
        </w:rPr>
      </w:pPr>
      <w:r w:rsidRPr="00C21C2C">
        <w:rPr>
          <w:rFonts w:asciiTheme="minorHAnsi" w:hAnsiTheme="minorHAnsi" w:cstheme="minorHAnsi"/>
          <w:b/>
          <w:bCs/>
          <w:i/>
        </w:rPr>
        <w:t>Të ardhurat nga tatimi mbi fitimin</w:t>
      </w:r>
      <w:r w:rsidRPr="004E355C">
        <w:rPr>
          <w:rFonts w:asciiTheme="minorHAnsi" w:hAnsiTheme="minorHAnsi" w:cstheme="minorHAnsi"/>
        </w:rPr>
        <w:t xml:space="preserve"> janë realizuar në vler</w:t>
      </w:r>
      <w:bookmarkStart w:id="27" w:name="_Hlk43285693"/>
      <w:r w:rsidRPr="004E355C">
        <w:rPr>
          <w:rFonts w:asciiTheme="minorHAnsi" w:hAnsiTheme="minorHAnsi" w:cstheme="minorHAnsi"/>
        </w:rPr>
        <w:t>ë</w:t>
      </w:r>
      <w:bookmarkEnd w:id="27"/>
      <w:r w:rsidRPr="004E355C">
        <w:rPr>
          <w:rFonts w:asciiTheme="minorHAnsi" w:hAnsiTheme="minorHAnsi" w:cstheme="minorHAnsi"/>
        </w:rPr>
        <w:t xml:space="preserve">n </w:t>
      </w:r>
      <w:r>
        <w:rPr>
          <w:rFonts w:asciiTheme="minorHAnsi" w:hAnsiTheme="minorHAnsi" w:cstheme="minorHAnsi"/>
        </w:rPr>
        <w:t>15.1</w:t>
      </w:r>
      <w:r w:rsidRPr="004E355C">
        <w:rPr>
          <w:rFonts w:asciiTheme="minorHAnsi" w:hAnsiTheme="minorHAnsi" w:cstheme="minorHAnsi"/>
        </w:rPr>
        <w:t xml:space="preserve"> miliardë lekë, </w:t>
      </w:r>
      <w:r>
        <w:rPr>
          <w:rFonts w:asciiTheme="minorHAnsi" w:hAnsiTheme="minorHAnsi" w:cstheme="minorHAnsi"/>
        </w:rPr>
        <w:t>132.3%</w:t>
      </w:r>
      <w:r w:rsidRPr="004E355C">
        <w:rPr>
          <w:rFonts w:asciiTheme="minorHAnsi" w:hAnsiTheme="minorHAnsi" w:cstheme="minorHAnsi"/>
        </w:rPr>
        <w:t xml:space="preserve"> </w:t>
      </w:r>
      <w:r>
        <w:rPr>
          <w:rFonts w:asciiTheme="minorHAnsi" w:hAnsiTheme="minorHAnsi" w:cstheme="minorHAnsi"/>
        </w:rPr>
        <w:t>ose 3.6 miliard</w:t>
      </w:r>
      <w:r w:rsidRPr="00113514">
        <w:t>ë</w:t>
      </w:r>
      <w:r>
        <w:t xml:space="preserve"> </w:t>
      </w:r>
      <w:r w:rsidRPr="004E355C">
        <w:rPr>
          <w:rFonts w:asciiTheme="minorHAnsi" w:hAnsiTheme="minorHAnsi" w:cstheme="minorHAnsi"/>
        </w:rPr>
        <w:t xml:space="preserve">më </w:t>
      </w:r>
      <w:r>
        <w:rPr>
          <w:rFonts w:asciiTheme="minorHAnsi" w:hAnsiTheme="minorHAnsi" w:cstheme="minorHAnsi"/>
        </w:rPr>
        <w:t xml:space="preserve">shumë se 5 mujori 2020 si dhe 136 milionë </w:t>
      </w:r>
      <w:r w:rsidRPr="004E355C">
        <w:rPr>
          <w:rFonts w:asciiTheme="minorHAnsi" w:hAnsiTheme="minorHAnsi" w:cstheme="minorHAnsi"/>
        </w:rPr>
        <w:t>lek</w:t>
      </w:r>
      <w:bookmarkStart w:id="28" w:name="_Hlk43285754"/>
      <w:r w:rsidRPr="004E355C">
        <w:rPr>
          <w:rFonts w:asciiTheme="minorHAnsi" w:hAnsiTheme="minorHAnsi" w:cstheme="minorHAnsi"/>
        </w:rPr>
        <w:t>ë</w:t>
      </w:r>
      <w:bookmarkEnd w:id="28"/>
      <w:r w:rsidRPr="004E355C">
        <w:rPr>
          <w:rFonts w:asciiTheme="minorHAnsi" w:hAnsiTheme="minorHAnsi" w:cstheme="minorHAnsi"/>
        </w:rPr>
        <w:t xml:space="preserve"> </w:t>
      </w:r>
      <w:r>
        <w:rPr>
          <w:rFonts w:asciiTheme="minorHAnsi" w:hAnsiTheme="minorHAnsi" w:cstheme="minorHAnsi"/>
        </w:rPr>
        <w:t xml:space="preserve">ose 99.1% </w:t>
      </w:r>
      <w:r w:rsidRPr="004E355C">
        <w:rPr>
          <w:rFonts w:asciiTheme="minorHAnsi" w:hAnsiTheme="minorHAnsi" w:cstheme="minorHAnsi"/>
        </w:rPr>
        <w:t xml:space="preserve">më </w:t>
      </w:r>
      <w:r>
        <w:rPr>
          <w:rFonts w:asciiTheme="minorHAnsi" w:hAnsiTheme="minorHAnsi" w:cstheme="minorHAnsi"/>
        </w:rPr>
        <w:t>krahasuar me planin e 2021 për Tatimin mbi Fitimin</w:t>
      </w:r>
      <w:r w:rsidRPr="004E355C">
        <w:rPr>
          <w:rFonts w:asciiTheme="minorHAnsi" w:hAnsiTheme="minorHAnsi" w:cstheme="minorHAnsi"/>
        </w:rPr>
        <w:t xml:space="preserve">. </w:t>
      </w:r>
    </w:p>
    <w:p w:rsidR="0034657E" w:rsidRDefault="0034657E" w:rsidP="0034657E">
      <w:pPr>
        <w:pStyle w:val="Caption"/>
        <w:keepNext/>
        <w:spacing w:before="240" w:after="0"/>
        <w:jc w:val="both"/>
        <w:rPr>
          <w:rFonts w:asciiTheme="minorHAnsi" w:hAnsiTheme="minorHAnsi"/>
          <w:b w:val="0"/>
          <w:bCs w:val="0"/>
          <w:i/>
          <w:color w:val="000000" w:themeColor="text1"/>
          <w:sz w:val="24"/>
          <w:szCs w:val="24"/>
          <w:lang w:val="sq-AL"/>
        </w:rPr>
      </w:pPr>
      <w:bookmarkStart w:id="29" w:name="_Toc12448433"/>
      <w:bookmarkStart w:id="30" w:name="_Toc76470123"/>
      <w:r w:rsidRPr="00CB43FC">
        <w:rPr>
          <w:rFonts w:asciiTheme="minorHAnsi" w:hAnsiTheme="minorHAnsi"/>
          <w:b w:val="0"/>
          <w:bCs w:val="0"/>
          <w:i/>
          <w:color w:val="000000" w:themeColor="text1"/>
          <w:sz w:val="24"/>
          <w:szCs w:val="24"/>
          <w:lang w:val="sq-AL"/>
        </w:rPr>
        <w:t xml:space="preserve">Grafiku </w:t>
      </w:r>
      <w:r w:rsidRPr="00CB43FC">
        <w:rPr>
          <w:rFonts w:asciiTheme="minorHAnsi" w:hAnsiTheme="minorHAnsi"/>
          <w:b w:val="0"/>
          <w:bCs w:val="0"/>
          <w:i/>
          <w:color w:val="000000" w:themeColor="text1"/>
          <w:sz w:val="24"/>
          <w:szCs w:val="24"/>
          <w:lang w:val="sq-AL"/>
        </w:rPr>
        <w:fldChar w:fldCharType="begin"/>
      </w:r>
      <w:r w:rsidRPr="00CB43FC">
        <w:rPr>
          <w:rFonts w:asciiTheme="minorHAnsi" w:hAnsiTheme="minorHAnsi"/>
          <w:b w:val="0"/>
          <w:bCs w:val="0"/>
          <w:i/>
          <w:color w:val="000000" w:themeColor="text1"/>
          <w:sz w:val="24"/>
          <w:szCs w:val="24"/>
          <w:lang w:val="sq-AL"/>
        </w:rPr>
        <w:instrText xml:space="preserve"> SEQ Grafiku \* ARABIC </w:instrText>
      </w:r>
      <w:r w:rsidRPr="00CB43FC">
        <w:rPr>
          <w:rFonts w:asciiTheme="minorHAnsi" w:hAnsiTheme="minorHAnsi"/>
          <w:b w:val="0"/>
          <w:bCs w:val="0"/>
          <w:i/>
          <w:color w:val="000000" w:themeColor="text1"/>
          <w:sz w:val="24"/>
          <w:szCs w:val="24"/>
          <w:lang w:val="sq-AL"/>
        </w:rPr>
        <w:fldChar w:fldCharType="separate"/>
      </w:r>
      <w:r w:rsidR="003C5F40">
        <w:rPr>
          <w:rFonts w:asciiTheme="minorHAnsi" w:hAnsiTheme="minorHAnsi"/>
          <w:b w:val="0"/>
          <w:bCs w:val="0"/>
          <w:i/>
          <w:noProof/>
          <w:color w:val="000000" w:themeColor="text1"/>
          <w:sz w:val="24"/>
          <w:szCs w:val="24"/>
          <w:lang w:val="sq-AL"/>
        </w:rPr>
        <w:t>4</w:t>
      </w:r>
      <w:r w:rsidRPr="00CB43FC">
        <w:rPr>
          <w:rFonts w:asciiTheme="minorHAnsi" w:hAnsiTheme="minorHAnsi"/>
          <w:b w:val="0"/>
          <w:bCs w:val="0"/>
          <w:i/>
          <w:color w:val="000000" w:themeColor="text1"/>
          <w:sz w:val="24"/>
          <w:szCs w:val="24"/>
          <w:lang w:val="sq-AL"/>
        </w:rPr>
        <w:fldChar w:fldCharType="end"/>
      </w:r>
      <w:r w:rsidRPr="00CB43FC">
        <w:rPr>
          <w:rFonts w:asciiTheme="minorHAnsi" w:hAnsiTheme="minorHAnsi"/>
          <w:b w:val="0"/>
          <w:bCs w:val="0"/>
          <w:i/>
          <w:color w:val="000000" w:themeColor="text1"/>
          <w:sz w:val="24"/>
          <w:szCs w:val="24"/>
          <w:lang w:val="sq-AL"/>
        </w:rPr>
        <w:t>: Të ardhurat nga Tatim Fitimi, 5 mujori në vite (në miliardë lekë)</w:t>
      </w:r>
      <w:bookmarkEnd w:id="29"/>
      <w:bookmarkEnd w:id="30"/>
    </w:p>
    <w:p w:rsidR="0034657E" w:rsidRPr="00AB79FD" w:rsidRDefault="0034657E" w:rsidP="0034657E">
      <w:pPr>
        <w:rPr>
          <w:sz w:val="6"/>
          <w:lang w:val="sq-AL"/>
        </w:rPr>
      </w:pPr>
    </w:p>
    <w:p w:rsidR="0034657E" w:rsidRDefault="0034657E" w:rsidP="00A17731">
      <w:pPr>
        <w:jc w:val="center"/>
        <w:rPr>
          <w:lang w:val="sq-AL"/>
        </w:rPr>
      </w:pPr>
      <w:r>
        <w:rPr>
          <w:noProof/>
        </w:rPr>
        <w:drawing>
          <wp:inline distT="0" distB="0" distL="0" distR="0" wp14:anchorId="23F04481" wp14:editId="5380C734">
            <wp:extent cx="5991225" cy="1181100"/>
            <wp:effectExtent l="0" t="0" r="9525" b="0"/>
            <wp:docPr id="41" name="Chart 4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20185E6-030B-4638-BDBD-D969CC73FA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4657E" w:rsidRDefault="0034657E" w:rsidP="0034657E">
      <w:pPr>
        <w:tabs>
          <w:tab w:val="left" w:pos="540"/>
          <w:tab w:val="center" w:pos="4680"/>
        </w:tabs>
        <w:spacing w:line="276" w:lineRule="auto"/>
        <w:rPr>
          <w:rFonts w:asciiTheme="minorHAnsi" w:hAnsiTheme="minorHAnsi"/>
          <w:sz w:val="20"/>
          <w:szCs w:val="20"/>
          <w:lang w:val="sq-AL"/>
        </w:rPr>
      </w:pPr>
      <w:r w:rsidRPr="004E355C">
        <w:rPr>
          <w:rFonts w:asciiTheme="minorHAnsi" w:hAnsiTheme="minorHAnsi"/>
          <w:sz w:val="20"/>
          <w:szCs w:val="20"/>
          <w:lang w:val="sq-AL"/>
        </w:rPr>
        <w:t>Burimi: Ministria e Financave dhe Ekonomisë (20</w:t>
      </w:r>
      <w:r>
        <w:rPr>
          <w:rFonts w:asciiTheme="minorHAnsi" w:hAnsiTheme="minorHAnsi"/>
          <w:sz w:val="20"/>
          <w:szCs w:val="20"/>
          <w:lang w:val="sq-AL"/>
        </w:rPr>
        <w:t>21</w:t>
      </w:r>
      <w:r w:rsidRPr="004E355C">
        <w:rPr>
          <w:rFonts w:asciiTheme="minorHAnsi" w:hAnsiTheme="minorHAnsi"/>
          <w:sz w:val="20"/>
          <w:szCs w:val="20"/>
          <w:lang w:val="sq-AL"/>
        </w:rPr>
        <w:t>)</w:t>
      </w:r>
    </w:p>
    <w:p w:rsidR="0034657E" w:rsidRPr="004E355C" w:rsidRDefault="0034657E" w:rsidP="0034657E">
      <w:pPr>
        <w:tabs>
          <w:tab w:val="left" w:pos="540"/>
          <w:tab w:val="center" w:pos="4680"/>
        </w:tabs>
        <w:spacing w:line="276" w:lineRule="auto"/>
        <w:rPr>
          <w:rFonts w:asciiTheme="minorHAnsi" w:hAnsiTheme="minorHAnsi"/>
          <w:sz w:val="20"/>
          <w:szCs w:val="20"/>
          <w:lang w:val="sq-AL"/>
        </w:rPr>
      </w:pPr>
    </w:p>
    <w:p w:rsidR="0034657E" w:rsidRDefault="0034657E" w:rsidP="0034657E">
      <w:pPr>
        <w:jc w:val="both"/>
        <w:rPr>
          <w:rFonts w:asciiTheme="minorHAnsi" w:hAnsiTheme="minorHAnsi" w:cstheme="minorHAnsi"/>
        </w:rPr>
      </w:pPr>
      <w:r w:rsidRPr="004E355C">
        <w:rPr>
          <w:rFonts w:asciiTheme="minorHAnsi" w:hAnsiTheme="minorHAnsi"/>
          <w:b/>
          <w:i/>
          <w:lang w:val="sq-AL"/>
        </w:rPr>
        <w:t>Nga tatimi mbi të ardhurat personale</w:t>
      </w:r>
      <w:r w:rsidRPr="004E355C">
        <w:rPr>
          <w:rFonts w:asciiTheme="minorHAnsi" w:hAnsiTheme="minorHAnsi"/>
          <w:lang w:val="sq-AL"/>
        </w:rPr>
        <w:t xml:space="preserve"> </w:t>
      </w:r>
      <w:r w:rsidRPr="004E355C">
        <w:rPr>
          <w:rFonts w:asciiTheme="minorHAnsi" w:hAnsiTheme="minorHAnsi" w:cstheme="minorHAnsi"/>
          <w:lang w:val="it-IT"/>
        </w:rPr>
        <w:t>janë realizuar 1</w:t>
      </w:r>
      <w:r>
        <w:rPr>
          <w:rFonts w:asciiTheme="minorHAnsi" w:hAnsiTheme="minorHAnsi" w:cstheme="minorHAnsi"/>
          <w:lang w:val="it-IT"/>
        </w:rPr>
        <w:t>6</w:t>
      </w:r>
      <w:r w:rsidRPr="004E355C">
        <w:rPr>
          <w:rFonts w:asciiTheme="minorHAnsi" w:hAnsiTheme="minorHAnsi" w:cstheme="minorHAnsi"/>
          <w:lang w:val="it-IT"/>
        </w:rPr>
        <w:t xml:space="preserve"> miliardë lekë</w:t>
      </w:r>
      <w:r>
        <w:rPr>
          <w:rFonts w:asciiTheme="minorHAnsi" w:hAnsiTheme="minorHAnsi" w:cstheme="minorHAnsi"/>
          <w:lang w:val="it-IT"/>
        </w:rPr>
        <w:t>,</w:t>
      </w:r>
      <w:r w:rsidRPr="004E355C">
        <w:rPr>
          <w:rFonts w:asciiTheme="minorHAnsi" w:hAnsiTheme="minorHAnsi" w:cstheme="minorHAnsi"/>
          <w:lang w:val="it-IT"/>
        </w:rPr>
        <w:t xml:space="preserve"> </w:t>
      </w:r>
      <w:r>
        <w:rPr>
          <w:rFonts w:asciiTheme="minorHAnsi" w:hAnsiTheme="minorHAnsi" w:cstheme="minorHAnsi"/>
        </w:rPr>
        <w:t>118</w:t>
      </w:r>
      <w:r w:rsidRPr="004E355C">
        <w:rPr>
          <w:rFonts w:asciiTheme="minorHAnsi" w:hAnsiTheme="minorHAnsi" w:cstheme="minorHAnsi"/>
        </w:rPr>
        <w:t xml:space="preserve">% ose </w:t>
      </w:r>
      <w:r>
        <w:rPr>
          <w:rFonts w:asciiTheme="minorHAnsi" w:hAnsiTheme="minorHAnsi" w:cstheme="minorHAnsi"/>
        </w:rPr>
        <w:t>2.4</w:t>
      </w:r>
      <w:r w:rsidRPr="004E355C">
        <w:rPr>
          <w:rFonts w:asciiTheme="minorHAnsi" w:hAnsiTheme="minorHAnsi" w:cstheme="minorHAnsi"/>
        </w:rPr>
        <w:t xml:space="preserve"> miliardë lekë më </w:t>
      </w:r>
      <w:r>
        <w:rPr>
          <w:rFonts w:asciiTheme="minorHAnsi" w:hAnsiTheme="minorHAnsi" w:cstheme="minorHAnsi"/>
        </w:rPr>
        <w:t>shumë</w:t>
      </w:r>
      <w:r w:rsidRPr="004E355C">
        <w:rPr>
          <w:rFonts w:asciiTheme="minorHAnsi" w:hAnsiTheme="minorHAnsi" w:cstheme="minorHAnsi"/>
        </w:rPr>
        <w:t xml:space="preserve"> se e njëjta periudhë e vitit të kaluar dhe </w:t>
      </w:r>
      <w:r>
        <w:rPr>
          <w:rFonts w:asciiTheme="minorHAnsi" w:hAnsiTheme="minorHAnsi" w:cstheme="minorHAnsi"/>
        </w:rPr>
        <w:t>98.9</w:t>
      </w:r>
      <w:r w:rsidRPr="004E355C">
        <w:rPr>
          <w:rFonts w:asciiTheme="minorHAnsi" w:hAnsiTheme="minorHAnsi" w:cstheme="minorHAnsi"/>
        </w:rPr>
        <w:t xml:space="preserve">% ose </w:t>
      </w:r>
      <w:r>
        <w:rPr>
          <w:rFonts w:asciiTheme="minorHAnsi" w:hAnsiTheme="minorHAnsi" w:cstheme="minorHAnsi"/>
        </w:rPr>
        <w:t>177 milion</w:t>
      </w:r>
      <w:r w:rsidRPr="004E355C">
        <w:rPr>
          <w:rFonts w:asciiTheme="minorHAnsi" w:hAnsiTheme="minorHAnsi" w:cstheme="minorHAnsi"/>
        </w:rPr>
        <w:t xml:space="preserve"> lekë më </w:t>
      </w:r>
      <w:r>
        <w:rPr>
          <w:rFonts w:asciiTheme="minorHAnsi" w:hAnsiTheme="minorHAnsi" w:cstheme="minorHAnsi"/>
        </w:rPr>
        <w:t>pak</w:t>
      </w:r>
      <w:r w:rsidRPr="004E355C">
        <w:rPr>
          <w:rFonts w:asciiTheme="minorHAnsi" w:hAnsiTheme="minorHAnsi" w:cstheme="minorHAnsi"/>
        </w:rPr>
        <w:t xml:space="preserve"> se plani i periudhës</w:t>
      </w:r>
      <w:r w:rsidRPr="00F6395B">
        <w:rPr>
          <w:rFonts w:asciiTheme="minorHAnsi" w:hAnsiTheme="minorHAnsi" w:cstheme="minorHAnsi"/>
        </w:rPr>
        <w:t>.</w:t>
      </w:r>
      <w:r w:rsidRPr="00AB79FD">
        <w:rPr>
          <w:rFonts w:asciiTheme="minorHAnsi" w:hAnsiTheme="minorHAnsi" w:cstheme="minorHAnsi"/>
        </w:rPr>
        <w:t xml:space="preserve"> </w:t>
      </w:r>
    </w:p>
    <w:p w:rsidR="0034657E" w:rsidRPr="00AB79FD" w:rsidRDefault="0034657E" w:rsidP="0034657E">
      <w:pPr>
        <w:jc w:val="both"/>
        <w:rPr>
          <w:rFonts w:asciiTheme="minorHAnsi" w:hAnsiTheme="minorHAnsi" w:cstheme="minorHAnsi"/>
        </w:rPr>
      </w:pPr>
      <w:r w:rsidRPr="00AB79FD">
        <w:rPr>
          <w:rFonts w:asciiTheme="minorHAnsi" w:hAnsiTheme="minorHAnsi" w:cstheme="minorHAnsi"/>
        </w:rPr>
        <w:t>Rritja më e madhe ka ardhur për shkak të rritjes së të ardhurave nga tatimi mbi deklaratën individuale vjetore të të ardhurave me rritje 360% krahasuar me 5 mujorin e vitit 2020, si dhe të ardhurat nga tat</w:t>
      </w:r>
      <w:r>
        <w:rPr>
          <w:rFonts w:asciiTheme="minorHAnsi" w:hAnsiTheme="minorHAnsi" w:cstheme="minorHAnsi"/>
        </w:rPr>
        <w:t>imi mbi dividentin dhe aksionet</w:t>
      </w:r>
      <w:r w:rsidRPr="00AB79FD">
        <w:rPr>
          <w:rFonts w:asciiTheme="minorHAnsi" w:hAnsiTheme="minorHAnsi" w:cstheme="minorHAnsi"/>
        </w:rPr>
        <w:t xml:space="preserve"> me rritje 134% krahasuar me 5 mujorin e vitit 2020</w:t>
      </w:r>
    </w:p>
    <w:p w:rsidR="0034657E" w:rsidRPr="00061942" w:rsidRDefault="0034657E" w:rsidP="00C70943">
      <w:pPr>
        <w:pStyle w:val="Caption"/>
        <w:keepNext/>
        <w:spacing w:before="240"/>
        <w:jc w:val="both"/>
        <w:rPr>
          <w:rFonts w:asciiTheme="minorHAnsi" w:hAnsiTheme="minorHAnsi"/>
          <w:b w:val="0"/>
          <w:bCs w:val="0"/>
          <w:i/>
          <w:color w:val="000000" w:themeColor="text1"/>
          <w:sz w:val="24"/>
          <w:szCs w:val="24"/>
          <w:lang w:val="sq-AL"/>
        </w:rPr>
      </w:pPr>
      <w:bookmarkStart w:id="31" w:name="_Toc12448434"/>
      <w:r w:rsidRPr="00061942">
        <w:rPr>
          <w:rFonts w:asciiTheme="minorHAnsi" w:hAnsiTheme="minorHAnsi"/>
          <w:b w:val="0"/>
          <w:bCs w:val="0"/>
          <w:i/>
          <w:color w:val="000000" w:themeColor="text1"/>
          <w:sz w:val="24"/>
          <w:szCs w:val="24"/>
          <w:lang w:val="sq-AL"/>
        </w:rPr>
        <w:t>Grafiku</w:t>
      </w:r>
      <w:r>
        <w:rPr>
          <w:rFonts w:asciiTheme="minorHAnsi" w:hAnsiTheme="minorHAnsi"/>
          <w:b w:val="0"/>
          <w:bCs w:val="0"/>
          <w:i/>
          <w:color w:val="000000" w:themeColor="text1"/>
          <w:sz w:val="24"/>
          <w:szCs w:val="24"/>
          <w:lang w:val="sq-AL"/>
        </w:rPr>
        <w:t xml:space="preserve">   </w:t>
      </w:r>
      <w:r w:rsidRPr="00061942">
        <w:rPr>
          <w:rFonts w:asciiTheme="minorHAnsi" w:hAnsiTheme="minorHAnsi"/>
          <w:b w:val="0"/>
          <w:bCs w:val="0"/>
          <w:i/>
          <w:color w:val="000000" w:themeColor="text1"/>
          <w:sz w:val="24"/>
          <w:szCs w:val="24"/>
          <w:lang w:val="sq-AL"/>
        </w:rPr>
        <w:t>: Të ardhurat nga Tatimi mbi të Ardhurat Personale, në vite (në milion lekë)</w:t>
      </w:r>
      <w:bookmarkEnd w:id="31"/>
    </w:p>
    <w:p w:rsidR="0034657E" w:rsidRDefault="0034657E" w:rsidP="0034657E">
      <w:pPr>
        <w:rPr>
          <w:lang w:val="sq-AL"/>
        </w:rPr>
      </w:pPr>
      <w:r>
        <w:rPr>
          <w:noProof/>
        </w:rPr>
        <w:drawing>
          <wp:inline distT="0" distB="0" distL="0" distR="0" wp14:anchorId="0E66F487" wp14:editId="1EBFA255">
            <wp:extent cx="6124575" cy="1318260"/>
            <wp:effectExtent l="0" t="0" r="9525" b="15240"/>
            <wp:docPr id="42" name="Chart 4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D33FE583-5FC9-481E-B294-EC4D6C7D3E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4657E" w:rsidRPr="004E355C" w:rsidRDefault="0034657E" w:rsidP="0034657E">
      <w:pPr>
        <w:spacing w:line="276" w:lineRule="auto"/>
        <w:jc w:val="both"/>
        <w:rPr>
          <w:rFonts w:asciiTheme="minorHAnsi" w:eastAsia="SimSun" w:hAnsiTheme="minorHAnsi"/>
          <w:i/>
          <w:lang w:val="sq-AL"/>
        </w:rPr>
      </w:pPr>
      <w:r w:rsidRPr="004E355C">
        <w:rPr>
          <w:rFonts w:asciiTheme="minorHAnsi" w:hAnsiTheme="minorHAnsi"/>
          <w:sz w:val="20"/>
          <w:szCs w:val="20"/>
          <w:lang w:val="sq-AL"/>
        </w:rPr>
        <w:t>Burimi: Ministria e Financave dhe Ekonomisë (20</w:t>
      </w:r>
      <w:r>
        <w:rPr>
          <w:rFonts w:asciiTheme="minorHAnsi" w:hAnsiTheme="minorHAnsi"/>
          <w:sz w:val="20"/>
          <w:szCs w:val="20"/>
          <w:lang w:val="sq-AL"/>
        </w:rPr>
        <w:t>21</w:t>
      </w:r>
      <w:r w:rsidRPr="004E355C">
        <w:rPr>
          <w:rFonts w:asciiTheme="minorHAnsi" w:hAnsiTheme="minorHAnsi"/>
          <w:sz w:val="20"/>
          <w:szCs w:val="20"/>
          <w:lang w:val="sq-AL"/>
        </w:rPr>
        <w:t>)</w:t>
      </w:r>
      <w:r w:rsidRPr="004E355C">
        <w:rPr>
          <w:rFonts w:asciiTheme="minorHAnsi" w:eastAsia="SimSun" w:hAnsiTheme="minorHAnsi"/>
          <w:i/>
          <w:lang w:val="sq-AL"/>
        </w:rPr>
        <w:tab/>
      </w:r>
    </w:p>
    <w:p w:rsidR="0034657E" w:rsidRPr="004E355C" w:rsidRDefault="0034657E" w:rsidP="0034657E">
      <w:pPr>
        <w:spacing w:line="276" w:lineRule="auto"/>
        <w:jc w:val="both"/>
        <w:rPr>
          <w:rFonts w:asciiTheme="minorHAnsi" w:hAnsiTheme="minorHAnsi" w:cstheme="minorHAnsi"/>
          <w:sz w:val="8"/>
          <w:szCs w:val="8"/>
          <w:lang w:val="it-IT"/>
        </w:rPr>
      </w:pPr>
    </w:p>
    <w:p w:rsidR="00AE2134" w:rsidRDefault="00AE2134" w:rsidP="0034657E">
      <w:pPr>
        <w:spacing w:line="276" w:lineRule="auto"/>
        <w:jc w:val="both"/>
        <w:rPr>
          <w:rFonts w:asciiTheme="minorHAnsi" w:hAnsiTheme="minorHAnsi" w:cstheme="minorHAnsi"/>
          <w:b/>
          <w:bCs/>
          <w:i/>
          <w:iCs/>
          <w:lang w:val="it-IT"/>
        </w:rPr>
      </w:pPr>
    </w:p>
    <w:p w:rsidR="0034657E" w:rsidRDefault="0034657E" w:rsidP="0034657E">
      <w:pPr>
        <w:spacing w:line="276" w:lineRule="auto"/>
        <w:jc w:val="both"/>
        <w:rPr>
          <w:rFonts w:asciiTheme="minorHAnsi" w:hAnsiTheme="minorHAnsi"/>
          <w:lang w:val="sq-AL"/>
        </w:rPr>
      </w:pPr>
      <w:r w:rsidRPr="00C21C2C">
        <w:rPr>
          <w:rFonts w:asciiTheme="minorHAnsi" w:hAnsiTheme="minorHAnsi" w:cstheme="minorHAnsi"/>
          <w:b/>
          <w:bCs/>
          <w:i/>
          <w:iCs/>
          <w:lang w:val="it-IT"/>
        </w:rPr>
        <w:t>Nga “Taksat Kombëtare”</w:t>
      </w:r>
      <w:r w:rsidRPr="004E355C">
        <w:rPr>
          <w:rFonts w:asciiTheme="minorHAnsi" w:hAnsiTheme="minorHAnsi" w:cstheme="minorHAnsi"/>
          <w:lang w:val="it-IT"/>
        </w:rPr>
        <w:t xml:space="preserve"> janë realizuar </w:t>
      </w:r>
      <w:r>
        <w:rPr>
          <w:rFonts w:asciiTheme="minorHAnsi" w:hAnsiTheme="minorHAnsi" w:cstheme="minorHAnsi"/>
          <w:lang w:val="it-IT"/>
        </w:rPr>
        <w:t>14.8</w:t>
      </w:r>
      <w:r w:rsidRPr="004E355C">
        <w:rPr>
          <w:rFonts w:asciiTheme="minorHAnsi" w:hAnsiTheme="minorHAnsi" w:cstheme="minorHAnsi"/>
          <w:lang w:val="it-IT"/>
        </w:rPr>
        <w:t xml:space="preserve"> miliardë lekë,</w:t>
      </w:r>
      <w:r>
        <w:rPr>
          <w:rFonts w:asciiTheme="minorHAnsi" w:hAnsiTheme="minorHAnsi" w:cstheme="minorHAnsi"/>
          <w:lang w:val="it-IT"/>
        </w:rPr>
        <w:t xml:space="preserve"> 128% ose 3.2</w:t>
      </w:r>
      <w:r w:rsidRPr="004E355C">
        <w:rPr>
          <w:rFonts w:asciiTheme="minorHAnsi" w:hAnsiTheme="minorHAnsi" w:cstheme="minorHAnsi"/>
          <w:lang w:val="it-IT"/>
        </w:rPr>
        <w:t xml:space="preserve"> mili</w:t>
      </w:r>
      <w:r>
        <w:rPr>
          <w:rFonts w:asciiTheme="minorHAnsi" w:hAnsiTheme="minorHAnsi" w:cstheme="minorHAnsi"/>
          <w:lang w:val="it-IT"/>
        </w:rPr>
        <w:t>ard</w:t>
      </w:r>
      <w:r w:rsidRPr="004E355C">
        <w:rPr>
          <w:rFonts w:asciiTheme="minorHAnsi" w:hAnsiTheme="minorHAnsi" w:cstheme="minorHAnsi"/>
          <w:lang w:val="it-IT"/>
        </w:rPr>
        <w:t xml:space="preserve"> lekë më </w:t>
      </w:r>
      <w:r>
        <w:rPr>
          <w:rFonts w:asciiTheme="minorHAnsi" w:hAnsiTheme="minorHAnsi" w:cstheme="minorHAnsi"/>
          <w:lang w:val="it-IT"/>
        </w:rPr>
        <w:t>shumë</w:t>
      </w:r>
      <w:r w:rsidRPr="004E355C">
        <w:rPr>
          <w:rFonts w:asciiTheme="minorHAnsi" w:hAnsiTheme="minorHAnsi" w:cstheme="minorHAnsi"/>
          <w:lang w:val="it-IT"/>
        </w:rPr>
        <w:t xml:space="preserve"> se 5-mujori i vitit 20</w:t>
      </w:r>
      <w:r>
        <w:rPr>
          <w:rFonts w:asciiTheme="minorHAnsi" w:hAnsiTheme="minorHAnsi" w:cstheme="minorHAnsi"/>
          <w:lang w:val="it-IT"/>
        </w:rPr>
        <w:t>20</w:t>
      </w:r>
      <w:r w:rsidRPr="004E355C">
        <w:rPr>
          <w:rFonts w:asciiTheme="minorHAnsi" w:hAnsiTheme="minorHAnsi" w:cstheme="minorHAnsi"/>
          <w:lang w:val="it-IT"/>
        </w:rPr>
        <w:t xml:space="preserve"> dhe </w:t>
      </w:r>
      <w:r>
        <w:rPr>
          <w:rFonts w:asciiTheme="minorHAnsi" w:hAnsiTheme="minorHAnsi" w:cstheme="minorHAnsi"/>
          <w:lang w:val="it-IT"/>
        </w:rPr>
        <w:t>105</w:t>
      </w:r>
      <w:r w:rsidRPr="004E355C">
        <w:rPr>
          <w:rFonts w:asciiTheme="minorHAnsi" w:hAnsiTheme="minorHAnsi" w:cstheme="minorHAnsi"/>
          <w:lang w:val="it-IT"/>
        </w:rPr>
        <w:t>.</w:t>
      </w:r>
      <w:r>
        <w:rPr>
          <w:rFonts w:asciiTheme="minorHAnsi" w:hAnsiTheme="minorHAnsi" w:cstheme="minorHAnsi"/>
          <w:lang w:val="it-IT"/>
        </w:rPr>
        <w:t>8% ose 814</w:t>
      </w:r>
      <w:r w:rsidRPr="004E355C">
        <w:rPr>
          <w:rFonts w:asciiTheme="minorHAnsi" w:hAnsiTheme="minorHAnsi" w:cstheme="minorHAnsi"/>
          <w:lang w:val="it-IT"/>
        </w:rPr>
        <w:t xml:space="preserve"> mili</w:t>
      </w:r>
      <w:r>
        <w:rPr>
          <w:rFonts w:asciiTheme="minorHAnsi" w:hAnsiTheme="minorHAnsi" w:cstheme="minorHAnsi"/>
          <w:lang w:val="it-IT"/>
        </w:rPr>
        <w:t>on</w:t>
      </w:r>
      <w:r w:rsidRPr="004E355C">
        <w:rPr>
          <w:rFonts w:asciiTheme="minorHAnsi" w:hAnsiTheme="minorHAnsi" w:cstheme="minorHAnsi"/>
          <w:lang w:val="it-IT"/>
        </w:rPr>
        <w:t xml:space="preserve"> lekë më </w:t>
      </w:r>
      <w:r>
        <w:rPr>
          <w:rFonts w:asciiTheme="minorHAnsi" w:hAnsiTheme="minorHAnsi" w:cstheme="minorHAnsi"/>
          <w:lang w:val="it-IT"/>
        </w:rPr>
        <w:t>shumë</w:t>
      </w:r>
      <w:r w:rsidRPr="004E355C">
        <w:rPr>
          <w:rFonts w:asciiTheme="minorHAnsi" w:hAnsiTheme="minorHAnsi" w:cstheme="minorHAnsi"/>
          <w:lang w:val="it-IT"/>
        </w:rPr>
        <w:t xml:space="preserve"> s</w:t>
      </w:r>
      <w:r w:rsidRPr="004E355C">
        <w:rPr>
          <w:rFonts w:asciiTheme="minorHAnsi" w:eastAsia="Calibri" w:hAnsiTheme="minorHAnsi" w:cstheme="minorHAnsi"/>
          <w:lang w:val="it-IT"/>
        </w:rPr>
        <w:t>e plani</w:t>
      </w:r>
      <w:r w:rsidRPr="004E355C">
        <w:rPr>
          <w:rFonts w:asciiTheme="minorHAnsi" w:hAnsiTheme="minorHAnsi"/>
          <w:lang w:val="sq-AL"/>
        </w:rPr>
        <w:t xml:space="preserve">. </w:t>
      </w:r>
      <w:r>
        <w:rPr>
          <w:rFonts w:asciiTheme="minorHAnsi" w:hAnsiTheme="minorHAnsi" w:cstheme="minorHAnsi"/>
        </w:rPr>
        <w:t>Rritja me</w:t>
      </w:r>
      <w:r w:rsidRPr="0007449B">
        <w:rPr>
          <w:rFonts w:asciiTheme="minorHAnsi" w:hAnsiTheme="minorHAnsi" w:cstheme="minorHAnsi"/>
          <w:noProof/>
          <w:lang w:val="sq-AL"/>
        </w:rPr>
        <w:t xml:space="preserve"> </w:t>
      </w:r>
      <w:r w:rsidRPr="0010167E">
        <w:rPr>
          <w:rFonts w:asciiTheme="minorHAnsi" w:hAnsiTheme="minorHAnsi" w:cstheme="minorHAnsi"/>
          <w:noProof/>
          <w:lang w:val="sq-AL"/>
        </w:rPr>
        <w:t xml:space="preserve">vitin e kaluar </w:t>
      </w:r>
      <w:r w:rsidRPr="00DD6D17">
        <w:rPr>
          <w:rFonts w:asciiTheme="minorHAnsi" w:hAnsiTheme="minorHAnsi" w:cstheme="minorHAnsi"/>
          <w:noProof/>
          <w:lang w:val="sq-AL"/>
        </w:rPr>
        <w:t xml:space="preserve">vjen </w:t>
      </w:r>
      <w:r w:rsidRPr="0010167E">
        <w:rPr>
          <w:rFonts w:asciiTheme="minorHAnsi" w:hAnsiTheme="minorHAnsi" w:cstheme="minorHAnsi"/>
          <w:noProof/>
          <w:lang w:val="sq-AL"/>
        </w:rPr>
        <w:t xml:space="preserve">si rezultat i </w:t>
      </w:r>
      <w:r w:rsidRPr="0010167E">
        <w:rPr>
          <w:rFonts w:asciiTheme="minorHAnsi" w:hAnsiTheme="minorHAnsi"/>
          <w:lang w:val="sq-AL"/>
        </w:rPr>
        <w:t>masave lehtësuese në ekonomi</w:t>
      </w:r>
      <w:r>
        <w:rPr>
          <w:rFonts w:asciiTheme="minorHAnsi" w:hAnsiTheme="minorHAnsi"/>
          <w:lang w:val="sq-AL"/>
        </w:rPr>
        <w:t>.</w:t>
      </w:r>
    </w:p>
    <w:p w:rsidR="0034657E" w:rsidRPr="00A17731" w:rsidRDefault="0034657E" w:rsidP="00C70943">
      <w:pPr>
        <w:pStyle w:val="Caption"/>
        <w:keepNext/>
        <w:spacing w:after="0"/>
        <w:rPr>
          <w:rFonts w:asciiTheme="minorHAnsi" w:hAnsiTheme="minorHAnsi"/>
          <w:b w:val="0"/>
          <w:bCs w:val="0"/>
          <w:i/>
          <w:color w:val="auto"/>
          <w:sz w:val="22"/>
          <w:szCs w:val="24"/>
          <w:lang w:val="sq-AL"/>
        </w:rPr>
      </w:pPr>
      <w:bookmarkStart w:id="32" w:name="_Toc12448435"/>
      <w:r w:rsidRPr="00A17731">
        <w:rPr>
          <w:rFonts w:asciiTheme="minorHAnsi" w:hAnsiTheme="minorHAnsi"/>
          <w:b w:val="0"/>
          <w:bCs w:val="0"/>
          <w:i/>
          <w:color w:val="auto"/>
          <w:sz w:val="22"/>
          <w:szCs w:val="24"/>
          <w:lang w:val="sq-AL"/>
        </w:rPr>
        <w:lastRenderedPageBreak/>
        <w:t>Grafiku   : Të ardhurat 5 mujore nga Taksat nacionale, në vite (në miliardë lekë)</w:t>
      </w:r>
      <w:bookmarkEnd w:id="32"/>
    </w:p>
    <w:p w:rsidR="0034657E" w:rsidRPr="001629AE" w:rsidRDefault="0034657E" w:rsidP="0034657E">
      <w:pPr>
        <w:rPr>
          <w:lang w:val="sq-AL"/>
        </w:rPr>
      </w:pPr>
      <w:r>
        <w:rPr>
          <w:noProof/>
        </w:rPr>
        <w:drawing>
          <wp:inline distT="0" distB="0" distL="0" distR="0" wp14:anchorId="38C34EB4" wp14:editId="37AF0F3B">
            <wp:extent cx="6062345" cy="1813560"/>
            <wp:effectExtent l="0" t="0" r="14605" b="15240"/>
            <wp:docPr id="43" name="Chart 43">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29EC19-03CA-492A-B1F7-3846A8237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4657E" w:rsidRPr="004E355C" w:rsidRDefault="0034657E" w:rsidP="0034657E">
      <w:pPr>
        <w:spacing w:line="276" w:lineRule="auto"/>
        <w:jc w:val="both"/>
        <w:rPr>
          <w:rFonts w:asciiTheme="minorHAnsi" w:hAnsiTheme="minorHAnsi"/>
          <w:sz w:val="20"/>
          <w:szCs w:val="20"/>
          <w:lang w:val="sq-AL"/>
        </w:rPr>
      </w:pPr>
      <w:r w:rsidRPr="004E355C">
        <w:rPr>
          <w:rFonts w:asciiTheme="minorHAnsi" w:hAnsiTheme="minorHAnsi"/>
          <w:sz w:val="20"/>
          <w:szCs w:val="20"/>
          <w:lang w:val="sq-AL"/>
        </w:rPr>
        <w:t>Burimi: Ministria e Financave dhe Ekonomisë (20</w:t>
      </w:r>
      <w:r>
        <w:rPr>
          <w:rFonts w:asciiTheme="minorHAnsi" w:hAnsiTheme="minorHAnsi"/>
          <w:sz w:val="20"/>
          <w:szCs w:val="20"/>
          <w:lang w:val="sq-AL"/>
        </w:rPr>
        <w:t>21</w:t>
      </w:r>
      <w:r w:rsidRPr="004E355C">
        <w:rPr>
          <w:rFonts w:asciiTheme="minorHAnsi" w:hAnsiTheme="minorHAnsi"/>
          <w:sz w:val="20"/>
          <w:szCs w:val="20"/>
          <w:lang w:val="sq-AL"/>
        </w:rPr>
        <w:t>)</w:t>
      </w:r>
    </w:p>
    <w:p w:rsidR="0034657E" w:rsidRPr="004E355C" w:rsidRDefault="0034657E" w:rsidP="0034657E">
      <w:pPr>
        <w:spacing w:line="276" w:lineRule="auto"/>
        <w:jc w:val="both"/>
        <w:rPr>
          <w:rFonts w:asciiTheme="minorHAnsi" w:eastAsia="Calibri" w:hAnsiTheme="minorHAnsi" w:cstheme="minorHAnsi"/>
          <w:i/>
          <w:sz w:val="8"/>
          <w:szCs w:val="8"/>
          <w:lang w:val="it-IT"/>
        </w:rPr>
      </w:pPr>
    </w:p>
    <w:p w:rsidR="0034657E" w:rsidRDefault="0034657E" w:rsidP="0034657E">
      <w:pPr>
        <w:spacing w:line="276" w:lineRule="auto"/>
        <w:jc w:val="both"/>
        <w:rPr>
          <w:rFonts w:asciiTheme="minorHAnsi" w:hAnsiTheme="minorHAnsi"/>
          <w:lang w:val="sq-AL"/>
        </w:rPr>
      </w:pPr>
      <w:r w:rsidRPr="004E355C">
        <w:rPr>
          <w:rFonts w:asciiTheme="minorHAnsi" w:eastAsia="Calibri" w:hAnsiTheme="minorHAnsi" w:cstheme="minorHAnsi"/>
          <w:i/>
          <w:lang w:val="it-IT"/>
        </w:rPr>
        <w:t>Të ardhurat nga “Kontributet e D.P.T-së”</w:t>
      </w:r>
      <w:r w:rsidRPr="004E355C">
        <w:rPr>
          <w:rFonts w:asciiTheme="minorHAnsi" w:eastAsia="Calibri" w:hAnsiTheme="minorHAnsi" w:cstheme="minorHAnsi"/>
          <w:lang w:val="it-IT"/>
        </w:rPr>
        <w:t xml:space="preserve"> </w:t>
      </w:r>
      <w:r w:rsidRPr="004E355C">
        <w:rPr>
          <w:rFonts w:asciiTheme="minorHAnsi" w:hAnsiTheme="minorHAnsi" w:cstheme="minorHAnsi"/>
          <w:lang w:val="it-IT"/>
        </w:rPr>
        <w:t xml:space="preserve">janë realizuar në vlerën </w:t>
      </w:r>
      <w:r>
        <w:rPr>
          <w:rFonts w:asciiTheme="minorHAnsi" w:hAnsiTheme="minorHAnsi" w:cstheme="minorHAnsi"/>
          <w:lang w:val="it-IT"/>
        </w:rPr>
        <w:t>43.4</w:t>
      </w:r>
      <w:r w:rsidRPr="004E355C">
        <w:rPr>
          <w:rFonts w:asciiTheme="minorHAnsi" w:hAnsiTheme="minorHAnsi" w:cstheme="minorHAnsi"/>
          <w:lang w:val="it-IT"/>
        </w:rPr>
        <w:t xml:space="preserve"> miliardë lekë, </w:t>
      </w:r>
      <w:r>
        <w:rPr>
          <w:rFonts w:asciiTheme="minorHAnsi" w:hAnsiTheme="minorHAnsi" w:cstheme="minorHAnsi"/>
          <w:lang w:val="it-IT"/>
        </w:rPr>
        <w:t>5</w:t>
      </w:r>
      <w:r w:rsidRPr="004E355C">
        <w:rPr>
          <w:rFonts w:asciiTheme="minorHAnsi" w:hAnsiTheme="minorHAnsi" w:cstheme="minorHAnsi"/>
          <w:lang w:val="it-IT"/>
        </w:rPr>
        <w:t xml:space="preserve"> mili</w:t>
      </w:r>
      <w:r>
        <w:rPr>
          <w:rFonts w:asciiTheme="minorHAnsi" w:hAnsiTheme="minorHAnsi" w:cstheme="minorHAnsi"/>
          <w:lang w:val="it-IT"/>
        </w:rPr>
        <w:t>ard</w:t>
      </w:r>
      <w:r w:rsidRPr="004E355C">
        <w:rPr>
          <w:rFonts w:asciiTheme="minorHAnsi" w:hAnsiTheme="minorHAnsi" w:cstheme="minorHAnsi"/>
          <w:lang w:val="it-IT"/>
        </w:rPr>
        <w:t xml:space="preserve">ë lekë ose </w:t>
      </w:r>
      <w:r>
        <w:rPr>
          <w:rFonts w:asciiTheme="minorHAnsi" w:hAnsiTheme="minorHAnsi" w:cstheme="minorHAnsi"/>
          <w:lang w:val="it-IT"/>
        </w:rPr>
        <w:t>113.1</w:t>
      </w:r>
      <w:r w:rsidRPr="004E355C">
        <w:rPr>
          <w:rFonts w:asciiTheme="minorHAnsi" w:hAnsiTheme="minorHAnsi" w:cstheme="minorHAnsi"/>
          <w:lang w:val="it-IT"/>
        </w:rPr>
        <w:t xml:space="preserve">% </w:t>
      </w:r>
      <w:r>
        <w:rPr>
          <w:rFonts w:asciiTheme="minorHAnsi" w:hAnsiTheme="minorHAnsi" w:cstheme="minorHAnsi"/>
          <w:lang w:val="it-IT"/>
        </w:rPr>
        <w:t>krahasuar me</w:t>
      </w:r>
      <w:r w:rsidRPr="004E355C">
        <w:rPr>
          <w:rFonts w:asciiTheme="minorHAnsi" w:hAnsiTheme="minorHAnsi" w:cstheme="minorHAnsi"/>
          <w:lang w:val="it-IT"/>
        </w:rPr>
        <w:t xml:space="preserve"> 5-mujori</w:t>
      </w:r>
      <w:r>
        <w:rPr>
          <w:rFonts w:asciiTheme="minorHAnsi" w:hAnsiTheme="minorHAnsi" w:cstheme="minorHAnsi"/>
          <w:lang w:val="it-IT"/>
        </w:rPr>
        <w:t>n</w:t>
      </w:r>
      <w:r w:rsidRPr="004E355C">
        <w:rPr>
          <w:rFonts w:asciiTheme="minorHAnsi" w:hAnsiTheme="minorHAnsi" w:cstheme="minorHAnsi"/>
          <w:lang w:val="it-IT"/>
        </w:rPr>
        <w:t xml:space="preserve"> </w:t>
      </w:r>
      <w:r>
        <w:rPr>
          <w:rFonts w:asciiTheme="minorHAnsi" w:hAnsiTheme="minorHAnsi" w:cstheme="minorHAnsi"/>
          <w:lang w:val="it-IT"/>
        </w:rPr>
        <w:t>e</w:t>
      </w:r>
      <w:r w:rsidRPr="004E355C">
        <w:rPr>
          <w:rFonts w:asciiTheme="minorHAnsi" w:hAnsiTheme="minorHAnsi" w:cstheme="minorHAnsi"/>
          <w:lang w:val="it-IT"/>
        </w:rPr>
        <w:t xml:space="preserve"> vitit 20</w:t>
      </w:r>
      <w:r>
        <w:rPr>
          <w:rFonts w:asciiTheme="minorHAnsi" w:hAnsiTheme="minorHAnsi" w:cstheme="minorHAnsi"/>
          <w:lang w:val="it-IT"/>
        </w:rPr>
        <w:t>20</w:t>
      </w:r>
      <w:r w:rsidRPr="004E355C">
        <w:rPr>
          <w:rFonts w:asciiTheme="minorHAnsi" w:hAnsiTheme="minorHAnsi" w:cstheme="minorHAnsi"/>
          <w:lang w:val="it-IT"/>
        </w:rPr>
        <w:t xml:space="preserve"> dhe</w:t>
      </w:r>
      <w:r w:rsidRPr="004D2809">
        <w:rPr>
          <w:rFonts w:asciiTheme="minorHAnsi" w:hAnsiTheme="minorHAnsi" w:cstheme="minorHAnsi"/>
          <w:lang w:val="it-IT"/>
        </w:rPr>
        <w:t xml:space="preserve"> </w:t>
      </w:r>
      <w:r>
        <w:rPr>
          <w:rFonts w:asciiTheme="minorHAnsi" w:hAnsiTheme="minorHAnsi" w:cstheme="minorHAnsi"/>
          <w:lang w:val="it-IT"/>
        </w:rPr>
        <w:t>103.7</w:t>
      </w:r>
      <w:r w:rsidRPr="004D2809">
        <w:rPr>
          <w:rFonts w:asciiTheme="minorHAnsi" w:hAnsiTheme="minorHAnsi" w:cstheme="minorHAnsi"/>
          <w:lang w:val="it-IT"/>
        </w:rPr>
        <w:t xml:space="preserve">% ose </w:t>
      </w:r>
      <w:r>
        <w:rPr>
          <w:rFonts w:asciiTheme="minorHAnsi" w:hAnsiTheme="minorHAnsi" w:cstheme="minorHAnsi"/>
          <w:lang w:val="it-IT"/>
        </w:rPr>
        <w:t>1.5</w:t>
      </w:r>
      <w:r w:rsidRPr="004D2809">
        <w:rPr>
          <w:rFonts w:asciiTheme="minorHAnsi" w:hAnsiTheme="minorHAnsi" w:cstheme="minorHAnsi"/>
          <w:lang w:val="it-IT"/>
        </w:rPr>
        <w:t xml:space="preserve"> miliardë lekë më </w:t>
      </w:r>
      <w:r>
        <w:rPr>
          <w:rFonts w:asciiTheme="minorHAnsi" w:hAnsiTheme="minorHAnsi" w:cstheme="minorHAnsi"/>
          <w:lang w:val="it-IT"/>
        </w:rPr>
        <w:t>shumë</w:t>
      </w:r>
      <w:r w:rsidRPr="004D2809">
        <w:rPr>
          <w:rFonts w:asciiTheme="minorHAnsi" w:hAnsiTheme="minorHAnsi" w:cstheme="minorHAnsi"/>
          <w:lang w:val="it-IT"/>
        </w:rPr>
        <w:t xml:space="preserve"> se plani</w:t>
      </w:r>
      <w:r>
        <w:rPr>
          <w:rFonts w:asciiTheme="minorHAnsi" w:hAnsiTheme="minorHAnsi" w:cstheme="minorHAnsi"/>
          <w:lang w:val="it-IT"/>
        </w:rPr>
        <w:t>.</w:t>
      </w:r>
      <w:r w:rsidRPr="00965178">
        <w:rPr>
          <w:rFonts w:asciiTheme="minorHAnsi" w:hAnsiTheme="minorHAnsi" w:cstheme="minorHAnsi"/>
        </w:rPr>
        <w:t xml:space="preserve"> </w:t>
      </w:r>
      <w:r>
        <w:rPr>
          <w:rFonts w:asciiTheme="minorHAnsi" w:hAnsiTheme="minorHAnsi" w:cstheme="minorHAnsi"/>
        </w:rPr>
        <w:t>Rritja me</w:t>
      </w:r>
      <w:r w:rsidRPr="0007449B">
        <w:rPr>
          <w:rFonts w:asciiTheme="minorHAnsi" w:hAnsiTheme="minorHAnsi" w:cstheme="minorHAnsi"/>
          <w:noProof/>
          <w:lang w:val="sq-AL"/>
        </w:rPr>
        <w:t xml:space="preserve"> </w:t>
      </w:r>
      <w:r w:rsidRPr="0010167E">
        <w:rPr>
          <w:rFonts w:asciiTheme="minorHAnsi" w:hAnsiTheme="minorHAnsi" w:cstheme="minorHAnsi"/>
          <w:noProof/>
          <w:lang w:val="sq-AL"/>
        </w:rPr>
        <w:t xml:space="preserve">vitin e kaluar </w:t>
      </w:r>
      <w:r w:rsidRPr="00DD6D17">
        <w:rPr>
          <w:rFonts w:asciiTheme="minorHAnsi" w:hAnsiTheme="minorHAnsi" w:cstheme="minorHAnsi"/>
          <w:noProof/>
          <w:lang w:val="sq-AL"/>
        </w:rPr>
        <w:t xml:space="preserve">vjen </w:t>
      </w:r>
      <w:r w:rsidRPr="0010167E">
        <w:rPr>
          <w:rFonts w:asciiTheme="minorHAnsi" w:hAnsiTheme="minorHAnsi" w:cstheme="minorHAnsi"/>
          <w:noProof/>
          <w:lang w:val="sq-AL"/>
        </w:rPr>
        <w:t xml:space="preserve">si rezultat i </w:t>
      </w:r>
      <w:r w:rsidRPr="0010167E">
        <w:rPr>
          <w:rFonts w:asciiTheme="minorHAnsi" w:hAnsiTheme="minorHAnsi"/>
          <w:lang w:val="sq-AL"/>
        </w:rPr>
        <w:t>masave lehtësuese në ekonomi</w:t>
      </w:r>
      <w:r>
        <w:rPr>
          <w:rFonts w:asciiTheme="minorHAnsi" w:hAnsiTheme="minorHAnsi"/>
          <w:lang w:val="sq-AL"/>
        </w:rPr>
        <w:t>.</w:t>
      </w:r>
    </w:p>
    <w:p w:rsidR="0034657E" w:rsidRPr="00C54453" w:rsidRDefault="0034657E" w:rsidP="0034657E">
      <w:pPr>
        <w:spacing w:line="276" w:lineRule="auto"/>
        <w:jc w:val="both"/>
        <w:rPr>
          <w:rFonts w:asciiTheme="minorHAnsi" w:hAnsiTheme="minorHAnsi"/>
          <w:b/>
          <w:bCs/>
          <w:i/>
          <w:color w:val="000000" w:themeColor="text1"/>
          <w:sz w:val="8"/>
          <w:szCs w:val="8"/>
          <w:lang w:val="sq-AL"/>
        </w:rPr>
      </w:pPr>
    </w:p>
    <w:p w:rsidR="0034657E" w:rsidRPr="00A17731" w:rsidRDefault="0034657E" w:rsidP="0034657E">
      <w:pPr>
        <w:pStyle w:val="Caption"/>
        <w:keepNext/>
        <w:spacing w:after="0"/>
        <w:jc w:val="both"/>
        <w:rPr>
          <w:rFonts w:asciiTheme="minorHAnsi" w:hAnsiTheme="minorHAnsi"/>
          <w:b w:val="0"/>
          <w:bCs w:val="0"/>
          <w:i/>
          <w:color w:val="000000" w:themeColor="text1"/>
          <w:sz w:val="22"/>
          <w:szCs w:val="24"/>
          <w:lang w:val="sq-AL"/>
        </w:rPr>
      </w:pPr>
      <w:bookmarkStart w:id="33" w:name="_Toc12448436"/>
      <w:r w:rsidRPr="00A17731">
        <w:rPr>
          <w:rFonts w:asciiTheme="minorHAnsi" w:hAnsiTheme="minorHAnsi"/>
          <w:b w:val="0"/>
          <w:bCs w:val="0"/>
          <w:i/>
          <w:color w:val="000000" w:themeColor="text1"/>
          <w:sz w:val="22"/>
          <w:szCs w:val="24"/>
          <w:lang w:val="sq-AL"/>
        </w:rPr>
        <w:t>Grafiku: Të ardhurat nga kontributet e mbledhura nga DPT, në vite (në miliardë lekë)</w:t>
      </w:r>
      <w:bookmarkEnd w:id="33"/>
    </w:p>
    <w:p w:rsidR="0034657E" w:rsidRPr="007A4827" w:rsidRDefault="0034657E" w:rsidP="0034657E">
      <w:pPr>
        <w:rPr>
          <w:sz w:val="8"/>
          <w:lang w:val="sq-AL"/>
        </w:rPr>
      </w:pPr>
    </w:p>
    <w:p w:rsidR="0034657E" w:rsidRPr="00F21483" w:rsidRDefault="0034657E" w:rsidP="0034657E">
      <w:pPr>
        <w:rPr>
          <w:lang w:val="sq-AL"/>
        </w:rPr>
      </w:pPr>
      <w:r>
        <w:rPr>
          <w:noProof/>
        </w:rPr>
        <w:drawing>
          <wp:inline distT="0" distB="0" distL="0" distR="0" wp14:anchorId="51E81AFB" wp14:editId="505FF323">
            <wp:extent cx="6090285" cy="1524000"/>
            <wp:effectExtent l="0" t="0" r="5715" b="0"/>
            <wp:docPr id="49" name="Chart 4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4A8C7AC-0957-439F-B8D4-EE9C24A952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4657E" w:rsidRPr="004E355C" w:rsidRDefault="0034657E" w:rsidP="0034657E">
      <w:pPr>
        <w:spacing w:line="276" w:lineRule="auto"/>
        <w:rPr>
          <w:rFonts w:asciiTheme="minorHAnsi" w:hAnsiTheme="minorHAnsi"/>
          <w:sz w:val="20"/>
          <w:szCs w:val="20"/>
          <w:lang w:val="sq-AL"/>
        </w:rPr>
      </w:pPr>
      <w:r w:rsidRPr="004E355C">
        <w:rPr>
          <w:rFonts w:asciiTheme="minorHAnsi" w:hAnsiTheme="minorHAnsi"/>
          <w:sz w:val="20"/>
          <w:szCs w:val="20"/>
          <w:lang w:val="sq-AL"/>
        </w:rPr>
        <w:t>Burimi: Ministria e Financave dhe Ekonomisë (20</w:t>
      </w:r>
      <w:r>
        <w:rPr>
          <w:rFonts w:asciiTheme="minorHAnsi" w:hAnsiTheme="minorHAnsi"/>
          <w:sz w:val="20"/>
          <w:szCs w:val="20"/>
          <w:lang w:val="sq-AL"/>
        </w:rPr>
        <w:t>21</w:t>
      </w:r>
      <w:r w:rsidRPr="004E355C">
        <w:rPr>
          <w:rFonts w:asciiTheme="minorHAnsi" w:hAnsiTheme="minorHAnsi"/>
          <w:sz w:val="20"/>
          <w:szCs w:val="20"/>
          <w:lang w:val="sq-AL"/>
        </w:rPr>
        <w:t>)</w:t>
      </w:r>
    </w:p>
    <w:p w:rsidR="007F224E" w:rsidRDefault="007F224E" w:rsidP="00C154C8">
      <w:pPr>
        <w:spacing w:line="276" w:lineRule="auto"/>
        <w:ind w:firstLine="720"/>
        <w:rPr>
          <w:rFonts w:asciiTheme="minorHAnsi" w:hAnsiTheme="minorHAnsi"/>
          <w:sz w:val="16"/>
          <w:szCs w:val="20"/>
          <w:lang w:val="sq-AL"/>
        </w:rPr>
      </w:pPr>
    </w:p>
    <w:p w:rsidR="00A17731" w:rsidRPr="007F224E" w:rsidRDefault="00A17731" w:rsidP="00C154C8">
      <w:pPr>
        <w:spacing w:line="276" w:lineRule="auto"/>
        <w:ind w:firstLine="720"/>
        <w:rPr>
          <w:rFonts w:asciiTheme="minorHAnsi" w:hAnsiTheme="minorHAnsi"/>
          <w:sz w:val="16"/>
          <w:szCs w:val="20"/>
          <w:lang w:val="sq-AL"/>
        </w:rPr>
      </w:pPr>
    </w:p>
    <w:p w:rsidR="003A1589" w:rsidRPr="0065598A" w:rsidRDefault="003A1589" w:rsidP="002334F6">
      <w:pPr>
        <w:pStyle w:val="Heading2"/>
      </w:pPr>
      <w:bookmarkStart w:id="34" w:name="_Toc76470018"/>
      <w:r w:rsidRPr="0065598A">
        <w:t>II.2</w:t>
      </w:r>
      <w:r w:rsidRPr="0065598A">
        <w:tab/>
        <w:t>Pritshmëritë fiskale deri në fund të vitit 20</w:t>
      </w:r>
      <w:r w:rsidR="00F720EE">
        <w:t>2</w:t>
      </w:r>
      <w:r w:rsidR="001E2BD8">
        <w:t>1</w:t>
      </w:r>
      <w:bookmarkEnd w:id="34"/>
    </w:p>
    <w:p w:rsidR="00886D9A" w:rsidRPr="0065598A" w:rsidRDefault="00886D9A" w:rsidP="00886D9A">
      <w:pPr>
        <w:spacing w:line="276" w:lineRule="auto"/>
        <w:jc w:val="both"/>
        <w:rPr>
          <w:rFonts w:asciiTheme="minorHAnsi" w:hAnsiTheme="minorHAnsi"/>
          <w:b/>
          <w:sz w:val="12"/>
          <w:lang w:val="sq-AL"/>
        </w:rPr>
      </w:pPr>
    </w:p>
    <w:p w:rsidR="0014251C" w:rsidRPr="004D2809" w:rsidRDefault="0014251C" w:rsidP="0014251C">
      <w:pPr>
        <w:spacing w:line="276" w:lineRule="auto"/>
        <w:jc w:val="both"/>
        <w:rPr>
          <w:rFonts w:asciiTheme="minorHAnsi" w:hAnsiTheme="minorHAnsi" w:cstheme="minorHAnsi"/>
          <w:noProof/>
          <w:color w:val="FF0000"/>
          <w:lang w:val="sq-AL"/>
        </w:rPr>
      </w:pPr>
      <w:r w:rsidRPr="00FF064D">
        <w:rPr>
          <w:rFonts w:asciiTheme="minorHAnsi" w:hAnsiTheme="minorHAnsi" w:cstheme="minorHAnsi"/>
          <w:color w:val="000000" w:themeColor="text1"/>
          <w:lang w:val="sq-AL"/>
        </w:rPr>
        <w:t>Bazuar në performancën e 5 mujorit Janar</w:t>
      </w:r>
      <w:r w:rsidR="00BA5358">
        <w:rPr>
          <w:rFonts w:asciiTheme="minorHAnsi" w:hAnsiTheme="minorHAnsi" w:cstheme="minorHAnsi"/>
          <w:color w:val="000000" w:themeColor="text1"/>
          <w:lang w:val="sq-AL"/>
        </w:rPr>
        <w:t>-</w:t>
      </w:r>
      <w:r w:rsidRPr="00FF064D">
        <w:rPr>
          <w:rFonts w:asciiTheme="minorHAnsi" w:hAnsiTheme="minorHAnsi" w:cstheme="minorHAnsi"/>
          <w:color w:val="000000" w:themeColor="text1"/>
          <w:lang w:val="sq-AL"/>
        </w:rPr>
        <w:t>Maj</w:t>
      </w:r>
      <w:r>
        <w:rPr>
          <w:rFonts w:asciiTheme="minorHAnsi" w:hAnsiTheme="minorHAnsi" w:cstheme="minorHAnsi"/>
          <w:color w:val="000000" w:themeColor="text1"/>
          <w:lang w:val="sq-AL"/>
        </w:rPr>
        <w:t xml:space="preserve"> 2021</w:t>
      </w:r>
      <w:r w:rsidRPr="00FF064D">
        <w:rPr>
          <w:rFonts w:asciiTheme="minorHAnsi" w:hAnsiTheme="minorHAnsi" w:cstheme="minorHAnsi"/>
          <w:color w:val="000000" w:themeColor="text1"/>
          <w:lang w:val="sq-AL"/>
        </w:rPr>
        <w:t xml:space="preserve">, si dhe në analizën e faktorëve që mund të impaktojnë realizimin e të ardhurave tatimore dhe doganore </w:t>
      </w:r>
      <w:r>
        <w:rPr>
          <w:rFonts w:asciiTheme="minorHAnsi" w:hAnsiTheme="minorHAnsi" w:cstheme="minorHAnsi"/>
          <w:color w:val="000000" w:themeColor="text1"/>
          <w:lang w:val="sq-AL"/>
        </w:rPr>
        <w:t>p</w:t>
      </w:r>
      <w:r w:rsidRPr="00FF064D">
        <w:rPr>
          <w:rFonts w:asciiTheme="minorHAnsi" w:hAnsiTheme="minorHAnsi" w:cstheme="minorHAnsi"/>
          <w:color w:val="000000" w:themeColor="text1"/>
          <w:lang w:val="sq-AL"/>
        </w:rPr>
        <w:t>ë</w:t>
      </w:r>
      <w:r>
        <w:rPr>
          <w:rFonts w:asciiTheme="minorHAnsi" w:hAnsiTheme="minorHAnsi" w:cstheme="minorHAnsi"/>
          <w:color w:val="000000" w:themeColor="text1"/>
          <w:lang w:val="sq-AL"/>
        </w:rPr>
        <w:t>r</w:t>
      </w:r>
      <w:r w:rsidRPr="00FF064D">
        <w:rPr>
          <w:rFonts w:asciiTheme="minorHAnsi" w:hAnsiTheme="minorHAnsi" w:cstheme="minorHAnsi"/>
          <w:color w:val="000000" w:themeColor="text1"/>
          <w:lang w:val="sq-AL"/>
        </w:rPr>
        <w:t xml:space="preserve"> 7 mujorin në vijim të vitit 2021, vlerësojmë se të ardhurat që administrohen nga Drejtoria e Përgjithshme e Tatimeve (DPT) dhe Drejtoria e Përgjithshme e Doganave (DPD), p</w:t>
      </w:r>
      <w:r w:rsidRPr="00FF064D">
        <w:rPr>
          <w:rFonts w:asciiTheme="minorHAnsi" w:hAnsiTheme="minorHAnsi" w:cstheme="minorHAnsi"/>
          <w:noProof/>
          <w:color w:val="000000" w:themeColor="text1"/>
          <w:lang w:val="sq-AL"/>
        </w:rPr>
        <w:t xml:space="preserve">ërfshirë kontributet e sigurimeve shoqërore dhe shëndetësore, </w:t>
      </w:r>
      <w:r w:rsidRPr="00393991">
        <w:rPr>
          <w:rFonts w:asciiTheme="minorHAnsi" w:hAnsiTheme="minorHAnsi" w:cstheme="minorHAnsi"/>
          <w:noProof/>
          <w:lang w:val="sq-AL"/>
        </w:rPr>
        <w:t xml:space="preserve">pritet të realizohen në nivelin 97.5% - 98%.  </w:t>
      </w:r>
    </w:p>
    <w:p w:rsidR="0014251C" w:rsidRPr="001F638E" w:rsidRDefault="0014251C" w:rsidP="0014251C">
      <w:pPr>
        <w:spacing w:before="240" w:line="276" w:lineRule="auto"/>
        <w:jc w:val="both"/>
        <w:rPr>
          <w:rFonts w:asciiTheme="minorHAnsi" w:hAnsiTheme="minorHAnsi" w:cstheme="minorHAnsi"/>
          <w:color w:val="000000" w:themeColor="text1"/>
          <w:lang w:val="sq-AL"/>
        </w:rPr>
      </w:pPr>
      <w:r w:rsidRPr="001F638E">
        <w:rPr>
          <w:rFonts w:asciiTheme="minorHAnsi" w:hAnsiTheme="minorHAnsi" w:cstheme="minorHAnsi"/>
          <w:color w:val="000000" w:themeColor="text1"/>
          <w:lang w:val="sq-AL"/>
        </w:rPr>
        <w:t>Ndër faktorët kryesorë të cilët do të ndikojnë në realizimin e  pritshëm të të ardh</w:t>
      </w:r>
      <w:r>
        <w:rPr>
          <w:rFonts w:asciiTheme="minorHAnsi" w:hAnsiTheme="minorHAnsi" w:cstheme="minorHAnsi"/>
          <w:color w:val="000000" w:themeColor="text1"/>
          <w:lang w:val="sq-AL"/>
        </w:rPr>
        <w:t>urave deri në fund të vitit 2021</w:t>
      </w:r>
      <w:r w:rsidRPr="001F638E">
        <w:rPr>
          <w:rFonts w:asciiTheme="minorHAnsi" w:hAnsiTheme="minorHAnsi" w:cstheme="minorHAnsi"/>
          <w:color w:val="000000" w:themeColor="text1"/>
          <w:lang w:val="sq-AL"/>
        </w:rPr>
        <w:t xml:space="preserve"> janë: </w:t>
      </w:r>
    </w:p>
    <w:p w:rsidR="0014251C" w:rsidRDefault="0014251C" w:rsidP="007F0B61">
      <w:pPr>
        <w:pStyle w:val="ListParagraph"/>
        <w:widowControl w:val="0"/>
        <w:numPr>
          <w:ilvl w:val="0"/>
          <w:numId w:val="11"/>
        </w:numPr>
        <w:spacing w:line="276" w:lineRule="auto"/>
        <w:ind w:left="540"/>
        <w:jc w:val="both"/>
        <w:rPr>
          <w:rFonts w:asciiTheme="minorHAnsi" w:hAnsiTheme="minorHAnsi" w:cstheme="minorHAnsi"/>
          <w:i/>
          <w:lang w:val="sq-AL"/>
        </w:rPr>
      </w:pPr>
      <w:r w:rsidRPr="003460E2">
        <w:rPr>
          <w:rFonts w:asciiTheme="minorHAnsi" w:hAnsiTheme="minorHAnsi" w:cstheme="minorHAnsi"/>
          <w:i/>
          <w:lang w:val="sq-AL"/>
        </w:rPr>
        <w:t>Thellimi i luftës kundër informalitetit, duke përmirësuar administrimin tatimor dhe atë doganor.</w:t>
      </w:r>
    </w:p>
    <w:p w:rsidR="0014251C" w:rsidRPr="00393991" w:rsidRDefault="0014251C" w:rsidP="007F0B61">
      <w:pPr>
        <w:pStyle w:val="ListParagraph"/>
        <w:widowControl w:val="0"/>
        <w:numPr>
          <w:ilvl w:val="0"/>
          <w:numId w:val="11"/>
        </w:numPr>
        <w:spacing w:line="276" w:lineRule="auto"/>
        <w:ind w:left="540"/>
        <w:jc w:val="both"/>
        <w:rPr>
          <w:rFonts w:asciiTheme="minorHAnsi" w:hAnsiTheme="minorHAnsi" w:cstheme="minorHAnsi"/>
          <w:i/>
          <w:lang w:val="sq-AL"/>
        </w:rPr>
      </w:pPr>
      <w:r w:rsidRPr="003460E2">
        <w:rPr>
          <w:rFonts w:asciiTheme="minorHAnsi" w:hAnsiTheme="minorHAnsi" w:cstheme="minorHAnsi"/>
          <w:i/>
          <w:lang w:val="sq-AL"/>
        </w:rPr>
        <w:t>Ecuria e çmimit brent të naftës bruto.</w:t>
      </w:r>
    </w:p>
    <w:p w:rsidR="0014251C" w:rsidRPr="003460E2" w:rsidRDefault="0014251C" w:rsidP="007F0B61">
      <w:pPr>
        <w:pStyle w:val="ListParagraph"/>
        <w:widowControl w:val="0"/>
        <w:numPr>
          <w:ilvl w:val="0"/>
          <w:numId w:val="11"/>
        </w:numPr>
        <w:spacing w:line="276" w:lineRule="auto"/>
        <w:ind w:left="540"/>
        <w:jc w:val="both"/>
        <w:rPr>
          <w:rFonts w:asciiTheme="minorHAnsi" w:hAnsiTheme="minorHAnsi" w:cstheme="minorHAnsi"/>
          <w:i/>
          <w:lang w:val="sq-AL"/>
        </w:rPr>
      </w:pPr>
      <w:r w:rsidRPr="003460E2">
        <w:rPr>
          <w:rFonts w:asciiTheme="minorHAnsi" w:hAnsiTheme="minorHAnsi" w:cstheme="minorHAnsi"/>
          <w:i/>
          <w:lang w:val="sq-AL"/>
        </w:rPr>
        <w:t>Përmirësimi i performancës së administratës tatimore në administrimin e TVSH-së së brendshme, duke nxitur vetëdeklarimin dhe kontrolluar mbi bazë risku sektorët dhe industritë që gjenerojnë këtë tatim.</w:t>
      </w:r>
    </w:p>
    <w:p w:rsidR="0014251C" w:rsidRPr="00393991" w:rsidRDefault="0014251C" w:rsidP="007F0B61">
      <w:pPr>
        <w:pStyle w:val="ListParagraph"/>
        <w:widowControl w:val="0"/>
        <w:numPr>
          <w:ilvl w:val="0"/>
          <w:numId w:val="11"/>
        </w:numPr>
        <w:spacing w:line="276" w:lineRule="auto"/>
        <w:ind w:left="540"/>
        <w:jc w:val="both"/>
        <w:rPr>
          <w:rFonts w:asciiTheme="minorHAnsi" w:hAnsiTheme="minorHAnsi" w:cstheme="minorHAnsi"/>
          <w:i/>
          <w:lang w:val="sq-AL"/>
        </w:rPr>
      </w:pPr>
      <w:r w:rsidRPr="00393991">
        <w:rPr>
          <w:rFonts w:asciiTheme="minorHAnsi" w:hAnsiTheme="minorHAnsi" w:cstheme="minorHAnsi"/>
          <w:i/>
          <w:lang w:val="sq-AL"/>
        </w:rPr>
        <w:t>Zbatimi i programeve të miratuara për rimbursimin  e stokut të TVSH-së me q</w:t>
      </w:r>
      <w:r w:rsidRPr="00393991">
        <w:rPr>
          <w:i/>
          <w:lang w:val="sq-AL"/>
        </w:rPr>
        <w:t>ëllim zerimin e tij në fund të vitit.</w:t>
      </w:r>
    </w:p>
    <w:p w:rsidR="0014251C" w:rsidRDefault="0014251C" w:rsidP="007F0B61">
      <w:pPr>
        <w:pStyle w:val="ListParagraph"/>
        <w:widowControl w:val="0"/>
        <w:numPr>
          <w:ilvl w:val="0"/>
          <w:numId w:val="11"/>
        </w:numPr>
        <w:spacing w:line="276" w:lineRule="auto"/>
        <w:ind w:left="540"/>
        <w:jc w:val="both"/>
        <w:rPr>
          <w:rFonts w:asciiTheme="minorHAnsi" w:hAnsiTheme="minorHAnsi" w:cstheme="minorHAnsi"/>
          <w:i/>
          <w:lang w:val="sq-AL"/>
        </w:rPr>
      </w:pPr>
      <w:r w:rsidRPr="00393991">
        <w:rPr>
          <w:rFonts w:asciiTheme="minorHAnsi" w:hAnsiTheme="minorHAnsi" w:cstheme="minorHAnsi"/>
          <w:i/>
          <w:lang w:val="sq-AL"/>
        </w:rPr>
        <w:t>Rimbursimi n</w:t>
      </w:r>
      <w:r w:rsidRPr="00393991">
        <w:rPr>
          <w:rFonts w:ascii="Calibri" w:hAnsi="Calibri" w:cs="Calibri"/>
          <w:i/>
          <w:lang w:val="sq-AL"/>
        </w:rPr>
        <w:t>ë</w:t>
      </w:r>
      <w:r w:rsidRPr="00393991">
        <w:rPr>
          <w:rFonts w:asciiTheme="minorHAnsi" w:hAnsiTheme="minorHAnsi" w:cstheme="minorHAnsi"/>
          <w:i/>
          <w:lang w:val="sq-AL"/>
        </w:rPr>
        <w:t xml:space="preserve"> afatet kohore ligjore të  TVSH-së për eksportuesit dhe industrinë fasone. </w:t>
      </w:r>
    </w:p>
    <w:p w:rsidR="003575E0" w:rsidRPr="00C154C8" w:rsidRDefault="003575E0" w:rsidP="00C154C8">
      <w:pPr>
        <w:widowControl w:val="0"/>
        <w:spacing w:line="276" w:lineRule="auto"/>
        <w:jc w:val="both"/>
        <w:rPr>
          <w:rFonts w:asciiTheme="minorHAnsi" w:hAnsiTheme="minorHAnsi"/>
          <w:sz w:val="2"/>
          <w:lang w:val="sq-AL"/>
        </w:rPr>
      </w:pPr>
    </w:p>
    <w:p w:rsidR="00AE3C1B" w:rsidRPr="0065598A" w:rsidRDefault="00AE3C1B" w:rsidP="00B95810">
      <w:pPr>
        <w:pStyle w:val="Heading1"/>
        <w:numPr>
          <w:ilvl w:val="0"/>
          <w:numId w:val="1"/>
        </w:numPr>
        <w:spacing w:after="240" w:line="276" w:lineRule="auto"/>
        <w:ind w:left="720"/>
        <w:rPr>
          <w:sz w:val="32"/>
          <w:u w:val="none"/>
        </w:rPr>
      </w:pPr>
      <w:bookmarkStart w:id="35" w:name="_Toc76470019"/>
      <w:r w:rsidRPr="0065598A">
        <w:rPr>
          <w:sz w:val="32"/>
          <w:u w:val="none"/>
        </w:rPr>
        <w:lastRenderedPageBreak/>
        <w:t>BUXHETI I VITIT 20</w:t>
      </w:r>
      <w:r w:rsidR="00C23C7E">
        <w:rPr>
          <w:sz w:val="32"/>
          <w:u w:val="none"/>
        </w:rPr>
        <w:t>2</w:t>
      </w:r>
      <w:r w:rsidR="004773DD">
        <w:rPr>
          <w:sz w:val="32"/>
          <w:u w:val="none"/>
        </w:rPr>
        <w:t>1</w:t>
      </w:r>
      <w:bookmarkEnd w:id="35"/>
      <w:r w:rsidR="00FD3DF0">
        <w:rPr>
          <w:sz w:val="32"/>
          <w:u w:val="none"/>
        </w:rPr>
        <w:t xml:space="preserve"> </w:t>
      </w:r>
    </w:p>
    <w:p w:rsidR="00CE3733" w:rsidRPr="0065598A" w:rsidRDefault="009E4504" w:rsidP="002334F6">
      <w:pPr>
        <w:pStyle w:val="Heading2"/>
      </w:pPr>
      <w:bookmarkStart w:id="36" w:name="_Toc76470020"/>
      <w:r w:rsidRPr="0065598A">
        <w:t>I</w:t>
      </w:r>
      <w:r w:rsidR="00CB4875" w:rsidRPr="0065598A">
        <w:t>II</w:t>
      </w:r>
      <w:r w:rsidRPr="0065598A">
        <w:t>.</w:t>
      </w:r>
      <w:r w:rsidR="002C13CF" w:rsidRPr="0065598A">
        <w:t>1</w:t>
      </w:r>
      <w:r w:rsidRPr="0065598A">
        <w:tab/>
      </w:r>
      <w:r w:rsidR="002570C3" w:rsidRPr="0065598A">
        <w:t xml:space="preserve">Shpenzimet e </w:t>
      </w:r>
      <w:r w:rsidR="002570C3" w:rsidRPr="002334F6">
        <w:t>P</w:t>
      </w:r>
      <w:r w:rsidR="00F268DF" w:rsidRPr="002334F6">
        <w:t>ë</w:t>
      </w:r>
      <w:r w:rsidR="002570C3" w:rsidRPr="002334F6">
        <w:t>rgjithshme</w:t>
      </w:r>
      <w:r w:rsidR="005D6734" w:rsidRPr="0065598A">
        <w:t xml:space="preserve"> </w:t>
      </w:r>
      <w:r w:rsidR="00CB4875" w:rsidRPr="0065598A">
        <w:t xml:space="preserve">Buxhetore </w:t>
      </w:r>
      <w:r w:rsidR="005D6734" w:rsidRPr="0065598A">
        <w:t>gjat</w:t>
      </w:r>
      <w:r w:rsidR="006B2026" w:rsidRPr="0065598A">
        <w:t>ë</w:t>
      </w:r>
      <w:r w:rsidR="005D6734" w:rsidRPr="0065598A">
        <w:t xml:space="preserve"> periudh</w:t>
      </w:r>
      <w:r w:rsidR="006B2026" w:rsidRPr="0065598A">
        <w:t>ë</w:t>
      </w:r>
      <w:r w:rsidR="005D6734" w:rsidRPr="0065598A">
        <w:t>s janar-maj 20</w:t>
      </w:r>
      <w:r w:rsidR="00C23C7E">
        <w:t>2</w:t>
      </w:r>
      <w:r w:rsidR="001B65FA">
        <w:t>1</w:t>
      </w:r>
      <w:bookmarkEnd w:id="36"/>
      <w:r w:rsidR="00FD3DF0">
        <w:t xml:space="preserve"> </w:t>
      </w:r>
    </w:p>
    <w:p w:rsidR="0099331E" w:rsidRPr="0065598A" w:rsidRDefault="0099331E" w:rsidP="0099331E">
      <w:pPr>
        <w:spacing w:line="360" w:lineRule="auto"/>
        <w:jc w:val="both"/>
        <w:rPr>
          <w:rFonts w:asciiTheme="minorHAnsi" w:eastAsia="SimSun" w:hAnsiTheme="minorHAnsi"/>
          <w:b/>
          <w:bCs/>
          <w:sz w:val="8"/>
          <w:szCs w:val="8"/>
          <w:lang w:val="sq-AL"/>
        </w:rPr>
      </w:pPr>
    </w:p>
    <w:p w:rsidR="001B65FA" w:rsidRDefault="001B65FA" w:rsidP="001B65FA">
      <w:pPr>
        <w:spacing w:line="276" w:lineRule="auto"/>
        <w:ind w:firstLine="720"/>
        <w:jc w:val="both"/>
        <w:rPr>
          <w:rFonts w:asciiTheme="minorHAnsi" w:eastAsia="SimSun" w:hAnsiTheme="minorHAnsi"/>
          <w:lang w:val="sq-AL"/>
        </w:rPr>
      </w:pPr>
      <w:r w:rsidRPr="0079565A">
        <w:rPr>
          <w:rFonts w:asciiTheme="minorHAnsi" w:eastAsia="SimSun" w:hAnsiTheme="minorHAnsi"/>
          <w:b/>
          <w:bCs/>
          <w:lang w:val="sq-AL"/>
        </w:rPr>
        <w:t>Shpenzimet e përgjithshme publike</w:t>
      </w:r>
      <w:r w:rsidRPr="0079565A">
        <w:rPr>
          <w:rFonts w:asciiTheme="minorHAnsi" w:eastAsia="SimSun" w:hAnsiTheme="minorHAnsi"/>
          <w:lang w:val="sq-AL"/>
        </w:rPr>
        <w:t>, për muajin e pestë të vitit 2021, arritën në 212.16 miliard LEK me një realizim në masën 97.1 përqind të planit të periudhës, ndërsa krahasuar me të njëjtën periudhë të vitit 2020 ky zë ka rezultuar 13.1 përqind më i lartë ose rreth 24.5 miliard LEK më shumë. Në terma vjetorë, shpenzimet e përgjithshme për 5 mujorin e vitit 2021 u realizuan në masën 35.8 përqind të planit vjetor fillestar dhe 35.5 përqind të planit vjetor të ndryshuar me Aktin Normativ nr.18, datë 12.04.2021 (AN nr.18).</w:t>
      </w:r>
    </w:p>
    <w:p w:rsidR="001B65FA" w:rsidRPr="00F01315" w:rsidRDefault="001B65FA" w:rsidP="001B65FA">
      <w:pPr>
        <w:spacing w:line="276" w:lineRule="auto"/>
        <w:ind w:firstLine="720"/>
        <w:jc w:val="both"/>
        <w:rPr>
          <w:rFonts w:asciiTheme="minorHAnsi" w:eastAsia="SimSun" w:hAnsiTheme="minorHAnsi"/>
          <w:sz w:val="12"/>
          <w:lang w:val="sq-AL"/>
        </w:rPr>
      </w:pPr>
    </w:p>
    <w:p w:rsidR="001B65FA" w:rsidRPr="000B77A5" w:rsidRDefault="001B65FA" w:rsidP="001B65FA">
      <w:pPr>
        <w:pStyle w:val="Caption"/>
        <w:rPr>
          <w:rFonts w:asciiTheme="minorHAnsi" w:hAnsiTheme="minorHAnsi"/>
          <w:b w:val="0"/>
          <w:bCs w:val="0"/>
          <w:i/>
          <w:color w:val="auto"/>
          <w:sz w:val="22"/>
          <w:szCs w:val="24"/>
          <w:lang w:val="sq-AL"/>
        </w:rPr>
      </w:pPr>
      <w:r w:rsidRPr="000B77A5">
        <w:rPr>
          <w:rFonts w:asciiTheme="minorHAnsi" w:hAnsiTheme="minorHAnsi"/>
          <w:b w:val="0"/>
          <w:bCs w:val="0"/>
          <w:i/>
          <w:color w:val="auto"/>
          <w:sz w:val="22"/>
          <w:szCs w:val="24"/>
          <w:lang w:val="sq-AL"/>
        </w:rPr>
        <w:t xml:space="preserve">Tabela </w:t>
      </w:r>
      <w:r w:rsidR="003C5F40">
        <w:rPr>
          <w:rFonts w:asciiTheme="minorHAnsi" w:hAnsiTheme="minorHAnsi"/>
          <w:b w:val="0"/>
          <w:bCs w:val="0"/>
          <w:i/>
          <w:color w:val="auto"/>
          <w:sz w:val="22"/>
          <w:szCs w:val="24"/>
          <w:lang w:val="sq-AL"/>
        </w:rPr>
        <w:t>8</w:t>
      </w:r>
      <w:r w:rsidRPr="000B77A5">
        <w:rPr>
          <w:rFonts w:asciiTheme="minorHAnsi" w:hAnsiTheme="minorHAnsi"/>
          <w:b w:val="0"/>
          <w:bCs w:val="0"/>
          <w:i/>
          <w:color w:val="auto"/>
          <w:sz w:val="22"/>
          <w:szCs w:val="24"/>
          <w:lang w:val="sq-AL"/>
        </w:rPr>
        <w:t>: Treguesit fiskalë të konsoliduar për 5 mujorin e vitit 2021 (në milion LEK)</w:t>
      </w:r>
    </w:p>
    <w:p w:rsidR="001B65FA" w:rsidRPr="0065598A" w:rsidRDefault="001B65FA" w:rsidP="001B65FA">
      <w:pPr>
        <w:spacing w:line="276" w:lineRule="auto"/>
        <w:ind w:left="90"/>
        <w:jc w:val="center"/>
        <w:rPr>
          <w:rFonts w:asciiTheme="minorHAnsi" w:eastAsia="SimSun" w:hAnsiTheme="minorHAnsi"/>
          <w:i/>
          <w:lang w:val="sq-AL"/>
        </w:rPr>
      </w:pPr>
      <w:r>
        <w:rPr>
          <w:rFonts w:asciiTheme="minorHAnsi" w:eastAsia="SimSun" w:hAnsiTheme="minorHAnsi"/>
          <w:i/>
          <w:noProof/>
        </w:rPr>
        <w:drawing>
          <wp:inline distT="0" distB="0" distL="0" distR="0" wp14:anchorId="0BFF6B65" wp14:editId="60C7C7D3">
            <wp:extent cx="6158865" cy="154350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87703" cy="1550735"/>
                    </a:xfrm>
                    <a:prstGeom prst="rect">
                      <a:avLst/>
                    </a:prstGeom>
                    <a:noFill/>
                  </pic:spPr>
                </pic:pic>
              </a:graphicData>
            </a:graphic>
          </wp:inline>
        </w:drawing>
      </w:r>
    </w:p>
    <w:p w:rsidR="001B65FA" w:rsidRDefault="001B65FA" w:rsidP="001B65FA">
      <w:pPr>
        <w:spacing w:line="276" w:lineRule="auto"/>
        <w:ind w:firstLine="450"/>
        <w:rPr>
          <w:rFonts w:asciiTheme="minorHAnsi" w:eastAsia="SimSun" w:hAnsiTheme="minorHAnsi"/>
          <w:i/>
          <w:sz w:val="20"/>
          <w:lang w:val="sq-AL"/>
        </w:rPr>
      </w:pPr>
      <w:r>
        <w:rPr>
          <w:rFonts w:asciiTheme="minorHAnsi" w:eastAsia="SimSun" w:hAnsiTheme="minorHAnsi"/>
          <w:i/>
          <w:sz w:val="20"/>
          <w:lang w:val="sq-AL"/>
        </w:rPr>
        <w:t>Burimi: Ministria e Financave dhe Ekonomisë (2021)</w:t>
      </w:r>
    </w:p>
    <w:p w:rsidR="001B65FA" w:rsidRPr="0065598A" w:rsidRDefault="001B65FA" w:rsidP="001B65FA">
      <w:pPr>
        <w:spacing w:line="276" w:lineRule="auto"/>
        <w:ind w:firstLine="450"/>
        <w:rPr>
          <w:rFonts w:asciiTheme="minorHAnsi" w:eastAsia="SimSun" w:hAnsiTheme="minorHAnsi"/>
          <w:i/>
          <w:sz w:val="20"/>
          <w:lang w:val="sq-AL"/>
        </w:rPr>
      </w:pPr>
    </w:p>
    <w:p w:rsidR="001B65FA" w:rsidRPr="000B77A5" w:rsidRDefault="001B65FA" w:rsidP="001B65FA">
      <w:pPr>
        <w:pStyle w:val="Caption"/>
        <w:rPr>
          <w:rFonts w:asciiTheme="minorHAnsi" w:hAnsiTheme="minorHAnsi"/>
          <w:b w:val="0"/>
          <w:bCs w:val="0"/>
          <w:i/>
          <w:color w:val="auto"/>
          <w:sz w:val="22"/>
          <w:szCs w:val="24"/>
          <w:lang w:val="sq-AL"/>
        </w:rPr>
      </w:pPr>
      <w:r w:rsidRPr="000B77A5">
        <w:rPr>
          <w:rFonts w:asciiTheme="minorHAnsi" w:hAnsiTheme="minorHAnsi"/>
          <w:b w:val="0"/>
          <w:bCs w:val="0"/>
          <w:i/>
          <w:color w:val="auto"/>
          <w:sz w:val="22"/>
          <w:szCs w:val="24"/>
          <w:lang w:val="sq-AL"/>
        </w:rPr>
        <w:t xml:space="preserve">Tabela </w:t>
      </w:r>
      <w:r w:rsidR="003C5F40">
        <w:rPr>
          <w:rFonts w:asciiTheme="minorHAnsi" w:hAnsiTheme="minorHAnsi"/>
          <w:b w:val="0"/>
          <w:bCs w:val="0"/>
          <w:i/>
          <w:color w:val="auto"/>
          <w:sz w:val="22"/>
          <w:szCs w:val="24"/>
          <w:lang w:val="sq-AL"/>
        </w:rPr>
        <w:t>9</w:t>
      </w:r>
      <w:r w:rsidRPr="000B77A5">
        <w:rPr>
          <w:rFonts w:asciiTheme="minorHAnsi" w:hAnsiTheme="minorHAnsi"/>
          <w:b w:val="0"/>
          <w:bCs w:val="0"/>
          <w:i/>
          <w:color w:val="auto"/>
          <w:sz w:val="22"/>
          <w:szCs w:val="24"/>
          <w:lang w:val="sq-AL"/>
        </w:rPr>
        <w:t>: Treguesit fiskalë të konsoliduar për 5 mujorin e vitit 2020 dhe 2021 (në milion LEK)</w:t>
      </w:r>
    </w:p>
    <w:p w:rsidR="001B65FA" w:rsidRPr="0065598A" w:rsidRDefault="001B65FA" w:rsidP="001B65FA">
      <w:pPr>
        <w:spacing w:line="276" w:lineRule="auto"/>
        <w:ind w:right="360"/>
        <w:jc w:val="center"/>
        <w:rPr>
          <w:rFonts w:asciiTheme="minorHAnsi" w:eastAsia="SimSun" w:hAnsiTheme="minorHAnsi"/>
          <w:i/>
          <w:lang w:val="sq-AL"/>
        </w:rPr>
      </w:pPr>
      <w:r>
        <w:rPr>
          <w:rFonts w:asciiTheme="minorHAnsi" w:eastAsia="SimSun" w:hAnsiTheme="minorHAnsi"/>
          <w:i/>
          <w:noProof/>
        </w:rPr>
        <w:drawing>
          <wp:inline distT="0" distB="0" distL="0" distR="0" wp14:anchorId="6B49C417" wp14:editId="07F4896A">
            <wp:extent cx="6254115" cy="152887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71444" cy="1533112"/>
                    </a:xfrm>
                    <a:prstGeom prst="rect">
                      <a:avLst/>
                    </a:prstGeom>
                    <a:noFill/>
                  </pic:spPr>
                </pic:pic>
              </a:graphicData>
            </a:graphic>
          </wp:inline>
        </w:drawing>
      </w:r>
    </w:p>
    <w:p w:rsidR="001B65FA" w:rsidRDefault="001B65FA" w:rsidP="001B65FA">
      <w:pPr>
        <w:spacing w:line="276" w:lineRule="auto"/>
        <w:ind w:firstLine="450"/>
        <w:rPr>
          <w:rFonts w:asciiTheme="minorHAnsi" w:eastAsia="SimSun" w:hAnsiTheme="minorHAnsi"/>
          <w:i/>
          <w:sz w:val="20"/>
          <w:lang w:val="sq-AL"/>
        </w:rPr>
      </w:pPr>
      <w:r>
        <w:rPr>
          <w:rFonts w:asciiTheme="minorHAnsi" w:eastAsia="SimSun" w:hAnsiTheme="minorHAnsi"/>
          <w:i/>
          <w:sz w:val="20"/>
          <w:lang w:val="sq-AL"/>
        </w:rPr>
        <w:t>Burimi: Ministria e Financave dhe Ekonomisë (2021)</w:t>
      </w:r>
    </w:p>
    <w:p w:rsidR="001B65FA" w:rsidRPr="000B77A5" w:rsidRDefault="001B65FA" w:rsidP="001B65FA">
      <w:pPr>
        <w:spacing w:line="276" w:lineRule="auto"/>
        <w:ind w:firstLine="450"/>
        <w:rPr>
          <w:rFonts w:asciiTheme="minorHAnsi" w:eastAsia="SimSun" w:hAnsiTheme="minorHAnsi"/>
          <w:i/>
          <w:sz w:val="8"/>
          <w:lang w:val="sq-AL"/>
        </w:rPr>
      </w:pPr>
    </w:p>
    <w:p w:rsidR="001B65FA" w:rsidRPr="00F720EE" w:rsidRDefault="001B65FA" w:rsidP="001B65FA">
      <w:pPr>
        <w:spacing w:line="276" w:lineRule="auto"/>
        <w:jc w:val="both"/>
        <w:rPr>
          <w:rFonts w:asciiTheme="minorHAnsi" w:hAnsiTheme="minorHAnsi"/>
          <w:sz w:val="8"/>
          <w:szCs w:val="8"/>
          <w:lang w:val="sq-AL"/>
        </w:rPr>
      </w:pPr>
    </w:p>
    <w:p w:rsidR="001B65FA" w:rsidRPr="000B77A5" w:rsidRDefault="001B65FA" w:rsidP="001B65FA">
      <w:pPr>
        <w:pStyle w:val="Caption"/>
        <w:keepNext/>
        <w:spacing w:after="0"/>
        <w:jc w:val="both"/>
        <w:rPr>
          <w:rFonts w:asciiTheme="minorHAnsi" w:hAnsiTheme="minorHAnsi"/>
          <w:b w:val="0"/>
          <w:bCs w:val="0"/>
          <w:i/>
          <w:color w:val="auto"/>
          <w:sz w:val="22"/>
          <w:szCs w:val="24"/>
          <w:lang w:val="sq-AL"/>
        </w:rPr>
      </w:pPr>
      <w:r w:rsidRPr="000B77A5">
        <w:rPr>
          <w:rFonts w:asciiTheme="minorHAnsi" w:hAnsiTheme="minorHAnsi"/>
          <w:b w:val="0"/>
          <w:bCs w:val="0"/>
          <w:i/>
          <w:color w:val="auto"/>
          <w:sz w:val="22"/>
          <w:szCs w:val="24"/>
          <w:lang w:val="sq-AL"/>
        </w:rPr>
        <w:t xml:space="preserve">Grafiku </w:t>
      </w:r>
      <w:r w:rsidR="003C5F40">
        <w:rPr>
          <w:rFonts w:asciiTheme="minorHAnsi" w:hAnsiTheme="minorHAnsi"/>
          <w:b w:val="0"/>
          <w:bCs w:val="0"/>
          <w:i/>
          <w:color w:val="auto"/>
          <w:sz w:val="22"/>
          <w:szCs w:val="24"/>
          <w:lang w:val="sq-AL"/>
        </w:rPr>
        <w:t>11</w:t>
      </w:r>
      <w:r w:rsidRPr="000B77A5">
        <w:rPr>
          <w:rFonts w:asciiTheme="minorHAnsi" w:hAnsiTheme="minorHAnsi"/>
          <w:b w:val="0"/>
          <w:bCs w:val="0"/>
          <w:i/>
          <w:color w:val="auto"/>
          <w:sz w:val="22"/>
          <w:szCs w:val="24"/>
          <w:lang w:val="sq-AL"/>
        </w:rPr>
        <w:t xml:space="preserve">: Shpenzimet e përgjithshme dhe ritmi i rritjes së tyre (në miliardë LEK) </w:t>
      </w:r>
    </w:p>
    <w:p w:rsidR="001B65FA" w:rsidRPr="0065598A" w:rsidRDefault="001B65FA"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4B486014" wp14:editId="329ABE6D">
            <wp:extent cx="5060619" cy="2370125"/>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73566" cy="2376189"/>
                    </a:xfrm>
                    <a:prstGeom prst="rect">
                      <a:avLst/>
                    </a:prstGeom>
                    <a:noFill/>
                  </pic:spPr>
                </pic:pic>
              </a:graphicData>
            </a:graphic>
          </wp:inline>
        </w:drawing>
      </w:r>
    </w:p>
    <w:p w:rsidR="001B65FA" w:rsidRDefault="001B65FA" w:rsidP="001B65FA">
      <w:pPr>
        <w:spacing w:line="276" w:lineRule="auto"/>
        <w:ind w:firstLine="540"/>
        <w:rPr>
          <w:rFonts w:asciiTheme="minorHAnsi" w:eastAsia="SimSun" w:hAnsiTheme="minorHAnsi"/>
          <w:i/>
          <w:sz w:val="20"/>
          <w:lang w:val="sq-AL"/>
        </w:rPr>
      </w:pPr>
      <w:r>
        <w:rPr>
          <w:rFonts w:asciiTheme="minorHAnsi" w:eastAsia="SimSun" w:hAnsiTheme="minorHAnsi"/>
          <w:i/>
          <w:sz w:val="20"/>
          <w:lang w:val="sq-AL"/>
        </w:rPr>
        <w:t>Burimi: Ministria e Financave dhe Ekonomisë (2021)</w:t>
      </w:r>
      <w:r w:rsidRPr="0065598A">
        <w:rPr>
          <w:rFonts w:asciiTheme="minorHAnsi" w:eastAsia="SimSun" w:hAnsiTheme="minorHAnsi"/>
          <w:i/>
          <w:sz w:val="20"/>
          <w:lang w:val="sq-AL"/>
        </w:rPr>
        <w:t xml:space="preserve"> </w:t>
      </w:r>
    </w:p>
    <w:p w:rsidR="001B65FA" w:rsidRPr="000C5F93" w:rsidRDefault="001B65FA" w:rsidP="001B65FA">
      <w:pPr>
        <w:spacing w:line="276" w:lineRule="auto"/>
        <w:jc w:val="both"/>
        <w:rPr>
          <w:rFonts w:asciiTheme="minorHAnsi" w:hAnsiTheme="minorHAnsi"/>
          <w:lang w:val="sq-AL"/>
        </w:rPr>
      </w:pPr>
      <w:r w:rsidRPr="000C5F93">
        <w:rPr>
          <w:rFonts w:asciiTheme="minorHAnsi" w:hAnsiTheme="minorHAnsi"/>
          <w:i/>
          <w:lang w:val="sq-AL"/>
        </w:rPr>
        <w:lastRenderedPageBreak/>
        <w:t>Shpenzimet korente dhe ato kapitale</w:t>
      </w:r>
      <w:r w:rsidRPr="000C5F93">
        <w:rPr>
          <w:rFonts w:asciiTheme="minorHAnsi" w:eastAsia="SimSun" w:hAnsiTheme="minorHAnsi"/>
          <w:lang w:val="sq-AL"/>
        </w:rPr>
        <w:t xml:space="preserve">, </w:t>
      </w:r>
      <w:r w:rsidRPr="000C5F93">
        <w:rPr>
          <w:rFonts w:asciiTheme="minorHAnsi" w:hAnsiTheme="minorHAnsi"/>
          <w:lang w:val="sq-AL"/>
        </w:rPr>
        <w:t>për periudhën 5 mujore, kanë shënuar një realizim respektivisht në masën 98.7 përqind dhe 7</w:t>
      </w:r>
      <w:r>
        <w:rPr>
          <w:rFonts w:asciiTheme="minorHAnsi" w:hAnsiTheme="minorHAnsi"/>
          <w:lang w:val="sq-AL"/>
        </w:rPr>
        <w:t>6</w:t>
      </w:r>
      <w:r w:rsidRPr="000C5F93">
        <w:rPr>
          <w:rFonts w:asciiTheme="minorHAnsi" w:hAnsiTheme="minorHAnsi"/>
          <w:lang w:val="sq-AL"/>
        </w:rPr>
        <w:t>.</w:t>
      </w:r>
      <w:r>
        <w:rPr>
          <w:rFonts w:asciiTheme="minorHAnsi" w:hAnsiTheme="minorHAnsi"/>
          <w:lang w:val="sq-AL"/>
        </w:rPr>
        <w:t>3</w:t>
      </w:r>
      <w:r w:rsidRPr="000C5F93">
        <w:rPr>
          <w:rFonts w:asciiTheme="minorHAnsi" w:hAnsiTheme="minorHAnsi"/>
          <w:lang w:val="sq-AL"/>
        </w:rPr>
        <w:t xml:space="preserve"> përqind të planit të periudhës. Ndërkohë që, në terma vjetorë ato janë realizuar përkatësisht në: 37.5 përqind dhe 29.</w:t>
      </w:r>
      <w:r>
        <w:rPr>
          <w:rFonts w:asciiTheme="minorHAnsi" w:hAnsiTheme="minorHAnsi"/>
          <w:lang w:val="sq-AL"/>
        </w:rPr>
        <w:t>5</w:t>
      </w:r>
      <w:r w:rsidRPr="000C5F93">
        <w:rPr>
          <w:rFonts w:asciiTheme="minorHAnsi" w:hAnsiTheme="minorHAnsi"/>
          <w:lang w:val="sq-AL"/>
        </w:rPr>
        <w:t xml:space="preserve"> përqind të planit vjetor sipas Buxhetit fillestar dhe 37.5 përqind dhe 28.</w:t>
      </w:r>
      <w:r>
        <w:rPr>
          <w:rFonts w:asciiTheme="minorHAnsi" w:hAnsiTheme="minorHAnsi"/>
          <w:lang w:val="sq-AL"/>
        </w:rPr>
        <w:t>8</w:t>
      </w:r>
      <w:r w:rsidRPr="000C5F93">
        <w:rPr>
          <w:rFonts w:asciiTheme="minorHAnsi" w:hAnsiTheme="minorHAnsi"/>
          <w:lang w:val="sq-AL"/>
        </w:rPr>
        <w:t xml:space="preserve"> përqind të planit vjetor të ndryshuar me AN nr.18.</w:t>
      </w:r>
    </w:p>
    <w:p w:rsidR="001B65FA" w:rsidRPr="000C5F93" w:rsidRDefault="001B65FA" w:rsidP="001B65FA">
      <w:pPr>
        <w:spacing w:line="276" w:lineRule="auto"/>
        <w:jc w:val="both"/>
        <w:rPr>
          <w:rFonts w:asciiTheme="minorHAnsi" w:eastAsia="SimSun" w:hAnsiTheme="minorHAnsi"/>
          <w:lang w:val="sq-AL"/>
        </w:rPr>
      </w:pPr>
      <w:r w:rsidRPr="000C5F93">
        <w:rPr>
          <w:rFonts w:asciiTheme="minorHAnsi" w:eastAsia="SimSun" w:hAnsiTheme="minorHAnsi"/>
          <w:i/>
          <w:lang w:val="sq-AL"/>
        </w:rPr>
        <w:t>Shpenzimet korente</w:t>
      </w:r>
      <w:r w:rsidRPr="000C5F93">
        <w:rPr>
          <w:rFonts w:asciiTheme="minorHAnsi" w:eastAsia="SimSun" w:hAnsiTheme="minorHAnsi"/>
          <w:lang w:val="sq-AL"/>
        </w:rPr>
        <w:t xml:space="preserve"> për periudhën 5 mujore të vitit 2021 rezultuan në rreth 175.2 miliard LEK, ndërsa krahasuar me të njëjtën periudhë të një viti më parë ky zë ka rezultuar 10.3 përqind më i lartë ose rreth 16.4 miliard LEK më shumë. </w:t>
      </w:r>
    </w:p>
    <w:p w:rsidR="001B65FA" w:rsidRDefault="001B65FA" w:rsidP="001B65FA">
      <w:pPr>
        <w:spacing w:line="276" w:lineRule="auto"/>
        <w:jc w:val="both"/>
        <w:rPr>
          <w:rFonts w:asciiTheme="minorHAnsi" w:eastAsia="SimSun" w:hAnsiTheme="minorHAnsi"/>
          <w:lang w:val="sq-AL"/>
        </w:rPr>
      </w:pPr>
      <w:r w:rsidRPr="000C5F93">
        <w:rPr>
          <w:rFonts w:asciiTheme="minorHAnsi" w:eastAsia="SimSun" w:hAnsiTheme="minorHAnsi"/>
          <w:i/>
          <w:lang w:val="sq-AL"/>
        </w:rPr>
        <w:t>Shpenzimet kapitale</w:t>
      </w:r>
      <w:r w:rsidRPr="000C5F93">
        <w:rPr>
          <w:rFonts w:asciiTheme="minorHAnsi" w:eastAsia="SimSun" w:hAnsiTheme="minorHAnsi"/>
          <w:lang w:val="sq-AL"/>
        </w:rPr>
        <w:t xml:space="preserve"> për periudhën 5 mujore të vitit 2021 paraqesin një realizim në masën rreth 27.</w:t>
      </w:r>
      <w:r>
        <w:rPr>
          <w:rFonts w:asciiTheme="minorHAnsi" w:eastAsia="SimSun" w:hAnsiTheme="minorHAnsi"/>
          <w:lang w:val="sq-AL"/>
        </w:rPr>
        <w:t>5</w:t>
      </w:r>
      <w:r w:rsidRPr="000C5F93">
        <w:rPr>
          <w:rFonts w:asciiTheme="minorHAnsi" w:eastAsia="SimSun" w:hAnsiTheme="minorHAnsi"/>
          <w:lang w:val="sq-AL"/>
        </w:rPr>
        <w:t xml:space="preserve"> miliard LEK. Krahasuar me të njëjtën periudhë të vitit 2020, ky zë është </w:t>
      </w:r>
      <w:r>
        <w:rPr>
          <w:rFonts w:asciiTheme="minorHAnsi" w:eastAsia="SimSun" w:hAnsiTheme="minorHAnsi"/>
          <w:lang w:val="sq-AL"/>
        </w:rPr>
        <w:t>30</w:t>
      </w:r>
      <w:r w:rsidRPr="000C5F93">
        <w:rPr>
          <w:rFonts w:asciiTheme="minorHAnsi" w:eastAsia="SimSun" w:hAnsiTheme="minorHAnsi"/>
          <w:lang w:val="sq-AL"/>
        </w:rPr>
        <w:t>.1 përqind më i lartë ose rreth 6.</w:t>
      </w:r>
      <w:r>
        <w:rPr>
          <w:rFonts w:asciiTheme="minorHAnsi" w:eastAsia="SimSun" w:hAnsiTheme="minorHAnsi"/>
          <w:lang w:val="sq-AL"/>
        </w:rPr>
        <w:t>36</w:t>
      </w:r>
      <w:r w:rsidRPr="000C5F93">
        <w:rPr>
          <w:rFonts w:asciiTheme="minorHAnsi" w:eastAsia="SimSun" w:hAnsiTheme="minorHAnsi"/>
          <w:lang w:val="sq-AL"/>
        </w:rPr>
        <w:t xml:space="preserve"> miliard LEK më shumë.</w:t>
      </w:r>
    </w:p>
    <w:p w:rsidR="001B65FA" w:rsidRDefault="001B65FA" w:rsidP="001B65FA">
      <w:pPr>
        <w:spacing w:line="276" w:lineRule="auto"/>
        <w:jc w:val="both"/>
        <w:rPr>
          <w:rFonts w:asciiTheme="minorHAnsi" w:eastAsia="SimSun" w:hAnsiTheme="minorHAnsi"/>
          <w:sz w:val="8"/>
          <w:lang w:val="sq-AL"/>
        </w:rPr>
      </w:pPr>
    </w:p>
    <w:p w:rsidR="001B65FA" w:rsidRPr="000B77A5" w:rsidRDefault="001B65FA" w:rsidP="001B65FA">
      <w:pPr>
        <w:pStyle w:val="Caption"/>
        <w:rPr>
          <w:rFonts w:asciiTheme="minorHAnsi" w:eastAsia="SimSun" w:hAnsiTheme="minorHAnsi"/>
          <w:b w:val="0"/>
          <w:bCs w:val="0"/>
          <w:i/>
          <w:color w:val="auto"/>
          <w:sz w:val="22"/>
          <w:szCs w:val="24"/>
          <w:lang w:val="sq-AL"/>
        </w:rPr>
      </w:pPr>
      <w:r w:rsidRPr="000B77A5">
        <w:rPr>
          <w:rFonts w:asciiTheme="minorHAnsi" w:eastAsia="SimSun" w:hAnsiTheme="minorHAnsi"/>
          <w:b w:val="0"/>
          <w:bCs w:val="0"/>
          <w:i/>
          <w:color w:val="auto"/>
          <w:sz w:val="22"/>
          <w:szCs w:val="24"/>
          <w:lang w:val="sq-AL"/>
        </w:rPr>
        <w:t xml:space="preserve">Grafiku </w:t>
      </w:r>
      <w:r w:rsidR="003C5F40">
        <w:rPr>
          <w:rFonts w:asciiTheme="minorHAnsi" w:eastAsia="SimSun" w:hAnsiTheme="minorHAnsi"/>
          <w:b w:val="0"/>
          <w:bCs w:val="0"/>
          <w:i/>
          <w:color w:val="auto"/>
          <w:sz w:val="22"/>
          <w:szCs w:val="24"/>
          <w:lang w:val="sq-AL"/>
        </w:rPr>
        <w:t>12</w:t>
      </w:r>
      <w:r w:rsidRPr="000B77A5">
        <w:rPr>
          <w:rFonts w:asciiTheme="minorHAnsi" w:eastAsia="SimSun" w:hAnsiTheme="minorHAnsi"/>
          <w:b w:val="0"/>
          <w:bCs w:val="0"/>
          <w:i/>
          <w:color w:val="auto"/>
          <w:sz w:val="22"/>
          <w:szCs w:val="24"/>
          <w:lang w:val="sq-AL"/>
        </w:rPr>
        <w:t>: Shpenzimet korente dhe kapitale Plan vs Fakt (në miliard LEK)</w:t>
      </w:r>
    </w:p>
    <w:p w:rsidR="001B65FA" w:rsidRPr="003F7DB9" w:rsidRDefault="001B65FA" w:rsidP="001B65FA">
      <w:pPr>
        <w:jc w:val="center"/>
        <w:rPr>
          <w:rFonts w:asciiTheme="minorHAnsi" w:eastAsia="SimSun" w:hAnsiTheme="minorHAnsi"/>
          <w:lang w:val="sq-AL"/>
        </w:rPr>
      </w:pPr>
      <w:r>
        <w:rPr>
          <w:rFonts w:asciiTheme="minorHAnsi" w:eastAsia="SimSun" w:hAnsiTheme="minorHAnsi"/>
          <w:noProof/>
        </w:rPr>
        <w:drawing>
          <wp:inline distT="0" distB="0" distL="0" distR="0" wp14:anchorId="7588294C" wp14:editId="03A53050">
            <wp:extent cx="5676900" cy="2667000"/>
            <wp:effectExtent l="38100" t="38100" r="38100" b="571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1344" cy="2669088"/>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3F7DB9" w:rsidRDefault="000B77A5" w:rsidP="001B65FA">
      <w:pPr>
        <w:spacing w:line="276" w:lineRule="auto"/>
        <w:jc w:val="both"/>
        <w:rPr>
          <w:rFonts w:asciiTheme="minorHAnsi" w:eastAsia="SimSun" w:hAnsiTheme="minorHAnsi"/>
          <w:i/>
          <w:sz w:val="20"/>
          <w:lang w:val="sq-AL"/>
        </w:rPr>
      </w:pPr>
      <w:r>
        <w:rPr>
          <w:rFonts w:asciiTheme="minorHAnsi" w:eastAsia="SimSun" w:hAnsiTheme="minorHAnsi"/>
          <w:i/>
          <w:sz w:val="20"/>
          <w:lang w:val="sq-AL"/>
        </w:rPr>
        <w:t xml:space="preserve">        </w:t>
      </w:r>
      <w:r w:rsidR="001B65FA" w:rsidRPr="003F7DB9">
        <w:rPr>
          <w:rFonts w:asciiTheme="minorHAnsi" w:eastAsia="SimSun" w:hAnsiTheme="minorHAnsi"/>
          <w:i/>
          <w:sz w:val="20"/>
          <w:lang w:val="sq-AL"/>
        </w:rPr>
        <w:t>Burimi: Ministria e Financave dhe Ekonomisë (202</w:t>
      </w:r>
      <w:r w:rsidR="001B65FA">
        <w:rPr>
          <w:rFonts w:asciiTheme="minorHAnsi" w:eastAsia="SimSun" w:hAnsiTheme="minorHAnsi"/>
          <w:i/>
          <w:sz w:val="20"/>
          <w:lang w:val="sq-AL"/>
        </w:rPr>
        <w:t>1</w:t>
      </w:r>
      <w:r w:rsidR="001B65FA" w:rsidRPr="003F7DB9">
        <w:rPr>
          <w:rFonts w:asciiTheme="minorHAnsi" w:eastAsia="SimSun" w:hAnsiTheme="minorHAnsi"/>
          <w:i/>
          <w:sz w:val="20"/>
          <w:lang w:val="sq-AL"/>
        </w:rPr>
        <w:t>)</w:t>
      </w:r>
    </w:p>
    <w:p w:rsidR="001B65FA" w:rsidRDefault="001B65FA" w:rsidP="001B65FA">
      <w:pPr>
        <w:rPr>
          <w:rFonts w:asciiTheme="minorHAnsi" w:hAnsiTheme="minorHAnsi"/>
          <w:i/>
          <w:sz w:val="16"/>
          <w:lang w:val="sq-AL"/>
        </w:rPr>
      </w:pPr>
    </w:p>
    <w:p w:rsidR="000B77A5" w:rsidRDefault="000B77A5" w:rsidP="001B65FA">
      <w:pPr>
        <w:rPr>
          <w:rFonts w:asciiTheme="minorHAnsi" w:hAnsiTheme="minorHAnsi"/>
          <w:i/>
          <w:sz w:val="16"/>
          <w:lang w:val="sq-AL"/>
        </w:rPr>
      </w:pPr>
    </w:p>
    <w:p w:rsidR="000B77A5" w:rsidRPr="007F224E" w:rsidRDefault="000B77A5" w:rsidP="001B65FA">
      <w:pPr>
        <w:rPr>
          <w:rFonts w:asciiTheme="minorHAnsi" w:hAnsiTheme="minorHAnsi"/>
          <w:i/>
          <w:sz w:val="16"/>
          <w:lang w:val="sq-AL"/>
        </w:rPr>
      </w:pPr>
    </w:p>
    <w:p w:rsidR="001B65FA" w:rsidRPr="000B77A5" w:rsidRDefault="001B65FA" w:rsidP="001B65FA">
      <w:pPr>
        <w:rPr>
          <w:rFonts w:asciiTheme="minorHAnsi" w:hAnsiTheme="minorHAnsi"/>
          <w:i/>
          <w:sz w:val="22"/>
          <w:lang w:val="sq-AL"/>
        </w:rPr>
      </w:pPr>
      <w:r w:rsidRPr="000B77A5">
        <w:rPr>
          <w:rFonts w:asciiTheme="minorHAnsi" w:hAnsiTheme="minorHAnsi"/>
          <w:i/>
          <w:sz w:val="22"/>
          <w:lang w:val="sq-AL"/>
        </w:rPr>
        <w:t xml:space="preserve">Grafiku </w:t>
      </w:r>
      <w:r w:rsidR="003C5F40">
        <w:rPr>
          <w:rFonts w:asciiTheme="minorHAnsi" w:hAnsiTheme="minorHAnsi"/>
          <w:i/>
          <w:sz w:val="22"/>
          <w:lang w:val="sq-AL"/>
        </w:rPr>
        <w:t>13</w:t>
      </w:r>
      <w:r w:rsidRPr="000B77A5">
        <w:rPr>
          <w:rFonts w:asciiTheme="minorHAnsi" w:hAnsiTheme="minorHAnsi"/>
          <w:i/>
          <w:sz w:val="22"/>
          <w:lang w:val="sq-AL"/>
        </w:rPr>
        <w:t>:</w:t>
      </w:r>
      <w:r w:rsidRPr="000B77A5">
        <w:rPr>
          <w:rFonts w:asciiTheme="minorHAnsi" w:hAnsiTheme="minorHAnsi"/>
          <w:bCs/>
          <w:i/>
          <w:sz w:val="22"/>
          <w:lang w:val="sq-AL"/>
        </w:rPr>
        <w:t xml:space="preserve"> Struktura e shpenzimeve të përgjithshme, për periudhën 5 mujore 2021</w:t>
      </w:r>
    </w:p>
    <w:p w:rsidR="001B65FA" w:rsidRPr="0065598A" w:rsidRDefault="001B65FA" w:rsidP="001B65FA">
      <w:pPr>
        <w:jc w:val="center"/>
        <w:rPr>
          <w:rFonts w:asciiTheme="minorHAnsi" w:eastAsia="SimSun" w:hAnsiTheme="minorHAnsi"/>
          <w:b/>
          <w:lang w:val="sq-AL"/>
        </w:rPr>
      </w:pPr>
      <w:r>
        <w:rPr>
          <w:rFonts w:asciiTheme="minorHAnsi" w:eastAsia="SimSun" w:hAnsiTheme="minorHAnsi"/>
          <w:b/>
          <w:noProof/>
        </w:rPr>
        <w:drawing>
          <wp:inline distT="0" distB="0" distL="0" distR="0" wp14:anchorId="733B2F85" wp14:editId="409B05F1">
            <wp:extent cx="5761355" cy="26365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2570" cy="2646228"/>
                    </a:xfrm>
                    <a:prstGeom prst="rect">
                      <a:avLst/>
                    </a:prstGeom>
                    <a:noFill/>
                  </pic:spPr>
                </pic:pic>
              </a:graphicData>
            </a:graphic>
          </wp:inline>
        </w:drawing>
      </w:r>
    </w:p>
    <w:p w:rsidR="001B65FA" w:rsidRDefault="001B65FA" w:rsidP="001B65FA">
      <w:pPr>
        <w:spacing w:line="276" w:lineRule="auto"/>
        <w:ind w:firstLine="720"/>
        <w:rPr>
          <w:rFonts w:asciiTheme="minorHAnsi" w:eastAsia="SimSun" w:hAnsiTheme="minorHAnsi"/>
          <w:i/>
          <w:sz w:val="20"/>
          <w:lang w:val="sq-AL"/>
        </w:rPr>
      </w:pPr>
      <w:r>
        <w:rPr>
          <w:rFonts w:asciiTheme="minorHAnsi" w:eastAsia="SimSun" w:hAnsiTheme="minorHAnsi"/>
          <w:i/>
          <w:sz w:val="20"/>
          <w:lang w:val="sq-AL"/>
        </w:rPr>
        <w:t xml:space="preserve"> Burimi: Ministria e Financave dhe Ekonomisë (2021)</w:t>
      </w:r>
      <w:r w:rsidRPr="0065598A">
        <w:rPr>
          <w:rFonts w:asciiTheme="minorHAnsi" w:eastAsia="SimSun" w:hAnsiTheme="minorHAnsi"/>
          <w:i/>
          <w:sz w:val="20"/>
          <w:lang w:val="sq-AL"/>
        </w:rPr>
        <w:t xml:space="preserve"> </w:t>
      </w:r>
    </w:p>
    <w:p w:rsidR="001B65FA" w:rsidRPr="006E61A2" w:rsidRDefault="001B65FA" w:rsidP="001B65FA">
      <w:pPr>
        <w:spacing w:line="276" w:lineRule="auto"/>
        <w:jc w:val="both"/>
        <w:rPr>
          <w:rFonts w:asciiTheme="minorHAnsi" w:eastAsia="SimSun" w:hAnsiTheme="minorHAnsi"/>
          <w:lang w:val="sq-AL"/>
        </w:rPr>
      </w:pPr>
      <w:r w:rsidRPr="006E61A2">
        <w:rPr>
          <w:rFonts w:eastAsia="SimSun"/>
          <w:b/>
          <w:lang w:val="sq-AL"/>
        </w:rPr>
        <w:lastRenderedPageBreak/>
        <w:t>Shpenzimet korente</w:t>
      </w:r>
      <w:r w:rsidRPr="006E61A2">
        <w:rPr>
          <w:rFonts w:eastAsia="SimSun"/>
          <w:lang w:val="sq-AL"/>
        </w:rPr>
        <w:t xml:space="preserve"> </w:t>
      </w:r>
      <w:r w:rsidRPr="006E61A2">
        <w:rPr>
          <w:rFonts w:asciiTheme="minorHAnsi" w:eastAsia="SimSun" w:hAnsiTheme="minorHAnsi"/>
          <w:lang w:val="sq-AL"/>
        </w:rPr>
        <w:t xml:space="preserve">në raport me planin 5 mujor të këtij viti, paraqesin një realizim prej 98.7 përqind, duke rezultuar në rreth 175.2 miliard LEK. Zërat kryesorë që ndikuan në nivelin e realizimit të shpenzimeve korente kundrejt planit 5 mujor janë përkatësisht: </w:t>
      </w:r>
    </w:p>
    <w:p w:rsidR="001B65FA" w:rsidRPr="006E61A2" w:rsidRDefault="001B65FA" w:rsidP="001B65FA">
      <w:pPr>
        <w:pStyle w:val="ListParagraph"/>
        <w:numPr>
          <w:ilvl w:val="0"/>
          <w:numId w:val="2"/>
        </w:numPr>
        <w:spacing w:line="276" w:lineRule="auto"/>
        <w:ind w:left="540"/>
        <w:jc w:val="both"/>
        <w:rPr>
          <w:rFonts w:asciiTheme="minorHAnsi" w:eastAsia="SimSun" w:hAnsiTheme="minorHAnsi"/>
          <w:i/>
          <w:lang w:val="sq-AL"/>
        </w:rPr>
      </w:pPr>
      <w:r>
        <w:rPr>
          <w:rFonts w:asciiTheme="minorHAnsi" w:eastAsia="SimSun" w:hAnsiTheme="minorHAnsi"/>
          <w:i/>
          <w:lang w:val="sq-AL"/>
        </w:rPr>
        <w:t>s</w:t>
      </w:r>
      <w:r w:rsidRPr="006E61A2">
        <w:rPr>
          <w:rFonts w:asciiTheme="minorHAnsi" w:eastAsia="SimSun" w:hAnsiTheme="minorHAnsi"/>
          <w:i/>
          <w:lang w:val="sq-AL"/>
        </w:rPr>
        <w:t>hpenzimet operative mirëmbajtje me 106.4 përqind të planit të periudhës dhe 40.5 përqind të planit vjetor fillestar dhe të ndryshuar.</w:t>
      </w:r>
    </w:p>
    <w:p w:rsidR="001B65FA" w:rsidRPr="006E61A2" w:rsidRDefault="001B65FA" w:rsidP="001B65FA">
      <w:pPr>
        <w:pStyle w:val="ListParagraph"/>
        <w:numPr>
          <w:ilvl w:val="0"/>
          <w:numId w:val="2"/>
        </w:numPr>
        <w:spacing w:line="276" w:lineRule="auto"/>
        <w:ind w:left="540"/>
        <w:jc w:val="both"/>
        <w:rPr>
          <w:rFonts w:asciiTheme="minorHAnsi" w:eastAsia="SimSun" w:hAnsiTheme="minorHAnsi"/>
          <w:i/>
          <w:lang w:val="sq-AL"/>
        </w:rPr>
      </w:pPr>
      <w:r>
        <w:rPr>
          <w:rFonts w:asciiTheme="minorHAnsi" w:eastAsia="SimSun" w:hAnsiTheme="minorHAnsi"/>
          <w:i/>
          <w:lang w:val="sq-AL"/>
        </w:rPr>
        <w:t>s</w:t>
      </w:r>
      <w:r w:rsidRPr="006E61A2">
        <w:rPr>
          <w:rFonts w:asciiTheme="minorHAnsi" w:eastAsia="SimSun" w:hAnsiTheme="minorHAnsi"/>
          <w:i/>
          <w:lang w:val="sq-AL"/>
        </w:rPr>
        <w:t>hpenzimet për fonde speciale me 100 përqind të planit të periudhës dhe 38.4 përqind të planit vjetor fillestar dhe të ndryshuar.</w:t>
      </w:r>
    </w:p>
    <w:p w:rsidR="001B65FA" w:rsidRPr="003926F4" w:rsidRDefault="001B65FA" w:rsidP="001B65FA">
      <w:pPr>
        <w:pStyle w:val="ListParagraph"/>
        <w:numPr>
          <w:ilvl w:val="0"/>
          <w:numId w:val="2"/>
        </w:numPr>
        <w:spacing w:line="276" w:lineRule="auto"/>
        <w:ind w:left="540"/>
        <w:jc w:val="both"/>
        <w:rPr>
          <w:rFonts w:asciiTheme="minorHAnsi" w:eastAsia="SimSun" w:hAnsiTheme="minorHAnsi"/>
          <w:i/>
          <w:lang w:val="sq-AL"/>
        </w:rPr>
      </w:pPr>
      <w:r>
        <w:rPr>
          <w:rFonts w:asciiTheme="minorHAnsi" w:eastAsia="SimSun" w:hAnsiTheme="minorHAnsi"/>
          <w:i/>
          <w:lang w:val="sq-AL"/>
        </w:rPr>
        <w:t>s</w:t>
      </w:r>
      <w:r w:rsidRPr="006E61A2">
        <w:rPr>
          <w:rFonts w:asciiTheme="minorHAnsi" w:eastAsia="SimSun" w:hAnsiTheme="minorHAnsi"/>
          <w:i/>
          <w:lang w:val="sq-AL"/>
        </w:rPr>
        <w:t>hpenzimet për interesa me 98.7 përqind të planit të periudhës dhe 31.8 përqind të planit vjetor fillestar dhe të ndryshuar.</w:t>
      </w:r>
    </w:p>
    <w:p w:rsidR="001B65FA" w:rsidRPr="009A29CE" w:rsidRDefault="001B65FA" w:rsidP="001B65FA">
      <w:pPr>
        <w:pStyle w:val="Caption"/>
        <w:keepNext/>
        <w:spacing w:before="240" w:after="0"/>
        <w:jc w:val="both"/>
        <w:rPr>
          <w:rFonts w:asciiTheme="minorHAnsi" w:hAnsiTheme="minorHAnsi"/>
          <w:b w:val="0"/>
          <w:bCs w:val="0"/>
          <w:i/>
          <w:color w:val="auto"/>
          <w:sz w:val="24"/>
          <w:szCs w:val="24"/>
          <w:lang w:val="sq-AL"/>
        </w:rPr>
      </w:pPr>
      <w:r w:rsidRPr="0065598A">
        <w:rPr>
          <w:rFonts w:asciiTheme="minorHAnsi" w:hAnsiTheme="minorHAnsi"/>
          <w:b w:val="0"/>
          <w:bCs w:val="0"/>
          <w:i/>
          <w:color w:val="auto"/>
          <w:sz w:val="24"/>
          <w:szCs w:val="24"/>
          <w:lang w:val="sq-AL"/>
        </w:rPr>
        <w:t xml:space="preserve">Grafiku </w:t>
      </w:r>
      <w:r w:rsidRPr="006A740D">
        <w:rPr>
          <w:rFonts w:asciiTheme="minorHAnsi" w:hAnsiTheme="minorHAnsi"/>
          <w:b w:val="0"/>
          <w:bCs w:val="0"/>
          <w:i/>
          <w:color w:val="auto"/>
          <w:sz w:val="24"/>
          <w:szCs w:val="24"/>
          <w:highlight w:val="yellow"/>
          <w:lang w:val="sq-AL"/>
        </w:rPr>
        <w:t>x</w:t>
      </w:r>
      <w:r w:rsidRPr="0065598A">
        <w:rPr>
          <w:rFonts w:asciiTheme="minorHAnsi" w:hAnsiTheme="minorHAnsi"/>
          <w:b w:val="0"/>
          <w:bCs w:val="0"/>
          <w:i/>
          <w:color w:val="auto"/>
          <w:sz w:val="24"/>
          <w:szCs w:val="24"/>
          <w:lang w:val="sq-AL"/>
        </w:rPr>
        <w:t>: Shpenzimet Korente dhe ritmi i rritjes së tyre (në miliardë LEK)</w:t>
      </w:r>
    </w:p>
    <w:p w:rsidR="001B65FA" w:rsidRPr="0023602D" w:rsidRDefault="001B65FA" w:rsidP="006A740D">
      <w:pPr>
        <w:tabs>
          <w:tab w:val="left" w:pos="360"/>
        </w:tabs>
        <w:ind w:left="360" w:hanging="360"/>
        <w:jc w:val="center"/>
        <w:rPr>
          <w:rFonts w:eastAsia="SimSun"/>
          <w:lang w:val="sq-AL"/>
        </w:rPr>
      </w:pPr>
      <w:r>
        <w:rPr>
          <w:rFonts w:eastAsia="SimSun"/>
          <w:noProof/>
        </w:rPr>
        <w:drawing>
          <wp:inline distT="0" distB="0" distL="0" distR="0" wp14:anchorId="163FB583" wp14:editId="25231698">
            <wp:extent cx="5384165" cy="2395570"/>
            <wp:effectExtent l="38100" t="19050" r="45085" b="622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2772" cy="2399400"/>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65598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Pr>
          <w:rFonts w:asciiTheme="minorHAnsi" w:eastAsia="SimSun" w:hAnsiTheme="minorHAnsi"/>
          <w:i/>
          <w:sz w:val="20"/>
          <w:lang w:val="sq-AL"/>
        </w:rPr>
        <w:t>Burimi: Ministria e Financave dhe Ekonomisë (2021)</w:t>
      </w:r>
    </w:p>
    <w:p w:rsidR="001B65FA" w:rsidRPr="006A740D" w:rsidRDefault="001B65FA" w:rsidP="001B65FA">
      <w:pPr>
        <w:pStyle w:val="Caption"/>
        <w:keepNext/>
        <w:spacing w:before="240" w:after="0"/>
        <w:jc w:val="both"/>
        <w:rPr>
          <w:rFonts w:asciiTheme="minorHAnsi" w:hAnsiTheme="minorHAnsi"/>
          <w:b w:val="0"/>
          <w:bCs w:val="0"/>
          <w:i/>
          <w:color w:val="auto"/>
          <w:sz w:val="20"/>
          <w:szCs w:val="24"/>
          <w:lang w:val="sq-AL"/>
        </w:rPr>
      </w:pPr>
      <w:r w:rsidRPr="006A740D">
        <w:rPr>
          <w:rFonts w:asciiTheme="minorHAnsi" w:hAnsiTheme="minorHAnsi"/>
          <w:b w:val="0"/>
          <w:bCs w:val="0"/>
          <w:i/>
          <w:color w:val="auto"/>
          <w:sz w:val="22"/>
          <w:szCs w:val="24"/>
          <w:lang w:val="sq-AL"/>
        </w:rPr>
        <w:t xml:space="preserve">Grafiku </w:t>
      </w:r>
      <w:r w:rsidRPr="006A740D">
        <w:rPr>
          <w:rFonts w:asciiTheme="minorHAnsi" w:hAnsiTheme="minorHAnsi"/>
          <w:b w:val="0"/>
          <w:bCs w:val="0"/>
          <w:i/>
          <w:color w:val="auto"/>
          <w:sz w:val="22"/>
          <w:szCs w:val="24"/>
          <w:highlight w:val="yellow"/>
          <w:lang w:val="sq-AL"/>
        </w:rPr>
        <w:t>x</w:t>
      </w:r>
      <w:r w:rsidRPr="006A740D">
        <w:rPr>
          <w:rFonts w:asciiTheme="minorHAnsi" w:hAnsiTheme="minorHAnsi"/>
          <w:b w:val="0"/>
          <w:bCs w:val="0"/>
          <w:i/>
          <w:color w:val="auto"/>
          <w:sz w:val="22"/>
          <w:szCs w:val="24"/>
          <w:lang w:val="sq-AL"/>
        </w:rPr>
        <w:t>: Struktura e shpenzimeve korente, për periudhën 5 mujore 2021</w:t>
      </w:r>
    </w:p>
    <w:p w:rsidR="001B65FA" w:rsidRPr="0065598A" w:rsidRDefault="001B65FA" w:rsidP="001B65FA">
      <w:pPr>
        <w:spacing w:line="276" w:lineRule="auto"/>
        <w:jc w:val="center"/>
        <w:rPr>
          <w:rFonts w:asciiTheme="minorHAnsi" w:eastAsia="SimSun" w:hAnsiTheme="minorHAnsi"/>
          <w:i/>
          <w:lang w:val="sq-AL"/>
        </w:rPr>
      </w:pPr>
      <w:r>
        <w:rPr>
          <w:rFonts w:asciiTheme="minorHAnsi" w:eastAsia="SimSun" w:hAnsiTheme="minorHAnsi"/>
          <w:i/>
          <w:noProof/>
        </w:rPr>
        <w:drawing>
          <wp:inline distT="0" distB="0" distL="0" distR="0" wp14:anchorId="4E267AF1" wp14:editId="35475275">
            <wp:extent cx="5409724" cy="3177540"/>
            <wp:effectExtent l="38100" t="19050" r="38735" b="609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3428" cy="3179716"/>
                    </a:xfrm>
                    <a:prstGeom prst="rect">
                      <a:avLst/>
                    </a:prstGeom>
                    <a:noFill/>
                    <a:effectLst>
                      <a:outerShdw blurRad="50800" dist="38100" dir="2700000" algn="tl" rotWithShape="0">
                        <a:prstClr val="black">
                          <a:alpha val="40000"/>
                        </a:prstClr>
                      </a:outerShdw>
                    </a:effectLst>
                  </pic:spPr>
                </pic:pic>
              </a:graphicData>
            </a:graphic>
          </wp:inline>
        </w:drawing>
      </w:r>
    </w:p>
    <w:p w:rsidR="006A740D" w:rsidRPr="0065598A" w:rsidRDefault="006A740D" w:rsidP="006A740D">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Pr>
          <w:rFonts w:asciiTheme="minorHAnsi" w:eastAsia="SimSun" w:hAnsiTheme="minorHAnsi"/>
          <w:i/>
          <w:sz w:val="20"/>
          <w:lang w:val="sq-AL"/>
        </w:rPr>
        <w:t>Burimi: Ministria e Financave dhe Ekonomisë (2021)</w:t>
      </w:r>
    </w:p>
    <w:p w:rsidR="001B65FA" w:rsidRDefault="001B65FA" w:rsidP="001B65FA">
      <w:pPr>
        <w:spacing w:line="276" w:lineRule="auto"/>
        <w:jc w:val="both"/>
        <w:rPr>
          <w:rFonts w:asciiTheme="minorHAnsi" w:eastAsia="SimSun" w:hAnsiTheme="minorHAnsi"/>
          <w:lang w:val="sq-AL"/>
        </w:rPr>
      </w:pPr>
    </w:p>
    <w:p w:rsidR="006A740D" w:rsidRDefault="006A740D" w:rsidP="001B65FA">
      <w:pPr>
        <w:spacing w:line="276" w:lineRule="auto"/>
        <w:jc w:val="both"/>
        <w:rPr>
          <w:rFonts w:asciiTheme="minorHAnsi" w:eastAsia="SimSun" w:hAnsiTheme="minorHAnsi"/>
          <w:i/>
          <w:lang w:val="sq-AL"/>
        </w:rPr>
      </w:pPr>
    </w:p>
    <w:p w:rsidR="001B65FA" w:rsidRDefault="001B65FA" w:rsidP="001B65FA">
      <w:pPr>
        <w:spacing w:line="276" w:lineRule="auto"/>
        <w:jc w:val="both"/>
        <w:rPr>
          <w:rFonts w:asciiTheme="minorHAnsi" w:eastAsia="SimSun" w:hAnsiTheme="minorHAnsi"/>
          <w:lang w:val="sq-AL"/>
        </w:rPr>
      </w:pPr>
      <w:r w:rsidRPr="00461EFE">
        <w:rPr>
          <w:rFonts w:asciiTheme="minorHAnsi" w:eastAsia="SimSun" w:hAnsiTheme="minorHAnsi"/>
          <w:i/>
          <w:lang w:val="sq-AL"/>
        </w:rPr>
        <w:lastRenderedPageBreak/>
        <w:t>Shpenzimet e Personelit</w:t>
      </w:r>
      <w:r w:rsidRPr="00461EFE">
        <w:rPr>
          <w:rFonts w:asciiTheme="minorHAnsi" w:eastAsia="SimSun" w:hAnsiTheme="minorHAnsi"/>
          <w:lang w:val="sq-AL"/>
        </w:rPr>
        <w:t xml:space="preserve"> </w:t>
      </w:r>
      <w:r w:rsidRPr="003F7DB9">
        <w:rPr>
          <w:rFonts w:asciiTheme="minorHAnsi" w:eastAsia="SimSun" w:hAnsiTheme="minorHAnsi"/>
          <w:lang w:val="sq-AL"/>
        </w:rPr>
        <w:t>gjatë muajit Maj 202</w:t>
      </w:r>
      <w:r>
        <w:rPr>
          <w:rFonts w:asciiTheme="minorHAnsi" w:eastAsia="SimSun" w:hAnsiTheme="minorHAnsi"/>
          <w:lang w:val="sq-AL"/>
        </w:rPr>
        <w:t>1</w:t>
      </w:r>
      <w:r w:rsidRPr="00461EFE">
        <w:rPr>
          <w:rFonts w:asciiTheme="minorHAnsi" w:eastAsia="SimSun" w:hAnsiTheme="minorHAnsi"/>
          <w:lang w:val="sq-AL"/>
        </w:rPr>
        <w:t>, përfaqësuan 19.5 përqind të totalit të shpenzimeve korente. Niveli i shpenzimeve faktike të personelit prej rreth 34.2 miliard LEK, realizon nivelin e parashikuar për këtë zë në planin e periudhës 5 mujore, në masën 97.2 përqind. Krahasuar me të njëjtën periudhë të vitit 2020, ky zë është 9 përqind më i lartë ose rreth 2.8 miliard LEK më shumë.</w:t>
      </w:r>
    </w:p>
    <w:p w:rsidR="006A740D" w:rsidRDefault="006A740D" w:rsidP="001B65FA">
      <w:pPr>
        <w:pStyle w:val="Caption"/>
        <w:keepNext/>
        <w:spacing w:after="0"/>
        <w:jc w:val="both"/>
        <w:rPr>
          <w:rFonts w:asciiTheme="minorHAnsi" w:hAnsiTheme="minorHAnsi"/>
          <w:b w:val="0"/>
          <w:bCs w:val="0"/>
          <w:i/>
          <w:color w:val="auto"/>
          <w:sz w:val="24"/>
          <w:szCs w:val="24"/>
          <w:lang w:val="sq-AL"/>
        </w:rPr>
      </w:pPr>
    </w:p>
    <w:p w:rsidR="001B65FA" w:rsidRPr="006A740D" w:rsidRDefault="001B65FA" w:rsidP="001B65FA">
      <w:pPr>
        <w:pStyle w:val="Caption"/>
        <w:keepNext/>
        <w:spacing w:after="0"/>
        <w:jc w:val="both"/>
        <w:rPr>
          <w:rFonts w:asciiTheme="minorHAnsi" w:hAnsiTheme="minorHAnsi"/>
          <w:b w:val="0"/>
          <w:bCs w:val="0"/>
          <w:i/>
          <w:color w:val="auto"/>
          <w:sz w:val="22"/>
          <w:szCs w:val="24"/>
          <w:lang w:val="sq-AL"/>
        </w:rPr>
      </w:pPr>
      <w:r w:rsidRPr="006A740D">
        <w:rPr>
          <w:rFonts w:asciiTheme="minorHAnsi" w:hAnsiTheme="minorHAnsi"/>
          <w:b w:val="0"/>
          <w:bCs w:val="0"/>
          <w:i/>
          <w:color w:val="auto"/>
          <w:sz w:val="22"/>
          <w:szCs w:val="24"/>
          <w:lang w:val="sq-AL"/>
        </w:rPr>
        <w:t xml:space="preserve">Grafiku x: Shpenzimet e Personelit dhe ritmi i rritjes së tyre (në miliardë LEK) </w:t>
      </w:r>
    </w:p>
    <w:p w:rsidR="001B65FA" w:rsidRPr="0065598A" w:rsidRDefault="001B65FA" w:rsidP="001B65FA">
      <w:pPr>
        <w:ind w:left="90"/>
        <w:jc w:val="center"/>
        <w:rPr>
          <w:rFonts w:asciiTheme="minorHAnsi" w:eastAsia="SimSun" w:hAnsiTheme="minorHAnsi"/>
          <w:i/>
          <w:lang w:val="sq-AL"/>
        </w:rPr>
      </w:pPr>
      <w:r>
        <w:rPr>
          <w:rFonts w:asciiTheme="minorHAnsi" w:eastAsia="SimSun" w:hAnsiTheme="minorHAnsi"/>
          <w:i/>
          <w:noProof/>
        </w:rPr>
        <w:drawing>
          <wp:inline distT="0" distB="0" distL="0" distR="0" wp14:anchorId="0C33235B" wp14:editId="20E00D29">
            <wp:extent cx="5486400" cy="25730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90611" cy="2574995"/>
                    </a:xfrm>
                    <a:prstGeom prst="rect">
                      <a:avLst/>
                    </a:prstGeom>
                    <a:noFill/>
                  </pic:spPr>
                </pic:pic>
              </a:graphicData>
            </a:graphic>
          </wp:inline>
        </w:drawing>
      </w:r>
    </w:p>
    <w:p w:rsidR="001B65FA" w:rsidRPr="0065598A" w:rsidRDefault="001B65FA" w:rsidP="001B65FA">
      <w:pPr>
        <w:ind w:firstLine="720"/>
        <w:rPr>
          <w:rFonts w:asciiTheme="minorHAnsi" w:eastAsia="SimSun" w:hAnsiTheme="minorHAnsi"/>
          <w:i/>
          <w:sz w:val="20"/>
          <w:lang w:val="sq-AL"/>
        </w:rPr>
      </w:pPr>
      <w:r>
        <w:rPr>
          <w:rFonts w:asciiTheme="minorHAnsi" w:eastAsia="SimSun" w:hAnsiTheme="minorHAnsi"/>
          <w:i/>
          <w:sz w:val="20"/>
          <w:lang w:val="sq-AL"/>
        </w:rPr>
        <w:t>Burimi: Ministria e Financave dhe Ekonomisë (2021)</w:t>
      </w:r>
    </w:p>
    <w:p w:rsidR="001B65FA" w:rsidRDefault="001B65FA" w:rsidP="001B65FA">
      <w:pPr>
        <w:spacing w:line="276" w:lineRule="auto"/>
        <w:jc w:val="both"/>
        <w:rPr>
          <w:rFonts w:asciiTheme="minorHAnsi" w:eastAsia="SimSun" w:hAnsiTheme="minorHAnsi"/>
          <w:lang w:val="sq-AL"/>
        </w:rPr>
      </w:pPr>
    </w:p>
    <w:p w:rsidR="001B65FA" w:rsidRDefault="001B65FA" w:rsidP="001B65FA">
      <w:pPr>
        <w:spacing w:line="276" w:lineRule="auto"/>
        <w:jc w:val="both"/>
        <w:rPr>
          <w:rFonts w:asciiTheme="minorHAnsi" w:eastAsia="SimSun" w:hAnsiTheme="minorHAnsi"/>
          <w:lang w:val="sq-AL"/>
        </w:rPr>
      </w:pPr>
      <w:r w:rsidRPr="003508C3">
        <w:rPr>
          <w:rFonts w:asciiTheme="minorHAnsi" w:eastAsia="SimSun" w:hAnsiTheme="minorHAnsi"/>
          <w:i/>
          <w:lang w:val="sq-AL"/>
        </w:rPr>
        <w:t>Shpenzimet për Paga</w:t>
      </w:r>
      <w:r w:rsidRPr="003508C3">
        <w:rPr>
          <w:rFonts w:asciiTheme="minorHAnsi" w:eastAsia="SimSun" w:hAnsiTheme="minorHAnsi"/>
          <w:lang w:val="sq-AL"/>
        </w:rPr>
        <w:t xml:space="preserve"> </w:t>
      </w:r>
      <w:r>
        <w:rPr>
          <w:rFonts w:asciiTheme="minorHAnsi" w:eastAsia="SimSun" w:hAnsiTheme="minorHAnsi"/>
          <w:lang w:val="sq-AL"/>
        </w:rPr>
        <w:t>në fund të muajit të pestë</w:t>
      </w:r>
      <w:r w:rsidRPr="003508C3">
        <w:rPr>
          <w:rFonts w:asciiTheme="minorHAnsi" w:eastAsia="SimSun" w:hAnsiTheme="minorHAnsi"/>
          <w:lang w:val="sq-AL"/>
        </w:rPr>
        <w:t xml:space="preserve"> të vitit 2021 u realizuan në masën rreth 29.3 miliard LEK, duke qenë 9 përqind më të larta se e njëjta periudhë e vitit 2020, ose rreth 2.4 miliard LEK më shumë. Për rrjedhojë, edhe shpenzimet për sigurime shoqërore rezultuan në masën 8.8 përqind më të larta se një vit më parë ose 386 milion LEK më shumë. Realizimi faktik i këtyre zërave së bashku, është në nivelin 97.2 përqind krahasuar me planin e periudhës, ose 37.2 përqind e planit vjetor fillestar dhe të ndryshuar me AN nr.18.       </w:t>
      </w:r>
    </w:p>
    <w:p w:rsidR="001B65FA" w:rsidRPr="007F224E" w:rsidRDefault="001B65FA" w:rsidP="001B65FA">
      <w:pPr>
        <w:spacing w:line="276" w:lineRule="auto"/>
        <w:jc w:val="both"/>
        <w:rPr>
          <w:rFonts w:asciiTheme="minorHAnsi" w:eastAsia="SimSun" w:hAnsiTheme="minorHAnsi"/>
          <w:i/>
          <w:sz w:val="8"/>
          <w:szCs w:val="8"/>
          <w:lang w:val="sq-AL"/>
        </w:rPr>
      </w:pPr>
    </w:p>
    <w:p w:rsidR="006A740D" w:rsidRDefault="006A740D" w:rsidP="001B65FA">
      <w:pPr>
        <w:pStyle w:val="Caption"/>
        <w:keepNext/>
        <w:spacing w:after="0"/>
        <w:jc w:val="both"/>
        <w:rPr>
          <w:rFonts w:asciiTheme="minorHAnsi" w:hAnsiTheme="minorHAnsi"/>
          <w:b w:val="0"/>
          <w:bCs w:val="0"/>
          <w:i/>
          <w:color w:val="auto"/>
          <w:sz w:val="24"/>
          <w:szCs w:val="24"/>
          <w:lang w:val="sq-AL"/>
        </w:rPr>
      </w:pPr>
    </w:p>
    <w:p w:rsidR="001B65FA" w:rsidRPr="006A740D" w:rsidRDefault="001B65FA" w:rsidP="001B65FA">
      <w:pPr>
        <w:pStyle w:val="Caption"/>
        <w:keepNext/>
        <w:spacing w:after="0"/>
        <w:jc w:val="both"/>
        <w:rPr>
          <w:rFonts w:asciiTheme="minorHAnsi" w:hAnsiTheme="minorHAnsi"/>
          <w:b w:val="0"/>
          <w:bCs w:val="0"/>
          <w:i/>
          <w:color w:val="auto"/>
          <w:sz w:val="22"/>
          <w:szCs w:val="24"/>
          <w:lang w:val="sq-AL"/>
        </w:rPr>
      </w:pPr>
      <w:r w:rsidRPr="006A740D">
        <w:rPr>
          <w:rFonts w:asciiTheme="minorHAnsi" w:hAnsiTheme="minorHAnsi"/>
          <w:b w:val="0"/>
          <w:bCs w:val="0"/>
          <w:i/>
          <w:color w:val="auto"/>
          <w:sz w:val="22"/>
          <w:szCs w:val="24"/>
          <w:lang w:val="sq-AL"/>
        </w:rPr>
        <w:t>Grafiku x: Shpenzimet e Pagave dhe ritmi i rritjes së tyre (në miliardë LEK)</w:t>
      </w:r>
    </w:p>
    <w:p w:rsidR="001B65FA" w:rsidRPr="0065598A" w:rsidRDefault="001B65FA" w:rsidP="001B65FA">
      <w:pPr>
        <w:tabs>
          <w:tab w:val="left" w:pos="720"/>
        </w:tabs>
        <w:ind w:left="720" w:hanging="450"/>
        <w:jc w:val="center"/>
        <w:rPr>
          <w:rFonts w:asciiTheme="minorHAnsi" w:eastAsia="SimSun" w:hAnsiTheme="minorHAnsi"/>
          <w:i/>
          <w:lang w:val="sq-AL"/>
        </w:rPr>
      </w:pPr>
      <w:r>
        <w:rPr>
          <w:rFonts w:asciiTheme="minorHAnsi" w:eastAsia="SimSun" w:hAnsiTheme="minorHAnsi"/>
          <w:i/>
          <w:noProof/>
        </w:rPr>
        <w:drawing>
          <wp:inline distT="0" distB="0" distL="0" distR="0" wp14:anchorId="4E65B316" wp14:editId="2E9440FD">
            <wp:extent cx="5178292" cy="2491740"/>
            <wp:effectExtent l="0" t="0" r="381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93587" cy="2499100"/>
                    </a:xfrm>
                    <a:prstGeom prst="rect">
                      <a:avLst/>
                    </a:prstGeom>
                    <a:noFill/>
                  </pic:spPr>
                </pic:pic>
              </a:graphicData>
            </a:graphic>
          </wp:inline>
        </w:drawing>
      </w:r>
    </w:p>
    <w:p w:rsidR="001B65FA" w:rsidRPr="0072117E" w:rsidRDefault="001B65FA" w:rsidP="001B65FA">
      <w:pPr>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sidRPr="0065598A">
        <w:rPr>
          <w:rFonts w:asciiTheme="minorHAnsi" w:eastAsia="SimSun" w:hAnsiTheme="minorHAnsi"/>
          <w:i/>
          <w:sz w:val="20"/>
          <w:lang w:val="sq-AL"/>
        </w:rPr>
        <w:tab/>
      </w:r>
      <w:r>
        <w:rPr>
          <w:rFonts w:asciiTheme="minorHAnsi" w:eastAsia="SimSun" w:hAnsiTheme="minorHAnsi"/>
          <w:i/>
          <w:sz w:val="20"/>
          <w:lang w:val="sq-AL"/>
        </w:rPr>
        <w:t>Burimi: Ministria e Financave dhe Ekonomisë (2021)</w:t>
      </w:r>
    </w:p>
    <w:p w:rsidR="001B65FA" w:rsidRDefault="001B65FA" w:rsidP="001B65FA">
      <w:pPr>
        <w:spacing w:line="276" w:lineRule="auto"/>
        <w:jc w:val="both"/>
        <w:rPr>
          <w:rFonts w:asciiTheme="minorHAnsi" w:eastAsia="SimSun" w:hAnsiTheme="minorHAnsi"/>
          <w:lang w:val="sq-AL"/>
        </w:rPr>
      </w:pPr>
    </w:p>
    <w:p w:rsidR="001B65FA" w:rsidRDefault="001B65FA" w:rsidP="001B65FA">
      <w:pPr>
        <w:spacing w:line="276" w:lineRule="auto"/>
        <w:jc w:val="both"/>
        <w:rPr>
          <w:rFonts w:asciiTheme="minorHAnsi" w:eastAsia="SimSun" w:hAnsiTheme="minorHAnsi"/>
          <w:lang w:val="sq-AL"/>
        </w:rPr>
      </w:pPr>
      <w:r w:rsidRPr="0072117E">
        <w:rPr>
          <w:rFonts w:asciiTheme="minorHAnsi" w:eastAsia="SimSun" w:hAnsiTheme="minorHAnsi"/>
          <w:i/>
          <w:lang w:val="sq-AL"/>
        </w:rPr>
        <w:t>Shpenzimet për Interesa</w:t>
      </w:r>
      <w:r w:rsidRPr="0072117E">
        <w:rPr>
          <w:rFonts w:asciiTheme="minorHAnsi" w:eastAsia="SimSun" w:hAnsiTheme="minorHAnsi"/>
          <w:lang w:val="sq-AL"/>
        </w:rPr>
        <w:t xml:space="preserve"> për periudhën 5 mujore të vitit 2021 kanë përfaqësuar 8 përqind të shpenzimeve korente. Niveli faktik i tyre prej rreth 13.9 miliard LEK ka rezultuar në masën 98.7 </w:t>
      </w:r>
      <w:r w:rsidRPr="0072117E">
        <w:rPr>
          <w:rFonts w:asciiTheme="minorHAnsi" w:eastAsia="SimSun" w:hAnsiTheme="minorHAnsi"/>
          <w:lang w:val="sq-AL"/>
        </w:rPr>
        <w:lastRenderedPageBreak/>
        <w:t>përqind të planit të periudhës. Në raport me planin vjetor fillestar dhe të ndryshuar, në nivel 5 mujori këto shpenzime janë realizuar në masën 31.8 përqind të tij, ndërsa krahasuar me të njëjtën periudhë të vitit 2020, ky zë ka rezultuar 6.8 përqind më i lartë ose 89</w:t>
      </w:r>
      <w:r>
        <w:rPr>
          <w:rFonts w:asciiTheme="minorHAnsi" w:eastAsia="SimSun" w:hAnsiTheme="minorHAnsi"/>
          <w:lang w:val="sq-AL"/>
        </w:rPr>
        <w:t>2</w:t>
      </w:r>
      <w:r w:rsidRPr="0072117E">
        <w:rPr>
          <w:rFonts w:asciiTheme="minorHAnsi" w:eastAsia="SimSun" w:hAnsiTheme="minorHAnsi"/>
          <w:lang w:val="sq-AL"/>
        </w:rPr>
        <w:t xml:space="preserve"> milion LEK më shumë.</w:t>
      </w:r>
    </w:p>
    <w:p w:rsidR="001B65FA" w:rsidRPr="006A740D" w:rsidRDefault="001B65FA" w:rsidP="001B65FA">
      <w:pPr>
        <w:spacing w:line="276" w:lineRule="auto"/>
        <w:jc w:val="both"/>
        <w:rPr>
          <w:rFonts w:asciiTheme="minorHAnsi" w:eastAsia="SimSun" w:hAnsiTheme="minorHAnsi"/>
          <w:sz w:val="8"/>
          <w:lang w:val="sq-AL"/>
        </w:rPr>
      </w:pPr>
    </w:p>
    <w:p w:rsidR="001B65FA" w:rsidRPr="006A740D" w:rsidRDefault="001B65FA" w:rsidP="001B65FA">
      <w:pPr>
        <w:pStyle w:val="Caption"/>
        <w:keepNext/>
        <w:spacing w:after="0"/>
        <w:jc w:val="both"/>
        <w:rPr>
          <w:rFonts w:asciiTheme="minorHAnsi" w:hAnsiTheme="minorHAnsi"/>
          <w:b w:val="0"/>
          <w:bCs w:val="0"/>
          <w:i/>
          <w:color w:val="auto"/>
          <w:sz w:val="22"/>
          <w:szCs w:val="24"/>
          <w:lang w:val="sq-AL"/>
        </w:rPr>
      </w:pPr>
      <w:r w:rsidRPr="006A740D">
        <w:rPr>
          <w:rFonts w:asciiTheme="minorHAnsi" w:hAnsiTheme="minorHAnsi"/>
          <w:b w:val="0"/>
          <w:bCs w:val="0"/>
          <w:i/>
          <w:color w:val="auto"/>
          <w:sz w:val="22"/>
          <w:szCs w:val="24"/>
          <w:lang w:val="sq-AL"/>
        </w:rPr>
        <w:t xml:space="preserve">Grafiku x: Shpenzimet për Interesa (në miliardë LEK) </w:t>
      </w:r>
    </w:p>
    <w:p w:rsidR="001B65FA" w:rsidRPr="0065598A" w:rsidRDefault="001B65FA" w:rsidP="001B65FA">
      <w:pPr>
        <w:ind w:right="270"/>
        <w:jc w:val="center"/>
        <w:rPr>
          <w:rFonts w:asciiTheme="minorHAnsi" w:eastAsia="SimSun" w:hAnsiTheme="minorHAnsi"/>
          <w:i/>
          <w:lang w:val="sq-AL"/>
        </w:rPr>
      </w:pPr>
      <w:r>
        <w:rPr>
          <w:rFonts w:asciiTheme="minorHAnsi" w:eastAsia="SimSun" w:hAnsiTheme="minorHAnsi"/>
          <w:i/>
          <w:noProof/>
        </w:rPr>
        <w:drawing>
          <wp:inline distT="0" distB="0" distL="0" distR="0" wp14:anchorId="088DF644" wp14:editId="492D45B3">
            <wp:extent cx="5729388" cy="2141220"/>
            <wp:effectExtent l="38100" t="19050" r="24130" b="495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2778" cy="2146224"/>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65598A" w:rsidRDefault="001B65FA" w:rsidP="001B65FA">
      <w:pPr>
        <w:rPr>
          <w:rFonts w:asciiTheme="minorHAnsi" w:eastAsia="SimSun" w:hAnsiTheme="minorHAnsi"/>
          <w:i/>
          <w:sz w:val="20"/>
          <w:lang w:val="sq-AL"/>
        </w:rPr>
      </w:pPr>
      <w:r w:rsidRPr="0065598A">
        <w:rPr>
          <w:rFonts w:asciiTheme="minorHAnsi" w:eastAsia="SimSun" w:hAnsiTheme="minorHAnsi"/>
          <w:i/>
          <w:sz w:val="20"/>
          <w:lang w:val="sq-AL"/>
        </w:rPr>
        <w:t xml:space="preserve">                    </w:t>
      </w:r>
      <w:r>
        <w:rPr>
          <w:rFonts w:asciiTheme="minorHAnsi" w:eastAsia="SimSun" w:hAnsiTheme="minorHAnsi"/>
          <w:i/>
          <w:sz w:val="20"/>
          <w:lang w:val="sq-AL"/>
        </w:rPr>
        <w:t>Burimi: Ministria e Financave dhe Ekonomisë (2021)</w:t>
      </w:r>
    </w:p>
    <w:p w:rsidR="001B65FA" w:rsidRDefault="001B65FA" w:rsidP="001B65FA">
      <w:pPr>
        <w:spacing w:line="276" w:lineRule="auto"/>
        <w:jc w:val="both"/>
        <w:rPr>
          <w:rFonts w:asciiTheme="minorHAnsi" w:eastAsia="SimSun" w:hAnsiTheme="minorHAnsi"/>
          <w:lang w:val="sq-AL"/>
        </w:rPr>
      </w:pPr>
    </w:p>
    <w:p w:rsidR="001B65FA" w:rsidRDefault="001B65FA" w:rsidP="001B65FA">
      <w:pPr>
        <w:spacing w:line="276" w:lineRule="auto"/>
        <w:jc w:val="both"/>
        <w:rPr>
          <w:rFonts w:asciiTheme="minorHAnsi" w:eastAsia="SimSun" w:hAnsiTheme="minorHAnsi"/>
          <w:lang w:val="sq-AL"/>
        </w:rPr>
      </w:pPr>
      <w:r w:rsidRPr="002407F3">
        <w:rPr>
          <w:rFonts w:asciiTheme="minorHAnsi" w:eastAsia="SimSun" w:hAnsiTheme="minorHAnsi"/>
          <w:i/>
          <w:lang w:val="sq-AL"/>
        </w:rPr>
        <w:t>Shpenzimet Operative &amp; Mirëmbajtje</w:t>
      </w:r>
      <w:r w:rsidRPr="002407F3">
        <w:rPr>
          <w:rFonts w:asciiTheme="minorHAnsi" w:eastAsia="SimSun" w:hAnsiTheme="minorHAnsi"/>
          <w:lang w:val="sq-AL"/>
        </w:rPr>
        <w:t xml:space="preserve">, gjatë periudhës 5 mujore të vitit 2021, kanë shënuar një realizim në masën rreth 20.2 miliard LEK ose 106.4 përqind të planit të periudhës. Niveli faktik i tyre ka rezultuar në masën 40.5 përqind të planit vjetor fillestar dhe të ndryshuar me AN nr.18. Krahasuar me të njëjtën periudhë të vitit 2020, ky zë ka rezultuar </w:t>
      </w:r>
      <w:r>
        <w:rPr>
          <w:rFonts w:asciiTheme="minorHAnsi" w:eastAsia="SimSun" w:hAnsiTheme="minorHAnsi"/>
          <w:lang w:val="sq-AL"/>
        </w:rPr>
        <w:t>21.2</w:t>
      </w:r>
      <w:r w:rsidRPr="0072117E">
        <w:rPr>
          <w:rFonts w:asciiTheme="minorHAnsi" w:eastAsia="SimSun" w:hAnsiTheme="minorHAnsi"/>
          <w:lang w:val="sq-AL"/>
        </w:rPr>
        <w:t xml:space="preserve"> përqind më i lartë </w:t>
      </w:r>
      <w:r>
        <w:rPr>
          <w:rFonts w:asciiTheme="minorHAnsi" w:eastAsia="SimSun" w:hAnsiTheme="minorHAnsi"/>
          <w:lang w:val="sq-AL"/>
        </w:rPr>
        <w:t xml:space="preserve">ose </w:t>
      </w:r>
      <w:r w:rsidRPr="002407F3">
        <w:rPr>
          <w:rFonts w:asciiTheme="minorHAnsi" w:eastAsia="SimSun" w:hAnsiTheme="minorHAnsi"/>
          <w:lang w:val="sq-AL"/>
        </w:rPr>
        <w:t xml:space="preserve">rreth 3.5 miliard LEK më shumë.      </w:t>
      </w:r>
    </w:p>
    <w:p w:rsidR="006A740D" w:rsidRPr="006A740D" w:rsidRDefault="006A740D" w:rsidP="006A740D">
      <w:pPr>
        <w:pStyle w:val="Caption"/>
        <w:keepNext/>
        <w:spacing w:after="0"/>
        <w:jc w:val="both"/>
        <w:rPr>
          <w:rFonts w:asciiTheme="minorHAnsi" w:hAnsiTheme="minorHAnsi"/>
          <w:b w:val="0"/>
          <w:bCs w:val="0"/>
          <w:i/>
          <w:color w:val="auto"/>
          <w:sz w:val="8"/>
          <w:szCs w:val="8"/>
          <w:lang w:val="sq-AL"/>
        </w:rPr>
      </w:pPr>
    </w:p>
    <w:p w:rsidR="001B65FA" w:rsidRPr="006A740D" w:rsidRDefault="001B65FA" w:rsidP="006A740D">
      <w:pPr>
        <w:pStyle w:val="Caption"/>
        <w:keepNext/>
        <w:spacing w:after="0"/>
        <w:jc w:val="both"/>
        <w:rPr>
          <w:rFonts w:asciiTheme="minorHAnsi" w:hAnsiTheme="minorHAnsi"/>
          <w:b w:val="0"/>
          <w:bCs w:val="0"/>
          <w:i/>
          <w:color w:val="auto"/>
          <w:sz w:val="22"/>
          <w:szCs w:val="24"/>
          <w:lang w:val="sq-AL"/>
        </w:rPr>
      </w:pPr>
      <w:r w:rsidRPr="006A740D">
        <w:rPr>
          <w:rFonts w:asciiTheme="minorHAnsi" w:hAnsiTheme="minorHAnsi"/>
          <w:b w:val="0"/>
          <w:bCs w:val="0"/>
          <w:i/>
          <w:color w:val="auto"/>
          <w:sz w:val="22"/>
          <w:szCs w:val="24"/>
          <w:lang w:val="sq-AL"/>
        </w:rPr>
        <w:t>Grafiku x: Shpenzimet Operative dhe ritmi i rritjes së tyre (në miliardë LEK)</w:t>
      </w:r>
    </w:p>
    <w:p w:rsidR="001B65FA" w:rsidRPr="00404EF5" w:rsidRDefault="001B65FA" w:rsidP="001B65FA">
      <w:pPr>
        <w:ind w:left="630" w:firstLine="90"/>
        <w:rPr>
          <w:lang w:val="sq-AL"/>
        </w:rPr>
      </w:pPr>
      <w:r>
        <w:rPr>
          <w:noProof/>
        </w:rPr>
        <w:drawing>
          <wp:inline distT="0" distB="0" distL="0" distR="0" wp14:anchorId="68D7CA4D" wp14:editId="3978E9DA">
            <wp:extent cx="5237683" cy="2303780"/>
            <wp:effectExtent l="38100" t="19050" r="39370" b="584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48608" cy="2308586"/>
                    </a:xfrm>
                    <a:prstGeom prst="rect">
                      <a:avLst/>
                    </a:prstGeom>
                    <a:noFill/>
                    <a:effectLst>
                      <a:outerShdw blurRad="50800" dist="38100" dir="2700000" algn="tl" rotWithShape="0">
                        <a:prstClr val="black">
                          <a:alpha val="40000"/>
                        </a:prstClr>
                      </a:outerShdw>
                    </a:effectLst>
                  </pic:spPr>
                </pic:pic>
              </a:graphicData>
            </a:graphic>
          </wp:inline>
        </w:drawing>
      </w:r>
    </w:p>
    <w:p w:rsidR="001B65F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Pr>
          <w:rFonts w:asciiTheme="minorHAnsi" w:eastAsia="SimSun" w:hAnsiTheme="minorHAnsi"/>
          <w:i/>
          <w:sz w:val="20"/>
          <w:lang w:val="sq-AL"/>
        </w:rPr>
        <w:t>Burimi: Ministria e Financave dhe Ekonomisë (2021)</w:t>
      </w:r>
    </w:p>
    <w:p w:rsidR="001B65FA" w:rsidRPr="007B375E" w:rsidRDefault="001B65FA" w:rsidP="001B65FA">
      <w:pPr>
        <w:spacing w:line="276" w:lineRule="auto"/>
        <w:rPr>
          <w:rFonts w:asciiTheme="minorHAnsi" w:eastAsia="SimSun" w:hAnsiTheme="minorHAnsi"/>
          <w:i/>
          <w:sz w:val="20"/>
          <w:lang w:val="sq-AL"/>
        </w:rPr>
      </w:pPr>
    </w:p>
    <w:p w:rsidR="001B65FA" w:rsidRDefault="001B65FA" w:rsidP="001B65FA">
      <w:pPr>
        <w:spacing w:line="276" w:lineRule="auto"/>
        <w:jc w:val="both"/>
        <w:rPr>
          <w:rFonts w:asciiTheme="minorHAnsi" w:eastAsia="SimSun" w:hAnsiTheme="minorHAnsi"/>
          <w:lang w:val="sq-AL"/>
        </w:rPr>
      </w:pPr>
      <w:r w:rsidRPr="00430674">
        <w:rPr>
          <w:rFonts w:asciiTheme="minorHAnsi" w:eastAsia="SimSun" w:hAnsiTheme="minorHAnsi"/>
          <w:i/>
          <w:lang w:val="sq-AL"/>
        </w:rPr>
        <w:t>Shpenzimet për Subvencione,</w:t>
      </w:r>
      <w:r w:rsidRPr="00430674">
        <w:rPr>
          <w:rFonts w:asciiTheme="minorHAnsi" w:eastAsia="SimSun" w:hAnsiTheme="minorHAnsi"/>
          <w:lang w:val="sq-AL"/>
        </w:rPr>
        <w:t xml:space="preserve"> </w:t>
      </w:r>
      <w:r w:rsidRPr="003F7DB9">
        <w:rPr>
          <w:rFonts w:asciiTheme="minorHAnsi" w:eastAsia="SimSun" w:hAnsiTheme="minorHAnsi"/>
          <w:lang w:val="sq-AL"/>
        </w:rPr>
        <w:t>në fund të muajit të pestë</w:t>
      </w:r>
      <w:r w:rsidRPr="00430674">
        <w:rPr>
          <w:rFonts w:asciiTheme="minorHAnsi" w:eastAsia="SimSun" w:hAnsiTheme="minorHAnsi"/>
          <w:lang w:val="sq-AL"/>
        </w:rPr>
        <w:t xml:space="preserve"> të vitit 2021, arritën nivelin 415 milion LEK, me një realizim në masën 94.5 përqind ose 24 milion LEK më pak se plani i periudhës. Në raport me planin vjetor fillestar dhe të ndryshuar, ky zë është realizuar në masën 26.8 përqind, ndërkohë që kundrejt të njëjtës periudhë të vitit 2020 shpenzimet për subvencione rezultojnë 22.9 përqind më të larta ose 77 milion LEK më shumë.</w:t>
      </w:r>
      <w:r>
        <w:rPr>
          <w:rFonts w:asciiTheme="minorHAnsi" w:eastAsia="SimSun" w:hAnsiTheme="minorHAnsi"/>
          <w:lang w:val="sq-AL"/>
        </w:rPr>
        <w:t xml:space="preserve"> </w:t>
      </w:r>
    </w:p>
    <w:p w:rsidR="001B65FA" w:rsidRDefault="001B65FA" w:rsidP="001B65FA">
      <w:pPr>
        <w:spacing w:line="276" w:lineRule="auto"/>
        <w:jc w:val="both"/>
        <w:rPr>
          <w:rFonts w:asciiTheme="minorHAnsi" w:eastAsia="SimSun" w:hAnsiTheme="minorHAnsi"/>
          <w:lang w:val="sq-AL"/>
        </w:rPr>
      </w:pPr>
    </w:p>
    <w:p w:rsidR="001B65FA" w:rsidRPr="006A740D" w:rsidRDefault="001B65FA" w:rsidP="001B65FA">
      <w:pPr>
        <w:pStyle w:val="Caption"/>
        <w:keepNext/>
        <w:spacing w:before="240" w:after="0"/>
        <w:jc w:val="both"/>
        <w:rPr>
          <w:rFonts w:asciiTheme="minorHAnsi" w:hAnsiTheme="minorHAnsi"/>
          <w:b w:val="0"/>
          <w:bCs w:val="0"/>
          <w:i/>
          <w:color w:val="auto"/>
          <w:sz w:val="22"/>
          <w:szCs w:val="24"/>
          <w:lang w:val="sq-AL"/>
        </w:rPr>
      </w:pPr>
      <w:r w:rsidRPr="006A740D">
        <w:rPr>
          <w:rFonts w:asciiTheme="minorHAnsi" w:hAnsiTheme="minorHAnsi"/>
          <w:b w:val="0"/>
          <w:bCs w:val="0"/>
          <w:i/>
          <w:color w:val="auto"/>
          <w:sz w:val="22"/>
          <w:szCs w:val="24"/>
          <w:lang w:val="sq-AL"/>
        </w:rPr>
        <w:lastRenderedPageBreak/>
        <w:t>Grafiku x: Shpenzimet për Subvencione dhe ritmi i rritjes së tyre (në miliardë LEK)</w:t>
      </w:r>
    </w:p>
    <w:p w:rsidR="001B65FA" w:rsidRPr="0065598A" w:rsidRDefault="001B65FA" w:rsidP="001B65FA">
      <w:pPr>
        <w:spacing w:line="276" w:lineRule="auto"/>
        <w:jc w:val="center"/>
        <w:rPr>
          <w:rFonts w:asciiTheme="minorHAnsi" w:eastAsia="SimSun" w:hAnsiTheme="minorHAnsi"/>
          <w:i/>
          <w:lang w:val="sq-AL"/>
        </w:rPr>
      </w:pPr>
      <w:r>
        <w:rPr>
          <w:rFonts w:asciiTheme="minorHAnsi" w:eastAsia="SimSun" w:hAnsiTheme="minorHAnsi"/>
          <w:i/>
          <w:noProof/>
        </w:rPr>
        <w:drawing>
          <wp:inline distT="0" distB="0" distL="0" distR="0" wp14:anchorId="6EB03007" wp14:editId="782F6298">
            <wp:extent cx="5267325" cy="2475230"/>
            <wp:effectExtent l="38100" t="38100" r="104775" b="965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67325" cy="2475230"/>
                    </a:xfrm>
                    <a:prstGeom prst="rect">
                      <a:avLst/>
                    </a:prstGeom>
                    <a:noFill/>
                    <a:effectLst>
                      <a:outerShdw blurRad="50800" dist="38100" dir="2700000" algn="tl" rotWithShape="0">
                        <a:prstClr val="black">
                          <a:alpha val="40000"/>
                        </a:prstClr>
                      </a:outerShdw>
                    </a:effectLst>
                  </pic:spPr>
                </pic:pic>
              </a:graphicData>
            </a:graphic>
          </wp:inline>
        </w:drawing>
      </w:r>
    </w:p>
    <w:p w:rsidR="001B65F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t xml:space="preserve"> </w:t>
      </w:r>
      <w:r>
        <w:rPr>
          <w:rFonts w:asciiTheme="minorHAnsi" w:eastAsia="SimSun" w:hAnsiTheme="minorHAnsi"/>
          <w:i/>
          <w:sz w:val="20"/>
          <w:lang w:val="sq-AL"/>
        </w:rPr>
        <w:t>Burimi: Ministria e Financave dhe Ekonomisë (2021)</w:t>
      </w:r>
    </w:p>
    <w:p w:rsidR="001B65FA" w:rsidRDefault="001B65FA" w:rsidP="001B65FA">
      <w:pPr>
        <w:spacing w:line="276" w:lineRule="auto"/>
        <w:jc w:val="both"/>
        <w:rPr>
          <w:rFonts w:asciiTheme="minorHAnsi" w:hAnsiTheme="minorHAnsi"/>
          <w:lang w:val="sq-AL"/>
        </w:rPr>
      </w:pPr>
    </w:p>
    <w:p w:rsidR="001B65FA" w:rsidRDefault="001B65FA" w:rsidP="001B65FA">
      <w:pPr>
        <w:spacing w:line="276" w:lineRule="auto"/>
        <w:jc w:val="both"/>
        <w:rPr>
          <w:rFonts w:eastAsia="SimSun"/>
          <w:lang w:val="sq-AL"/>
        </w:rPr>
      </w:pPr>
      <w:r w:rsidRPr="005509B6">
        <w:rPr>
          <w:rFonts w:asciiTheme="minorHAnsi" w:eastAsia="SimSun" w:hAnsiTheme="minorHAnsi"/>
          <w:i/>
          <w:lang w:val="sq-AL"/>
        </w:rPr>
        <w:t>Shpenzimet për Fondet Speciale</w:t>
      </w:r>
      <w:r w:rsidRPr="005509B6">
        <w:rPr>
          <w:rFonts w:eastAsia="SimSun"/>
          <w:lang w:val="sq-AL"/>
        </w:rPr>
        <w:t xml:space="preserve"> </w:t>
      </w:r>
      <w:r w:rsidRPr="005509B6">
        <w:rPr>
          <w:rFonts w:asciiTheme="minorHAnsi" w:hAnsiTheme="minorHAnsi"/>
          <w:lang w:val="sq-AL"/>
        </w:rPr>
        <w:t>gjatë periudhës 5 mujore të vitit 2021 rezultuan në nivelin rreth 75 miliard LEK, me një realizim prej 100 përqind kundrejt planit të periudhës dhe 38.4 përqind të planit vjetor fillestar dhe të ndryshuar. Përkatësisht</w:t>
      </w:r>
      <w:r>
        <w:rPr>
          <w:rFonts w:asciiTheme="minorHAnsi" w:hAnsiTheme="minorHAnsi"/>
          <w:lang w:val="sq-AL"/>
        </w:rPr>
        <w:t>:</w:t>
      </w:r>
      <w:r w:rsidRPr="005509B6">
        <w:rPr>
          <w:rFonts w:eastAsia="SimSun"/>
          <w:lang w:val="sq-AL"/>
        </w:rPr>
        <w:t xml:space="preserve"> </w:t>
      </w:r>
    </w:p>
    <w:p w:rsidR="001B65FA" w:rsidRPr="005509B6" w:rsidRDefault="001B65FA" w:rsidP="007F0B61">
      <w:pPr>
        <w:pStyle w:val="ListParagraph"/>
        <w:numPr>
          <w:ilvl w:val="0"/>
          <w:numId w:val="46"/>
        </w:numPr>
        <w:spacing w:line="276" w:lineRule="auto"/>
        <w:jc w:val="both"/>
        <w:rPr>
          <w:i/>
          <w:lang w:val="sq-AL"/>
        </w:rPr>
      </w:pPr>
      <w:r w:rsidRPr="005509B6">
        <w:rPr>
          <w:rFonts w:asciiTheme="minorHAnsi" w:eastAsia="SimSun" w:hAnsiTheme="minorHAnsi"/>
          <w:i/>
          <w:lang w:val="sq-AL"/>
        </w:rPr>
        <w:t xml:space="preserve">shpenzimet për </w:t>
      </w:r>
      <w:r>
        <w:rPr>
          <w:rFonts w:asciiTheme="minorHAnsi" w:eastAsia="SimSun" w:hAnsiTheme="minorHAnsi"/>
          <w:i/>
          <w:lang w:val="sq-AL"/>
        </w:rPr>
        <w:t>s</w:t>
      </w:r>
      <w:r w:rsidRPr="005509B6">
        <w:rPr>
          <w:rFonts w:asciiTheme="minorHAnsi" w:eastAsia="SimSun" w:hAnsiTheme="minorHAnsi"/>
          <w:i/>
          <w:lang w:val="sq-AL"/>
        </w:rPr>
        <w:t xml:space="preserve">igurime </w:t>
      </w:r>
      <w:r>
        <w:rPr>
          <w:rFonts w:asciiTheme="minorHAnsi" w:eastAsia="SimSun" w:hAnsiTheme="minorHAnsi"/>
          <w:i/>
          <w:lang w:val="sq-AL"/>
        </w:rPr>
        <w:t>s</w:t>
      </w:r>
      <w:r w:rsidRPr="005509B6">
        <w:rPr>
          <w:rFonts w:asciiTheme="minorHAnsi" w:eastAsia="SimSun" w:hAnsiTheme="minorHAnsi"/>
          <w:i/>
          <w:lang w:val="sq-AL"/>
        </w:rPr>
        <w:t>hoqërore</w:t>
      </w:r>
      <w:r w:rsidRPr="005509B6">
        <w:rPr>
          <w:rFonts w:eastAsia="SimSun"/>
          <w:lang w:val="sq-AL"/>
        </w:rPr>
        <w:t xml:space="preserve"> </w:t>
      </w:r>
      <w:r w:rsidRPr="005509B6">
        <w:rPr>
          <w:i/>
          <w:lang w:val="sq-AL"/>
        </w:rPr>
        <w:t>u realizuan në masën</w:t>
      </w:r>
      <w:r w:rsidRPr="005509B6">
        <w:rPr>
          <w:rFonts w:eastAsia="SimSun"/>
          <w:i/>
          <w:lang w:val="sq-AL"/>
        </w:rPr>
        <w:t xml:space="preserve"> rreth 54 miliard LEK, </w:t>
      </w:r>
    </w:p>
    <w:p w:rsidR="001B65FA" w:rsidRPr="005509B6" w:rsidRDefault="001B65FA" w:rsidP="007F0B61">
      <w:pPr>
        <w:pStyle w:val="ListParagraph"/>
        <w:numPr>
          <w:ilvl w:val="0"/>
          <w:numId w:val="46"/>
        </w:numPr>
        <w:spacing w:line="276" w:lineRule="auto"/>
        <w:jc w:val="both"/>
        <w:rPr>
          <w:lang w:val="sq-AL"/>
        </w:rPr>
      </w:pPr>
      <w:r w:rsidRPr="005509B6">
        <w:rPr>
          <w:rFonts w:asciiTheme="minorHAnsi" w:hAnsiTheme="minorHAnsi"/>
          <w:i/>
          <w:lang w:val="sq-AL"/>
        </w:rPr>
        <w:t>shpenzimet për sigurime shëndetësore në rreth 19.6 miliard LEK dhe</w:t>
      </w:r>
      <w:r w:rsidRPr="005509B6">
        <w:rPr>
          <w:rFonts w:eastAsia="SimSun"/>
          <w:lang w:val="sq-AL"/>
        </w:rPr>
        <w:t xml:space="preserve"> </w:t>
      </w:r>
    </w:p>
    <w:p w:rsidR="001B65FA" w:rsidRPr="005509B6" w:rsidRDefault="001B65FA" w:rsidP="007F0B61">
      <w:pPr>
        <w:pStyle w:val="ListParagraph"/>
        <w:numPr>
          <w:ilvl w:val="0"/>
          <w:numId w:val="46"/>
        </w:numPr>
        <w:spacing w:line="276" w:lineRule="auto"/>
        <w:jc w:val="both"/>
        <w:rPr>
          <w:lang w:val="sq-AL"/>
        </w:rPr>
      </w:pPr>
      <w:r w:rsidRPr="005509B6">
        <w:rPr>
          <w:rFonts w:asciiTheme="minorHAnsi" w:hAnsiTheme="minorHAnsi"/>
          <w:i/>
          <w:lang w:val="sq-AL"/>
        </w:rPr>
        <w:t>shpenzimet për kompensimin e pronarëve në rreth 1.4 miliard</w:t>
      </w:r>
      <w:r>
        <w:rPr>
          <w:rFonts w:asciiTheme="minorHAnsi" w:hAnsiTheme="minorHAnsi"/>
          <w:i/>
          <w:lang w:val="sq-AL"/>
        </w:rPr>
        <w:t xml:space="preserve"> LEK</w:t>
      </w:r>
      <w:r w:rsidRPr="005509B6">
        <w:rPr>
          <w:rFonts w:asciiTheme="minorHAnsi" w:hAnsiTheme="minorHAnsi"/>
          <w:i/>
          <w:lang w:val="sq-AL"/>
        </w:rPr>
        <w:t>.</w:t>
      </w:r>
      <w:r w:rsidRPr="005509B6">
        <w:rPr>
          <w:rFonts w:eastAsia="SimSun"/>
          <w:lang w:val="sq-AL"/>
        </w:rPr>
        <w:t xml:space="preserve"> </w:t>
      </w:r>
    </w:p>
    <w:p w:rsidR="001B65FA" w:rsidRPr="005509B6" w:rsidRDefault="001B65FA" w:rsidP="001B65FA">
      <w:pPr>
        <w:spacing w:line="276" w:lineRule="auto"/>
        <w:jc w:val="both"/>
        <w:rPr>
          <w:rFonts w:eastAsia="SimSun"/>
          <w:sz w:val="8"/>
          <w:szCs w:val="8"/>
          <w:lang w:val="sq-AL"/>
        </w:rPr>
      </w:pPr>
    </w:p>
    <w:p w:rsidR="001B65FA" w:rsidRPr="005509B6" w:rsidRDefault="001B65FA" w:rsidP="001B65FA">
      <w:pPr>
        <w:spacing w:line="276" w:lineRule="auto"/>
        <w:jc w:val="both"/>
        <w:rPr>
          <w:rFonts w:asciiTheme="minorHAnsi" w:eastAsia="SimSun" w:hAnsiTheme="minorHAnsi"/>
          <w:lang w:val="sq-AL"/>
        </w:rPr>
      </w:pPr>
      <w:r w:rsidRPr="005509B6">
        <w:rPr>
          <w:rFonts w:asciiTheme="minorHAnsi" w:eastAsia="SimSun" w:hAnsiTheme="minorHAnsi"/>
          <w:lang w:val="sq-AL"/>
        </w:rPr>
        <w:t>Kundrejt të njëjtës periudhë të vitit 2020, shpenzimet për sigurime shoqërore janë 3.4 miliard LEK më të larta, shpenzimet për sigurime shëndetësore janë rreth 3 miliard LEK më të larta dhe shpenzimet për kompensimin e pronarëve 628 milion LEK më të larta.</w:t>
      </w:r>
    </w:p>
    <w:p w:rsidR="001B65FA" w:rsidRPr="006A740D" w:rsidRDefault="001B65FA" w:rsidP="001B65FA">
      <w:pPr>
        <w:pStyle w:val="Caption"/>
        <w:keepNext/>
        <w:spacing w:before="240" w:after="0"/>
        <w:jc w:val="both"/>
        <w:rPr>
          <w:rFonts w:asciiTheme="minorHAnsi" w:hAnsiTheme="minorHAnsi"/>
          <w:b w:val="0"/>
          <w:bCs w:val="0"/>
          <w:i/>
          <w:color w:val="auto"/>
          <w:sz w:val="22"/>
          <w:szCs w:val="24"/>
          <w:lang w:val="sq-AL"/>
        </w:rPr>
      </w:pPr>
      <w:r w:rsidRPr="006A740D">
        <w:rPr>
          <w:rFonts w:asciiTheme="minorHAnsi" w:hAnsiTheme="minorHAnsi"/>
          <w:b w:val="0"/>
          <w:bCs w:val="0"/>
          <w:i/>
          <w:color w:val="auto"/>
          <w:sz w:val="22"/>
          <w:szCs w:val="24"/>
          <w:lang w:val="sq-AL"/>
        </w:rPr>
        <w:t>Grafiku x: Shpenzimet për Sigurime Shoqërore dhe Shëndetësore (në miliardë LEK)</w:t>
      </w:r>
    </w:p>
    <w:p w:rsidR="001B65FA" w:rsidRPr="0065598A" w:rsidRDefault="001B65FA" w:rsidP="001B65FA">
      <w:pPr>
        <w:spacing w:line="276" w:lineRule="auto"/>
        <w:jc w:val="center"/>
        <w:rPr>
          <w:rFonts w:asciiTheme="minorHAnsi" w:eastAsia="SimSun" w:hAnsiTheme="minorHAnsi"/>
          <w:i/>
          <w:lang w:val="sq-AL"/>
        </w:rPr>
      </w:pPr>
      <w:r>
        <w:rPr>
          <w:rFonts w:asciiTheme="minorHAnsi" w:eastAsia="SimSun" w:hAnsiTheme="minorHAnsi"/>
          <w:i/>
          <w:noProof/>
        </w:rPr>
        <w:drawing>
          <wp:inline distT="0" distB="0" distL="0" distR="0" wp14:anchorId="4CE64A58" wp14:editId="39BEE5D0">
            <wp:extent cx="5929188" cy="2113915"/>
            <wp:effectExtent l="38100" t="19050" r="14605" b="577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5277" cy="2119651"/>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65598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Pr>
          <w:rFonts w:asciiTheme="minorHAnsi" w:eastAsia="SimSun" w:hAnsiTheme="minorHAnsi"/>
          <w:i/>
          <w:sz w:val="20"/>
          <w:lang w:val="sq-AL"/>
        </w:rPr>
        <w:t>Burimi: Ministria e Financave dhe Ekonomisë (2021)</w:t>
      </w:r>
    </w:p>
    <w:p w:rsidR="001B65FA" w:rsidRDefault="001B65FA" w:rsidP="001B65FA">
      <w:pPr>
        <w:spacing w:line="276" w:lineRule="auto"/>
        <w:jc w:val="both"/>
        <w:rPr>
          <w:rFonts w:asciiTheme="minorHAnsi" w:eastAsia="SimSun" w:hAnsiTheme="minorHAnsi"/>
          <w:i/>
          <w:lang w:val="sq-AL"/>
        </w:rPr>
      </w:pPr>
    </w:p>
    <w:p w:rsidR="001B65FA" w:rsidRPr="003822BE" w:rsidRDefault="001B65FA" w:rsidP="001B65FA">
      <w:pPr>
        <w:spacing w:line="276" w:lineRule="auto"/>
        <w:jc w:val="both"/>
        <w:rPr>
          <w:rFonts w:asciiTheme="minorHAnsi" w:eastAsia="SimSun" w:hAnsiTheme="minorHAnsi"/>
          <w:lang w:val="sq-AL"/>
        </w:rPr>
      </w:pPr>
      <w:r w:rsidRPr="00020D6E">
        <w:rPr>
          <w:rFonts w:asciiTheme="minorHAnsi" w:eastAsia="SimSun" w:hAnsiTheme="minorHAnsi"/>
          <w:i/>
          <w:lang w:val="sq-AL"/>
        </w:rPr>
        <w:t>Shpenzimet për Papunësinë</w:t>
      </w:r>
      <w:r w:rsidRPr="00020D6E">
        <w:rPr>
          <w:rFonts w:asciiTheme="minorHAnsi" w:eastAsia="SimSun" w:hAnsiTheme="minorHAnsi"/>
          <w:lang w:val="sq-AL"/>
        </w:rPr>
        <w:t xml:space="preserve"> </w:t>
      </w:r>
      <w:r w:rsidRPr="00020D6E">
        <w:rPr>
          <w:rFonts w:asciiTheme="minorHAnsi" w:hAnsiTheme="minorHAnsi"/>
          <w:lang w:val="sq-AL"/>
        </w:rPr>
        <w:t xml:space="preserve">për 5 mujorin e vitit 2021 janë realizuar në masën 482 milion </w:t>
      </w:r>
      <w:r>
        <w:rPr>
          <w:rFonts w:asciiTheme="minorHAnsi" w:hAnsiTheme="minorHAnsi"/>
          <w:lang w:val="sq-AL"/>
        </w:rPr>
        <w:t>LEK</w:t>
      </w:r>
      <w:r w:rsidRPr="00020D6E">
        <w:rPr>
          <w:rFonts w:asciiTheme="minorHAnsi" w:hAnsiTheme="minorHAnsi"/>
          <w:lang w:val="sq-AL"/>
        </w:rPr>
        <w:t xml:space="preserve"> ose 115 përqind e planit të periudhës dhe 60.2 përqind e planit vjetor fillestar dhe të ndryshuar.</w:t>
      </w:r>
      <w:r w:rsidRPr="00020D6E">
        <w:rPr>
          <w:rFonts w:asciiTheme="minorHAnsi" w:eastAsia="SimSun" w:hAnsiTheme="minorHAnsi"/>
          <w:lang w:val="sq-AL"/>
        </w:rPr>
        <w:t xml:space="preserve"> </w:t>
      </w:r>
      <w:r w:rsidRPr="003822BE">
        <w:rPr>
          <w:rFonts w:asciiTheme="minorHAnsi" w:eastAsia="SimSun" w:hAnsiTheme="minorHAnsi"/>
          <w:lang w:val="sq-AL"/>
        </w:rPr>
        <w:t>Kundrejt të njëjtës periudhë të vitit 2020 shpenzimet për këtë zë rezultojnë me një rritje në masën 49.6 përqind ose 160 milion LEK më shumë.</w:t>
      </w:r>
    </w:p>
    <w:p w:rsidR="001B65FA" w:rsidRDefault="001B65FA" w:rsidP="001B65FA">
      <w:pPr>
        <w:spacing w:line="276" w:lineRule="auto"/>
        <w:jc w:val="both"/>
        <w:rPr>
          <w:rFonts w:asciiTheme="minorHAnsi" w:eastAsia="SimSun" w:hAnsiTheme="minorHAnsi"/>
          <w:lang w:val="sq-AL"/>
        </w:rPr>
      </w:pPr>
    </w:p>
    <w:p w:rsidR="001B65FA" w:rsidRPr="003F7DB9" w:rsidRDefault="001B65FA" w:rsidP="001B65FA">
      <w:pPr>
        <w:spacing w:line="276" w:lineRule="auto"/>
        <w:jc w:val="both"/>
        <w:rPr>
          <w:rFonts w:asciiTheme="minorHAnsi" w:eastAsia="SimSun" w:hAnsiTheme="minorHAnsi"/>
          <w:lang w:val="sq-AL"/>
        </w:rPr>
      </w:pPr>
      <w:r w:rsidRPr="006F30BA">
        <w:rPr>
          <w:rFonts w:asciiTheme="minorHAnsi" w:eastAsia="SimSun" w:hAnsiTheme="minorHAnsi"/>
          <w:i/>
          <w:lang w:val="sq-AL"/>
        </w:rPr>
        <w:lastRenderedPageBreak/>
        <w:t>Shpenzimet për Ndihmën Ekonomike dhe Pagesën e Paaftësisë (PAK)</w:t>
      </w:r>
      <w:r w:rsidRPr="006F30BA">
        <w:rPr>
          <w:rFonts w:asciiTheme="minorHAnsi" w:eastAsia="SimSun" w:hAnsiTheme="minorHAnsi"/>
          <w:lang w:val="sq-AL"/>
        </w:rPr>
        <w:t xml:space="preserve"> për periudhën 5 mujore të vitit 2021 u realizuan në masën 9.7 miliard LEK duke rezultuar 95.5 përqind e planit të periudhës ose 459 milion LEK më pak. Në raport me planin vjetor fillestar dhe të ndryshuar, ato janë realizuar në masën 39.3 përqind të tij. Kundrejt të njëjtës periudhë të vitit 2020 shpenzimet për këtë zë rezultojnë me një ulje në masën 8.5 përqind ose 902 milion LEK më pak në terma nominalë.</w:t>
      </w:r>
    </w:p>
    <w:p w:rsidR="001B65FA" w:rsidRPr="00092976" w:rsidRDefault="001B65FA" w:rsidP="001B65FA">
      <w:pPr>
        <w:spacing w:line="276" w:lineRule="auto"/>
        <w:jc w:val="both"/>
        <w:rPr>
          <w:rFonts w:asciiTheme="minorHAnsi" w:eastAsia="SimSun" w:hAnsiTheme="minorHAnsi"/>
          <w:i/>
          <w:sz w:val="8"/>
          <w:szCs w:val="8"/>
          <w:lang w:val="sq-AL"/>
        </w:rPr>
      </w:pPr>
    </w:p>
    <w:p w:rsidR="001B65FA" w:rsidRPr="00092976" w:rsidRDefault="001B65FA" w:rsidP="001B65FA">
      <w:pPr>
        <w:spacing w:line="276" w:lineRule="auto"/>
        <w:jc w:val="both"/>
        <w:rPr>
          <w:rFonts w:asciiTheme="minorHAnsi" w:hAnsiTheme="minorHAnsi"/>
          <w:lang w:val="sq-AL"/>
        </w:rPr>
      </w:pPr>
      <w:r w:rsidRPr="00092976">
        <w:rPr>
          <w:rFonts w:asciiTheme="minorHAnsi" w:eastAsia="SimSun" w:hAnsiTheme="minorHAnsi"/>
          <w:i/>
          <w:lang w:val="sq-AL"/>
        </w:rPr>
        <w:t>Shpenzimet për kompensimin e ish-të përndjekurve politik</w:t>
      </w:r>
      <w:r w:rsidRPr="00092976">
        <w:rPr>
          <w:rFonts w:asciiTheme="minorHAnsi" w:eastAsia="SimSun" w:hAnsiTheme="minorHAnsi"/>
          <w:lang w:val="sq-AL"/>
        </w:rPr>
        <w:t xml:space="preserve"> </w:t>
      </w:r>
      <w:r w:rsidRPr="00092976">
        <w:rPr>
          <w:rFonts w:asciiTheme="minorHAnsi" w:hAnsiTheme="minorHAnsi"/>
          <w:lang w:val="sq-AL"/>
        </w:rPr>
        <w:t>për periudhën 5 mujore të vitit 2021 u realizuan në masën 319 milion LEK ose 103.3 përqind të planit të periudhës dhe 31.9 përqind të planit vjetor fillestar dhe të ndryshuar. Krahasuar me të njëjtën periudhë të vitit 2020, shpenzimet për këtë zë rezultojnë me një ulje në masën 28.3 përqind ose 126 milion LEK më pak.</w:t>
      </w:r>
    </w:p>
    <w:p w:rsidR="001B65FA" w:rsidRPr="003F7DB9" w:rsidRDefault="001B65FA" w:rsidP="001B65FA">
      <w:pPr>
        <w:spacing w:line="276" w:lineRule="auto"/>
        <w:jc w:val="both"/>
        <w:rPr>
          <w:rFonts w:asciiTheme="minorHAnsi" w:eastAsia="SimSun" w:hAnsiTheme="minorHAnsi"/>
          <w:sz w:val="8"/>
          <w:szCs w:val="8"/>
          <w:lang w:val="sq-AL"/>
        </w:rPr>
      </w:pPr>
    </w:p>
    <w:p w:rsidR="001B65FA" w:rsidRPr="003F7DB9" w:rsidRDefault="001B65FA" w:rsidP="001B65FA">
      <w:pPr>
        <w:spacing w:line="276" w:lineRule="auto"/>
        <w:jc w:val="both"/>
        <w:rPr>
          <w:rFonts w:asciiTheme="minorHAnsi" w:hAnsiTheme="minorHAnsi"/>
          <w:lang w:val="sq-AL"/>
        </w:rPr>
      </w:pPr>
      <w:r w:rsidRPr="00092976">
        <w:rPr>
          <w:rFonts w:asciiTheme="minorHAnsi" w:eastAsia="SimSun" w:hAnsiTheme="minorHAnsi"/>
          <w:i/>
          <w:lang w:val="sq-AL"/>
        </w:rPr>
        <w:t>Shpenzimet për bonusin e lindjeve</w:t>
      </w:r>
      <w:r w:rsidRPr="00092976">
        <w:rPr>
          <w:rFonts w:asciiTheme="minorHAnsi" w:hAnsiTheme="minorHAnsi"/>
          <w:lang w:val="sq-AL"/>
        </w:rPr>
        <w:t xml:space="preserve"> për periudhën 5 mujore të vitit 2021 u realizuan në masën 1.2 miliard LEK duke rezultuar 120 përqind e planit të periudhës ose 54.5 përqind e planit vjetor fillestar dhe të ndryshuar. Kundrejt të njëjtës periudhë të vitit 2020 shpenzimet për këtë zë rezultojnë me një rritje prej 30.4 përqind ose 280 milion LEK më shumë.</w:t>
      </w:r>
    </w:p>
    <w:p w:rsidR="001B65FA" w:rsidRPr="006A740D" w:rsidRDefault="001B65FA" w:rsidP="001B65FA">
      <w:pPr>
        <w:pStyle w:val="Caption"/>
        <w:keepNext/>
        <w:spacing w:before="240" w:after="0"/>
        <w:jc w:val="both"/>
        <w:rPr>
          <w:rFonts w:asciiTheme="minorHAnsi" w:hAnsiTheme="minorHAnsi"/>
          <w:b w:val="0"/>
          <w:bCs w:val="0"/>
          <w:i/>
          <w:color w:val="auto"/>
          <w:sz w:val="22"/>
          <w:szCs w:val="24"/>
          <w:lang w:val="sq-AL"/>
        </w:rPr>
      </w:pPr>
      <w:r w:rsidRPr="006A740D">
        <w:rPr>
          <w:rFonts w:asciiTheme="minorHAnsi" w:hAnsiTheme="minorHAnsi"/>
          <w:b w:val="0"/>
          <w:bCs w:val="0"/>
          <w:i/>
          <w:color w:val="auto"/>
          <w:sz w:val="22"/>
          <w:szCs w:val="24"/>
          <w:lang w:val="sq-AL"/>
        </w:rPr>
        <w:t xml:space="preserve">Grafiku x: Shpenzimet për Ndihmën Ekonomike, PAK dhe Papunësinë (në miliardë LEK) </w:t>
      </w:r>
    </w:p>
    <w:p w:rsidR="001B65FA" w:rsidRPr="0065598A" w:rsidRDefault="001B65FA"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6B834037" wp14:editId="25436E26">
            <wp:extent cx="5710555" cy="2475217"/>
            <wp:effectExtent l="38100" t="38100" r="99695" b="9715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9467" cy="2479080"/>
                    </a:xfrm>
                    <a:prstGeom prst="rect">
                      <a:avLst/>
                    </a:prstGeom>
                    <a:noFill/>
                    <a:effectLst>
                      <a:outerShdw blurRad="50800" dist="38100" dir="2700000" algn="tl" rotWithShape="0">
                        <a:prstClr val="black">
                          <a:alpha val="40000"/>
                        </a:prstClr>
                      </a:outerShdw>
                    </a:effectLst>
                  </pic:spPr>
                </pic:pic>
              </a:graphicData>
            </a:graphic>
          </wp:inline>
        </w:drawing>
      </w:r>
    </w:p>
    <w:p w:rsidR="001B65FA" w:rsidRDefault="001B65FA" w:rsidP="001B65FA">
      <w:pPr>
        <w:spacing w:line="276" w:lineRule="auto"/>
        <w:ind w:firstLine="720"/>
        <w:jc w:val="both"/>
        <w:rPr>
          <w:rFonts w:asciiTheme="minorHAnsi" w:eastAsia="SimSun" w:hAnsiTheme="minorHAnsi"/>
          <w:i/>
          <w:sz w:val="20"/>
          <w:lang w:val="sq-AL"/>
        </w:rPr>
      </w:pPr>
      <w:r w:rsidRPr="0065598A">
        <w:rPr>
          <w:rFonts w:asciiTheme="minorHAnsi" w:eastAsia="SimSun" w:hAnsiTheme="minorHAnsi"/>
          <w:lang w:val="sq-AL"/>
        </w:rPr>
        <w:t xml:space="preserve"> </w:t>
      </w:r>
      <w:r>
        <w:rPr>
          <w:rFonts w:asciiTheme="minorHAnsi" w:eastAsia="SimSun" w:hAnsiTheme="minorHAnsi"/>
          <w:i/>
          <w:sz w:val="20"/>
          <w:lang w:val="sq-AL"/>
        </w:rPr>
        <w:t>Burimi: Ministria e Financave dhe Ekonomisë (2021)</w:t>
      </w:r>
    </w:p>
    <w:p w:rsidR="001B65FA" w:rsidRPr="00112432" w:rsidRDefault="001B65FA" w:rsidP="001B65FA">
      <w:pPr>
        <w:spacing w:line="276" w:lineRule="auto"/>
        <w:ind w:firstLine="720"/>
        <w:jc w:val="both"/>
        <w:rPr>
          <w:rFonts w:asciiTheme="minorHAnsi" w:eastAsia="SimSun" w:hAnsiTheme="minorHAnsi"/>
          <w:i/>
          <w:sz w:val="20"/>
          <w:lang w:val="sq-AL"/>
        </w:rPr>
      </w:pPr>
    </w:p>
    <w:p w:rsidR="001B65FA" w:rsidRDefault="001B65FA" w:rsidP="001B65FA">
      <w:pPr>
        <w:spacing w:line="276" w:lineRule="auto"/>
        <w:jc w:val="both"/>
        <w:rPr>
          <w:rFonts w:asciiTheme="minorHAnsi" w:eastAsia="SimSun" w:hAnsiTheme="minorHAnsi"/>
          <w:lang w:val="sq-AL"/>
        </w:rPr>
      </w:pPr>
      <w:r w:rsidRPr="00112432">
        <w:rPr>
          <w:rFonts w:asciiTheme="minorHAnsi" w:eastAsia="SimSun" w:hAnsiTheme="minorHAnsi"/>
          <w:b/>
          <w:lang w:val="sq-AL"/>
        </w:rPr>
        <w:t>Shpenzimet kapitale</w:t>
      </w:r>
      <w:r w:rsidRPr="00112432">
        <w:rPr>
          <w:rFonts w:asciiTheme="minorHAnsi" w:eastAsia="SimSun" w:hAnsiTheme="minorHAnsi"/>
          <w:lang w:val="sq-AL"/>
        </w:rPr>
        <w:t>, për periudhën 5 mujore të vitit 2021 kanë një realizim në masën rreth 27.</w:t>
      </w:r>
      <w:r>
        <w:rPr>
          <w:rFonts w:asciiTheme="minorHAnsi" w:eastAsia="SimSun" w:hAnsiTheme="minorHAnsi"/>
          <w:lang w:val="sq-AL"/>
        </w:rPr>
        <w:t>5</w:t>
      </w:r>
      <w:r w:rsidRPr="00112432">
        <w:rPr>
          <w:rFonts w:asciiTheme="minorHAnsi" w:eastAsia="SimSun" w:hAnsiTheme="minorHAnsi"/>
          <w:lang w:val="sq-AL"/>
        </w:rPr>
        <w:t xml:space="preserve"> miliard LEK ose 7</w:t>
      </w:r>
      <w:r>
        <w:rPr>
          <w:rFonts w:asciiTheme="minorHAnsi" w:eastAsia="SimSun" w:hAnsiTheme="minorHAnsi"/>
          <w:lang w:val="sq-AL"/>
        </w:rPr>
        <w:t>6</w:t>
      </w:r>
      <w:r w:rsidRPr="00112432">
        <w:rPr>
          <w:rFonts w:asciiTheme="minorHAnsi" w:eastAsia="SimSun" w:hAnsiTheme="minorHAnsi"/>
          <w:lang w:val="sq-AL"/>
        </w:rPr>
        <w:t>.</w:t>
      </w:r>
      <w:r>
        <w:rPr>
          <w:rFonts w:asciiTheme="minorHAnsi" w:eastAsia="SimSun" w:hAnsiTheme="minorHAnsi"/>
          <w:lang w:val="sq-AL"/>
        </w:rPr>
        <w:t>3</w:t>
      </w:r>
      <w:r w:rsidRPr="00112432">
        <w:rPr>
          <w:rFonts w:asciiTheme="minorHAnsi" w:eastAsia="SimSun" w:hAnsiTheme="minorHAnsi"/>
          <w:lang w:val="sq-AL"/>
        </w:rPr>
        <w:t xml:space="preserve"> përqind në raport me fondet e planifikuara për këtë periudhë. </w:t>
      </w:r>
      <w:r>
        <w:rPr>
          <w:rFonts w:asciiTheme="minorHAnsi" w:eastAsia="SimSun" w:hAnsiTheme="minorHAnsi"/>
          <w:lang w:val="sq-AL"/>
        </w:rPr>
        <w:t>Respektivisht, f</w:t>
      </w:r>
      <w:r w:rsidRPr="00112432">
        <w:rPr>
          <w:rFonts w:asciiTheme="minorHAnsi" w:eastAsia="SimSun" w:hAnsiTheme="minorHAnsi"/>
          <w:lang w:val="sq-AL"/>
        </w:rPr>
        <w:t xml:space="preserve">inancimi i brendshëm ka shënuar një realizim prej rreth 18.8 miliard LEK ose 124.3 </w:t>
      </w:r>
      <w:r>
        <w:rPr>
          <w:rFonts w:asciiTheme="minorHAnsi" w:eastAsia="SimSun" w:hAnsiTheme="minorHAnsi"/>
          <w:lang w:val="sq-AL"/>
        </w:rPr>
        <w:t>përqind të planit të periudhës, i</w:t>
      </w:r>
      <w:r w:rsidRPr="00112432">
        <w:rPr>
          <w:rFonts w:asciiTheme="minorHAnsi" w:eastAsia="SimSun" w:hAnsiTheme="minorHAnsi"/>
          <w:lang w:val="sq-AL"/>
        </w:rPr>
        <w:t xml:space="preserve">nvestimet nga të Ardhurat e Arsimit të Lartë janë realizuar në masën 224 milion LEK ose 81.9 </w:t>
      </w:r>
      <w:r>
        <w:rPr>
          <w:rFonts w:asciiTheme="minorHAnsi" w:eastAsia="SimSun" w:hAnsiTheme="minorHAnsi"/>
          <w:lang w:val="sq-AL"/>
        </w:rPr>
        <w:t>përqind të planit të periudhës dhe f</w:t>
      </w:r>
      <w:r w:rsidRPr="00112432">
        <w:rPr>
          <w:rFonts w:asciiTheme="minorHAnsi" w:eastAsia="SimSun" w:hAnsiTheme="minorHAnsi"/>
          <w:lang w:val="sq-AL"/>
        </w:rPr>
        <w:t>inancimi i huaj ka shënuar një realizim prej 8.</w:t>
      </w:r>
      <w:r>
        <w:rPr>
          <w:rFonts w:asciiTheme="minorHAnsi" w:eastAsia="SimSun" w:hAnsiTheme="minorHAnsi"/>
          <w:lang w:val="sq-AL"/>
        </w:rPr>
        <w:t>38</w:t>
      </w:r>
      <w:r w:rsidRPr="00112432">
        <w:rPr>
          <w:rFonts w:asciiTheme="minorHAnsi" w:eastAsia="SimSun" w:hAnsiTheme="minorHAnsi"/>
          <w:lang w:val="sq-AL"/>
        </w:rPr>
        <w:t xml:space="preserve"> miliard LEK ose 6</w:t>
      </w:r>
      <w:r>
        <w:rPr>
          <w:rFonts w:asciiTheme="minorHAnsi" w:eastAsia="SimSun" w:hAnsiTheme="minorHAnsi"/>
          <w:lang w:val="sq-AL"/>
        </w:rPr>
        <w:t>8</w:t>
      </w:r>
      <w:r w:rsidRPr="00112432">
        <w:rPr>
          <w:rFonts w:asciiTheme="minorHAnsi" w:eastAsia="SimSun" w:hAnsiTheme="minorHAnsi"/>
          <w:lang w:val="sq-AL"/>
        </w:rPr>
        <w:t>.</w:t>
      </w:r>
      <w:r>
        <w:rPr>
          <w:rFonts w:asciiTheme="minorHAnsi" w:eastAsia="SimSun" w:hAnsiTheme="minorHAnsi"/>
          <w:lang w:val="sq-AL"/>
        </w:rPr>
        <w:t>2</w:t>
      </w:r>
      <w:r w:rsidRPr="00112432">
        <w:rPr>
          <w:rFonts w:asciiTheme="minorHAnsi" w:eastAsia="SimSun" w:hAnsiTheme="minorHAnsi"/>
          <w:lang w:val="sq-AL"/>
        </w:rPr>
        <w:t xml:space="preserve"> përqind të planit të periudhës.</w:t>
      </w:r>
    </w:p>
    <w:p w:rsidR="001B65FA" w:rsidRPr="003F7DB9" w:rsidRDefault="001B65FA" w:rsidP="006A740D">
      <w:pPr>
        <w:spacing w:before="240" w:line="276" w:lineRule="auto"/>
        <w:jc w:val="both"/>
        <w:rPr>
          <w:rFonts w:asciiTheme="minorHAnsi" w:eastAsia="SimSun" w:hAnsiTheme="minorHAnsi"/>
          <w:lang w:val="sq-AL"/>
        </w:rPr>
      </w:pPr>
      <w:r w:rsidRPr="00112432">
        <w:rPr>
          <w:rFonts w:asciiTheme="minorHAnsi" w:hAnsiTheme="minorHAnsi"/>
          <w:i/>
          <w:lang w:val="sq-AL"/>
        </w:rPr>
        <w:t>Krahasuar me planin vjetor</w:t>
      </w:r>
      <w:r w:rsidRPr="00112432">
        <w:rPr>
          <w:rFonts w:asciiTheme="minorHAnsi" w:eastAsia="SimSun" w:hAnsiTheme="minorHAnsi"/>
          <w:lang w:val="sq-AL"/>
        </w:rPr>
        <w:t>, për 5 mujorin e vitit 2021 është konstatuar një realizim i përgjithshëm i investimeve publike në masën 29.</w:t>
      </w:r>
      <w:r>
        <w:rPr>
          <w:rFonts w:asciiTheme="minorHAnsi" w:eastAsia="SimSun" w:hAnsiTheme="minorHAnsi"/>
          <w:lang w:val="sq-AL"/>
        </w:rPr>
        <w:t>5</w:t>
      </w:r>
      <w:r w:rsidRPr="00112432">
        <w:rPr>
          <w:rFonts w:asciiTheme="minorHAnsi" w:eastAsia="SimSun" w:hAnsiTheme="minorHAnsi"/>
          <w:lang w:val="sq-AL"/>
        </w:rPr>
        <w:t xml:space="preserve"> përqind të planit vjetor fillestar dhe 28.</w:t>
      </w:r>
      <w:r>
        <w:rPr>
          <w:rFonts w:asciiTheme="minorHAnsi" w:eastAsia="SimSun" w:hAnsiTheme="minorHAnsi"/>
          <w:lang w:val="sq-AL"/>
        </w:rPr>
        <w:t>8</w:t>
      </w:r>
      <w:r w:rsidRPr="00112432">
        <w:rPr>
          <w:rFonts w:asciiTheme="minorHAnsi" w:eastAsia="SimSun" w:hAnsiTheme="minorHAnsi"/>
          <w:lang w:val="sq-AL"/>
        </w:rPr>
        <w:t xml:space="preserve"> përqind të planit vjetor të ndryshuar me AN nr.18. Financimi i brendshëm është realizuar në masën 32.7 përqind të planit vjetor fillestar dhe 31.4 përqind të planit vjetor të ndryshuar dhe</w:t>
      </w:r>
      <w:r>
        <w:rPr>
          <w:rFonts w:asciiTheme="minorHAnsi" w:eastAsia="SimSun" w:hAnsiTheme="minorHAnsi"/>
          <w:lang w:val="sq-AL"/>
        </w:rPr>
        <w:t xml:space="preserve"> </w:t>
      </w:r>
      <w:r w:rsidRPr="00112432">
        <w:rPr>
          <w:rFonts w:asciiTheme="minorHAnsi" w:eastAsia="SimSun" w:hAnsiTheme="minorHAnsi"/>
          <w:lang w:val="sq-AL"/>
        </w:rPr>
        <w:t>financimi i huaj është realizuar në masën 2</w:t>
      </w:r>
      <w:r>
        <w:rPr>
          <w:rFonts w:asciiTheme="minorHAnsi" w:eastAsia="SimSun" w:hAnsiTheme="minorHAnsi"/>
          <w:lang w:val="sq-AL"/>
        </w:rPr>
        <w:t>4</w:t>
      </w:r>
      <w:r w:rsidRPr="00112432">
        <w:rPr>
          <w:rFonts w:asciiTheme="minorHAnsi" w:eastAsia="SimSun" w:hAnsiTheme="minorHAnsi"/>
          <w:lang w:val="sq-AL"/>
        </w:rPr>
        <w:t>.</w:t>
      </w:r>
      <w:r>
        <w:rPr>
          <w:rFonts w:asciiTheme="minorHAnsi" w:eastAsia="SimSun" w:hAnsiTheme="minorHAnsi"/>
          <w:lang w:val="sq-AL"/>
        </w:rPr>
        <w:t>3</w:t>
      </w:r>
      <w:r w:rsidRPr="00112432">
        <w:rPr>
          <w:rFonts w:asciiTheme="minorHAnsi" w:eastAsia="SimSun" w:hAnsiTheme="minorHAnsi"/>
          <w:lang w:val="sq-AL"/>
        </w:rPr>
        <w:t xml:space="preserve"> përqind të planit vjetor fillestar dhe të ndryshuar.</w:t>
      </w:r>
    </w:p>
    <w:p w:rsidR="001B65FA" w:rsidRDefault="001B65FA" w:rsidP="001B65FA">
      <w:pPr>
        <w:rPr>
          <w:lang w:val="sq-AL"/>
        </w:rPr>
      </w:pPr>
    </w:p>
    <w:p w:rsidR="001B65FA" w:rsidRPr="006A740D" w:rsidRDefault="001B65FA" w:rsidP="001B65FA">
      <w:pPr>
        <w:pStyle w:val="Caption"/>
        <w:keepNext/>
        <w:spacing w:before="240" w:after="0"/>
        <w:jc w:val="both"/>
        <w:rPr>
          <w:rFonts w:asciiTheme="minorHAnsi" w:hAnsiTheme="minorHAnsi"/>
          <w:b w:val="0"/>
          <w:bCs w:val="0"/>
          <w:i/>
          <w:color w:val="auto"/>
          <w:sz w:val="22"/>
          <w:szCs w:val="24"/>
          <w:lang w:val="sq-AL"/>
        </w:rPr>
      </w:pPr>
      <w:r w:rsidRPr="006A740D">
        <w:rPr>
          <w:rFonts w:asciiTheme="minorHAnsi" w:hAnsiTheme="minorHAnsi"/>
          <w:b w:val="0"/>
          <w:bCs w:val="0"/>
          <w:i/>
          <w:color w:val="auto"/>
          <w:sz w:val="22"/>
          <w:szCs w:val="24"/>
          <w:lang w:val="sq-AL"/>
        </w:rPr>
        <w:lastRenderedPageBreak/>
        <w:t>Grafiku x: Shpenzimet Kapitale dhe ritmi i rritjes së tyre (në miliardë LEK)</w:t>
      </w:r>
    </w:p>
    <w:p w:rsidR="001B65FA" w:rsidRPr="0065598A" w:rsidRDefault="001B65FA"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26E57E80" wp14:editId="4D32AE0B">
            <wp:extent cx="5310505" cy="1958340"/>
            <wp:effectExtent l="38100" t="38100" r="42545" b="6096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13021" cy="1959268"/>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65598A" w:rsidRDefault="001B65FA" w:rsidP="001B65FA">
      <w:pPr>
        <w:spacing w:line="276" w:lineRule="auto"/>
        <w:ind w:firstLine="720"/>
        <w:rPr>
          <w:rFonts w:asciiTheme="minorHAnsi" w:eastAsia="SimSun" w:hAnsiTheme="minorHAnsi"/>
          <w:i/>
          <w:lang w:val="sq-AL"/>
        </w:rPr>
      </w:pPr>
      <w:r>
        <w:rPr>
          <w:rFonts w:asciiTheme="minorHAnsi" w:eastAsia="SimSun" w:hAnsiTheme="minorHAnsi"/>
          <w:i/>
          <w:sz w:val="20"/>
          <w:lang w:val="sq-AL"/>
        </w:rPr>
        <w:t>Burimi: Ministria e Financave dhe Ekonomisë (2021)</w:t>
      </w:r>
      <w:r w:rsidRPr="0065598A">
        <w:rPr>
          <w:rFonts w:asciiTheme="minorHAnsi" w:eastAsia="SimSun" w:hAnsiTheme="minorHAnsi"/>
          <w:i/>
          <w:lang w:val="sq-AL"/>
        </w:rPr>
        <w:t xml:space="preserve">          </w:t>
      </w:r>
    </w:p>
    <w:p w:rsidR="001B65FA" w:rsidRPr="006A740D" w:rsidRDefault="001B65FA" w:rsidP="001B65FA">
      <w:pPr>
        <w:pStyle w:val="Caption"/>
        <w:keepNext/>
        <w:spacing w:before="240" w:after="0"/>
        <w:jc w:val="both"/>
        <w:rPr>
          <w:rFonts w:asciiTheme="minorHAnsi" w:hAnsiTheme="minorHAnsi"/>
          <w:b w:val="0"/>
          <w:bCs w:val="0"/>
          <w:i/>
          <w:color w:val="auto"/>
          <w:sz w:val="22"/>
          <w:szCs w:val="24"/>
          <w:lang w:val="sq-AL"/>
        </w:rPr>
      </w:pPr>
      <w:r w:rsidRPr="006A740D">
        <w:rPr>
          <w:rFonts w:asciiTheme="minorHAnsi" w:hAnsiTheme="minorHAnsi"/>
          <w:b w:val="0"/>
          <w:bCs w:val="0"/>
          <w:i/>
          <w:color w:val="auto"/>
          <w:sz w:val="22"/>
          <w:szCs w:val="24"/>
          <w:lang w:val="sq-AL"/>
        </w:rPr>
        <w:t>Grafiku x: Shpenzimet Kapitale dhe burimi i financimit të tyre (në miliardë LEK)</w:t>
      </w:r>
    </w:p>
    <w:p w:rsidR="001B65FA" w:rsidRPr="0065598A" w:rsidRDefault="001B65FA"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2C4BC905" wp14:editId="726B834E">
            <wp:extent cx="5492115" cy="1836420"/>
            <wp:effectExtent l="38100" t="38100" r="32385" b="4953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97235" cy="1838132"/>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65598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lang w:val="sq-AL"/>
        </w:rPr>
        <w:tab/>
      </w:r>
      <w:r>
        <w:rPr>
          <w:rFonts w:asciiTheme="minorHAnsi" w:eastAsia="SimSun" w:hAnsiTheme="minorHAnsi"/>
          <w:i/>
          <w:sz w:val="20"/>
          <w:lang w:val="sq-AL"/>
        </w:rPr>
        <w:t>Burimi: Ministria e Financave dhe Ekonomisë (2021)</w:t>
      </w:r>
    </w:p>
    <w:p w:rsidR="001B65FA" w:rsidRDefault="001B65FA" w:rsidP="001B65FA">
      <w:pPr>
        <w:spacing w:line="276" w:lineRule="auto"/>
        <w:jc w:val="both"/>
        <w:rPr>
          <w:rFonts w:asciiTheme="minorHAnsi" w:eastAsia="SimSun" w:hAnsiTheme="minorHAnsi"/>
          <w:lang w:val="sq-AL"/>
        </w:rPr>
      </w:pPr>
    </w:p>
    <w:p w:rsidR="001B65FA" w:rsidRPr="00F01315" w:rsidRDefault="001B65FA" w:rsidP="001B65FA">
      <w:pPr>
        <w:spacing w:line="276" w:lineRule="auto"/>
        <w:jc w:val="both"/>
        <w:rPr>
          <w:rFonts w:asciiTheme="minorHAnsi" w:eastAsia="SimSun" w:hAnsiTheme="minorHAnsi"/>
          <w:lang w:val="sq-AL"/>
        </w:rPr>
      </w:pPr>
      <w:r w:rsidRPr="00F01315">
        <w:rPr>
          <w:rFonts w:asciiTheme="minorHAnsi" w:eastAsia="SimSun" w:hAnsiTheme="minorHAnsi"/>
          <w:lang w:val="sq-AL"/>
        </w:rPr>
        <w:t>Grafiku i mëposhtëm paraqet ndarjen e shpenzimeve publike faktike për muajin Maj të vitit 202</w:t>
      </w:r>
      <w:r>
        <w:rPr>
          <w:rFonts w:asciiTheme="minorHAnsi" w:eastAsia="SimSun" w:hAnsiTheme="minorHAnsi"/>
          <w:lang w:val="sq-AL"/>
        </w:rPr>
        <w:t>1</w:t>
      </w:r>
      <w:r w:rsidRPr="00F01315">
        <w:rPr>
          <w:rFonts w:asciiTheme="minorHAnsi" w:eastAsia="SimSun" w:hAnsiTheme="minorHAnsi"/>
          <w:lang w:val="sq-AL"/>
        </w:rPr>
        <w:t xml:space="preserve">. Shpenzimet korente për këtë periudhë përbëjnë </w:t>
      </w:r>
      <w:r w:rsidRPr="00F01315">
        <w:rPr>
          <w:rFonts w:asciiTheme="minorHAnsi" w:hAnsiTheme="minorHAnsi"/>
          <w:lang w:val="sq-AL"/>
        </w:rPr>
        <w:t>pjesën</w:t>
      </w:r>
      <w:r w:rsidRPr="00F01315">
        <w:rPr>
          <w:rFonts w:asciiTheme="minorHAnsi" w:eastAsia="SimSun" w:hAnsiTheme="minorHAnsi"/>
          <w:lang w:val="sq-AL"/>
        </w:rPr>
        <w:t xml:space="preserve"> më të madhe të shpenzimeve totale faktike me 8</w:t>
      </w:r>
      <w:r>
        <w:rPr>
          <w:rFonts w:asciiTheme="minorHAnsi" w:eastAsia="SimSun" w:hAnsiTheme="minorHAnsi"/>
          <w:lang w:val="sq-AL"/>
        </w:rPr>
        <w:t>6.5</w:t>
      </w:r>
      <w:r w:rsidRPr="00F01315">
        <w:rPr>
          <w:rFonts w:asciiTheme="minorHAnsi" w:eastAsia="SimSun" w:hAnsiTheme="minorHAnsi"/>
          <w:lang w:val="sq-AL"/>
        </w:rPr>
        <w:t xml:space="preserve"> përqind, ndërsa shpenzimet kapitale përbëjnë 1</w:t>
      </w:r>
      <w:r>
        <w:rPr>
          <w:rFonts w:asciiTheme="minorHAnsi" w:eastAsia="SimSun" w:hAnsiTheme="minorHAnsi"/>
          <w:lang w:val="sq-AL"/>
        </w:rPr>
        <w:t>3.5</w:t>
      </w:r>
      <w:r w:rsidRPr="00F01315">
        <w:rPr>
          <w:rFonts w:asciiTheme="minorHAnsi" w:eastAsia="SimSun" w:hAnsiTheme="minorHAnsi"/>
          <w:lang w:val="sq-AL"/>
        </w:rPr>
        <w:t xml:space="preserve"> përqind.</w:t>
      </w:r>
    </w:p>
    <w:p w:rsidR="001B65FA" w:rsidRPr="00CA7F11" w:rsidRDefault="001B65FA" w:rsidP="001B65FA">
      <w:pPr>
        <w:pStyle w:val="Caption"/>
        <w:keepNext/>
        <w:spacing w:before="240" w:after="0"/>
        <w:jc w:val="both"/>
        <w:rPr>
          <w:rFonts w:asciiTheme="minorHAnsi" w:hAnsiTheme="minorHAnsi"/>
          <w:b w:val="0"/>
          <w:bCs w:val="0"/>
          <w:i/>
          <w:color w:val="auto"/>
          <w:sz w:val="24"/>
          <w:szCs w:val="24"/>
          <w:lang w:val="sq-AL"/>
        </w:rPr>
      </w:pPr>
      <w:r w:rsidRPr="0065598A">
        <w:rPr>
          <w:rFonts w:asciiTheme="minorHAnsi" w:hAnsiTheme="minorHAnsi"/>
          <w:b w:val="0"/>
          <w:bCs w:val="0"/>
          <w:i/>
          <w:color w:val="auto"/>
          <w:sz w:val="24"/>
          <w:szCs w:val="24"/>
          <w:lang w:val="sq-AL"/>
        </w:rPr>
        <w:t xml:space="preserve">Grafiku </w:t>
      </w:r>
      <w:r>
        <w:rPr>
          <w:rFonts w:asciiTheme="minorHAnsi" w:hAnsiTheme="minorHAnsi"/>
          <w:b w:val="0"/>
          <w:bCs w:val="0"/>
          <w:i/>
          <w:color w:val="auto"/>
          <w:sz w:val="24"/>
          <w:szCs w:val="24"/>
          <w:lang w:val="sq-AL"/>
        </w:rPr>
        <w:t>x</w:t>
      </w:r>
      <w:r w:rsidRPr="0065598A">
        <w:rPr>
          <w:rFonts w:asciiTheme="minorHAnsi" w:hAnsiTheme="minorHAnsi"/>
          <w:b w:val="0"/>
          <w:bCs w:val="0"/>
          <w:i/>
          <w:color w:val="auto"/>
          <w:sz w:val="24"/>
          <w:szCs w:val="24"/>
          <w:lang w:val="sq-AL"/>
        </w:rPr>
        <w:t xml:space="preserve">: Detajimi i Shpenzimeve Buxhetore (në milion LEK) </w:t>
      </w:r>
    </w:p>
    <w:p w:rsidR="001B65FA" w:rsidRPr="0065598A" w:rsidRDefault="001B65FA" w:rsidP="001B65FA">
      <w:pPr>
        <w:spacing w:line="276" w:lineRule="auto"/>
        <w:ind w:left="-450"/>
        <w:jc w:val="center"/>
        <w:rPr>
          <w:rFonts w:asciiTheme="minorHAnsi" w:eastAsia="SimSun" w:hAnsiTheme="minorHAnsi"/>
          <w:i/>
          <w:lang w:val="sq-AL"/>
        </w:rPr>
      </w:pPr>
      <w:r>
        <w:rPr>
          <w:rFonts w:asciiTheme="minorHAnsi" w:eastAsia="SimSun" w:hAnsiTheme="minorHAnsi"/>
          <w:i/>
          <w:noProof/>
        </w:rPr>
        <w:drawing>
          <wp:inline distT="0" distB="0" distL="0" distR="0" wp14:anchorId="219933E9" wp14:editId="0D692CC4">
            <wp:extent cx="5425840" cy="2659380"/>
            <wp:effectExtent l="38100" t="19050" r="41910" b="6477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68815" cy="2680444"/>
                    </a:xfrm>
                    <a:prstGeom prst="rect">
                      <a:avLst/>
                    </a:prstGeom>
                    <a:noFill/>
                    <a:effectLst>
                      <a:outerShdw blurRad="50800" dist="38100" dir="2700000" algn="tl" rotWithShape="0">
                        <a:prstClr val="black">
                          <a:alpha val="40000"/>
                        </a:prstClr>
                      </a:outerShdw>
                    </a:effectLst>
                  </pic:spPr>
                </pic:pic>
              </a:graphicData>
            </a:graphic>
          </wp:inline>
        </w:drawing>
      </w:r>
    </w:p>
    <w:p w:rsidR="001B65FA" w:rsidRPr="00553471"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lang w:val="sq-AL"/>
        </w:rPr>
        <w:t xml:space="preserve"> </w:t>
      </w:r>
      <w:r w:rsidR="006A740D">
        <w:rPr>
          <w:rFonts w:asciiTheme="minorHAnsi" w:eastAsia="SimSun" w:hAnsiTheme="minorHAnsi"/>
          <w:i/>
          <w:lang w:val="sq-AL"/>
        </w:rPr>
        <w:t xml:space="preserve">        </w:t>
      </w:r>
      <w:r>
        <w:rPr>
          <w:rFonts w:asciiTheme="minorHAnsi" w:eastAsia="SimSun" w:hAnsiTheme="minorHAnsi"/>
          <w:i/>
          <w:sz w:val="20"/>
          <w:lang w:val="sq-AL"/>
        </w:rPr>
        <w:t>Burimi: Ministria e Financave dhe Ekonomisë (2021)</w:t>
      </w:r>
    </w:p>
    <w:p w:rsidR="001B65FA" w:rsidRPr="003F7DB9" w:rsidRDefault="001B65FA" w:rsidP="001B65FA">
      <w:pPr>
        <w:spacing w:line="276" w:lineRule="auto"/>
        <w:jc w:val="both"/>
        <w:rPr>
          <w:rFonts w:asciiTheme="minorHAnsi" w:eastAsia="SimSun" w:hAnsiTheme="minorHAnsi"/>
          <w:lang w:val="sq-AL"/>
        </w:rPr>
      </w:pPr>
      <w:r w:rsidRPr="00553471">
        <w:rPr>
          <w:rFonts w:asciiTheme="minorHAnsi" w:eastAsia="SimSun" w:hAnsiTheme="minorHAnsi"/>
          <w:lang w:val="sq-AL"/>
        </w:rPr>
        <w:lastRenderedPageBreak/>
        <w:t>Sikurse evidentohet nga tabela e treguesve fiskal të konsoliduar, realizimi i shpenzimeve të përgjithshme për periudhën 5 mujore të vitit 2021 është 21</w:t>
      </w:r>
      <w:r>
        <w:rPr>
          <w:rFonts w:asciiTheme="minorHAnsi" w:eastAsia="SimSun" w:hAnsiTheme="minorHAnsi"/>
          <w:lang w:val="sq-AL"/>
        </w:rPr>
        <w:t>2</w:t>
      </w:r>
      <w:r w:rsidRPr="00553471">
        <w:rPr>
          <w:rFonts w:asciiTheme="minorHAnsi" w:eastAsia="SimSun" w:hAnsiTheme="minorHAnsi"/>
          <w:lang w:val="sq-AL"/>
        </w:rPr>
        <w:t>.</w:t>
      </w:r>
      <w:r>
        <w:rPr>
          <w:rFonts w:asciiTheme="minorHAnsi" w:eastAsia="SimSun" w:hAnsiTheme="minorHAnsi"/>
          <w:lang w:val="sq-AL"/>
        </w:rPr>
        <w:t>6</w:t>
      </w:r>
      <w:r w:rsidRPr="00553471">
        <w:rPr>
          <w:rFonts w:asciiTheme="minorHAnsi" w:eastAsia="SimSun" w:hAnsiTheme="minorHAnsi"/>
          <w:lang w:val="sq-AL"/>
        </w:rPr>
        <w:t xml:space="preserve"> miliard LEK ose 97</w:t>
      </w:r>
      <w:r>
        <w:rPr>
          <w:rFonts w:asciiTheme="minorHAnsi" w:eastAsia="SimSun" w:hAnsiTheme="minorHAnsi"/>
          <w:lang w:val="sq-AL"/>
        </w:rPr>
        <w:t>.1</w:t>
      </w:r>
      <w:r w:rsidRPr="00553471">
        <w:rPr>
          <w:rFonts w:asciiTheme="minorHAnsi" w:eastAsia="SimSun" w:hAnsiTheme="minorHAnsi"/>
          <w:lang w:val="sq-AL"/>
        </w:rPr>
        <w:t xml:space="preserve"> përqind kundrejt planit të periudhës. Kjo situatë është shoqëruar me një deficit buxhetor prej rreth 20.</w:t>
      </w:r>
      <w:r>
        <w:rPr>
          <w:rFonts w:asciiTheme="minorHAnsi" w:eastAsia="SimSun" w:hAnsiTheme="minorHAnsi"/>
          <w:lang w:val="sq-AL"/>
        </w:rPr>
        <w:t>67</w:t>
      </w:r>
      <w:r w:rsidRPr="00553471">
        <w:rPr>
          <w:rFonts w:asciiTheme="minorHAnsi" w:eastAsia="SimSun" w:hAnsiTheme="minorHAnsi"/>
          <w:lang w:val="sq-AL"/>
        </w:rPr>
        <w:t xml:space="preserve"> miliard LEK. Grafiku i mëposhtëm tregon tendencat e treguesve kryesorë të buxhetit të shtetit.</w:t>
      </w:r>
    </w:p>
    <w:p w:rsidR="001B65FA" w:rsidRPr="006A740D" w:rsidRDefault="001B65FA" w:rsidP="001B65FA">
      <w:pPr>
        <w:pStyle w:val="Caption"/>
        <w:keepNext/>
        <w:spacing w:before="240" w:after="0"/>
        <w:jc w:val="both"/>
        <w:rPr>
          <w:rFonts w:asciiTheme="minorHAnsi" w:hAnsiTheme="minorHAnsi"/>
          <w:b w:val="0"/>
          <w:bCs w:val="0"/>
          <w:i/>
          <w:color w:val="auto"/>
          <w:sz w:val="22"/>
          <w:szCs w:val="24"/>
          <w:lang w:val="sq-AL"/>
        </w:rPr>
      </w:pPr>
      <w:r w:rsidRPr="006A740D">
        <w:rPr>
          <w:rFonts w:asciiTheme="minorHAnsi" w:hAnsiTheme="minorHAnsi"/>
          <w:b w:val="0"/>
          <w:bCs w:val="0"/>
          <w:i/>
          <w:color w:val="auto"/>
          <w:sz w:val="22"/>
          <w:szCs w:val="24"/>
          <w:lang w:val="sq-AL"/>
        </w:rPr>
        <w:t>Grafiku x:Të ardhurat, shpenzimet dhe deficiti/suficiti - Plan vs Fakt 5 Mujori 2021 (në milion LEK)</w:t>
      </w:r>
    </w:p>
    <w:p w:rsidR="001B65FA" w:rsidRPr="0065598A" w:rsidRDefault="001B65FA" w:rsidP="001B65FA">
      <w:pPr>
        <w:spacing w:line="276" w:lineRule="auto"/>
        <w:jc w:val="center"/>
        <w:rPr>
          <w:rFonts w:asciiTheme="minorHAnsi" w:eastAsia="SimSun" w:hAnsiTheme="minorHAnsi"/>
          <w:i/>
          <w:lang w:val="sq-AL"/>
        </w:rPr>
      </w:pPr>
      <w:r>
        <w:rPr>
          <w:rFonts w:asciiTheme="minorHAnsi" w:eastAsia="SimSun" w:hAnsiTheme="minorHAnsi"/>
          <w:i/>
          <w:noProof/>
        </w:rPr>
        <w:drawing>
          <wp:inline distT="0" distB="0" distL="0" distR="0" wp14:anchorId="16E71ABF" wp14:editId="3AF9C610">
            <wp:extent cx="5340350" cy="2484120"/>
            <wp:effectExtent l="38100" t="38100" r="31750" b="4953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0350" cy="2484120"/>
                    </a:xfrm>
                    <a:prstGeom prst="rect">
                      <a:avLst/>
                    </a:prstGeom>
                    <a:noFill/>
                    <a:effectLst>
                      <a:outerShdw blurRad="50800" dist="38100" dir="2700000" algn="tl" rotWithShape="0">
                        <a:prstClr val="black">
                          <a:alpha val="40000"/>
                        </a:prstClr>
                      </a:outerShdw>
                    </a:effectLst>
                  </pic:spPr>
                </pic:pic>
              </a:graphicData>
            </a:graphic>
          </wp:inline>
        </w:drawing>
      </w:r>
    </w:p>
    <w:p w:rsidR="001B65FA" w:rsidRDefault="001B65FA" w:rsidP="001B65FA">
      <w:pPr>
        <w:spacing w:line="276" w:lineRule="auto"/>
        <w:rPr>
          <w:rFonts w:asciiTheme="minorHAnsi" w:eastAsia="SimSun" w:hAnsiTheme="minorHAnsi"/>
          <w:i/>
          <w:sz w:val="22"/>
          <w:lang w:val="sq-AL"/>
        </w:rPr>
      </w:pPr>
      <w:r w:rsidRPr="0065598A">
        <w:rPr>
          <w:rFonts w:asciiTheme="minorHAnsi" w:eastAsia="SimSun" w:hAnsiTheme="minorHAnsi"/>
          <w:i/>
          <w:lang w:val="sq-AL"/>
        </w:rPr>
        <w:t xml:space="preserve">    </w:t>
      </w:r>
      <w:r w:rsidRPr="0065598A">
        <w:rPr>
          <w:rFonts w:asciiTheme="minorHAnsi" w:eastAsia="SimSun" w:hAnsiTheme="minorHAnsi"/>
          <w:i/>
          <w:lang w:val="sq-AL"/>
        </w:rPr>
        <w:tab/>
        <w:t xml:space="preserve">     </w:t>
      </w:r>
      <w:r>
        <w:rPr>
          <w:rFonts w:asciiTheme="minorHAnsi" w:eastAsia="SimSun" w:hAnsiTheme="minorHAnsi"/>
          <w:i/>
          <w:sz w:val="20"/>
          <w:lang w:val="sq-AL"/>
        </w:rPr>
        <w:t>Burimi: Ministria e Financave dhe Ekonomisë (2021)</w:t>
      </w:r>
      <w:r w:rsidRPr="0065598A">
        <w:rPr>
          <w:rFonts w:asciiTheme="minorHAnsi" w:eastAsia="SimSun" w:hAnsiTheme="minorHAnsi"/>
          <w:i/>
          <w:sz w:val="22"/>
          <w:lang w:val="sq-AL"/>
        </w:rPr>
        <w:t xml:space="preserve"> </w:t>
      </w:r>
    </w:p>
    <w:p w:rsidR="00D57F4F" w:rsidRDefault="00D57F4F" w:rsidP="00637131">
      <w:pPr>
        <w:spacing w:line="276" w:lineRule="auto"/>
        <w:rPr>
          <w:rFonts w:asciiTheme="minorHAnsi" w:eastAsia="SimSun" w:hAnsiTheme="minorHAnsi"/>
          <w:i/>
          <w:sz w:val="22"/>
          <w:lang w:val="sq-AL"/>
        </w:rPr>
      </w:pPr>
    </w:p>
    <w:p w:rsidR="006A740D" w:rsidRDefault="006A740D" w:rsidP="00637131">
      <w:pPr>
        <w:spacing w:line="276" w:lineRule="auto"/>
        <w:rPr>
          <w:rFonts w:asciiTheme="minorHAnsi" w:eastAsia="SimSun" w:hAnsiTheme="minorHAnsi"/>
          <w:i/>
          <w:sz w:val="22"/>
          <w:lang w:val="sq-AL"/>
        </w:rPr>
      </w:pPr>
    </w:p>
    <w:p w:rsidR="006A740D" w:rsidRPr="0065598A" w:rsidRDefault="006A740D" w:rsidP="00637131">
      <w:pPr>
        <w:spacing w:line="276" w:lineRule="auto"/>
        <w:rPr>
          <w:rFonts w:asciiTheme="minorHAnsi" w:eastAsia="SimSun" w:hAnsiTheme="minorHAnsi"/>
          <w:i/>
          <w:sz w:val="22"/>
          <w:lang w:val="sq-AL"/>
        </w:rPr>
      </w:pPr>
    </w:p>
    <w:p w:rsidR="00C75D59" w:rsidRPr="0065598A" w:rsidRDefault="00E6481D" w:rsidP="002334F6">
      <w:pPr>
        <w:pStyle w:val="Heading2"/>
      </w:pPr>
      <w:bookmarkStart w:id="37" w:name="_Toc76470021"/>
      <w:r w:rsidRPr="0065598A">
        <w:t>III.2</w:t>
      </w:r>
      <w:r w:rsidRPr="0065598A">
        <w:tab/>
      </w:r>
      <w:r w:rsidR="0056643D" w:rsidRPr="0065598A">
        <w:t>Financat</w:t>
      </w:r>
      <w:r w:rsidR="000E14D0" w:rsidRPr="0065598A">
        <w:t xml:space="preserve"> Vendor</w:t>
      </w:r>
      <w:r w:rsidR="0056643D" w:rsidRPr="0065598A">
        <w:t xml:space="preserve">e </w:t>
      </w:r>
      <w:r w:rsidR="00A61AD8" w:rsidRPr="0065598A">
        <w:t>gjat</w:t>
      </w:r>
      <w:r w:rsidR="002D2B0D" w:rsidRPr="0065598A">
        <w:t>ë</w:t>
      </w:r>
      <w:r w:rsidR="00A61AD8" w:rsidRPr="0065598A">
        <w:t xml:space="preserve"> </w:t>
      </w:r>
      <w:r w:rsidRPr="0065598A">
        <w:t>janar-maj 20</w:t>
      </w:r>
      <w:r w:rsidR="00445151" w:rsidRPr="0065598A">
        <w:t>2</w:t>
      </w:r>
      <w:r w:rsidR="00326E44">
        <w:t>1</w:t>
      </w:r>
      <w:bookmarkEnd w:id="37"/>
      <w:r w:rsidR="00FD3DF0">
        <w:t xml:space="preserve"> </w:t>
      </w:r>
    </w:p>
    <w:p w:rsidR="00326E44" w:rsidRPr="00326E44" w:rsidRDefault="00326E44" w:rsidP="00326E44">
      <w:pPr>
        <w:spacing w:line="276" w:lineRule="auto"/>
        <w:jc w:val="both"/>
        <w:rPr>
          <w:rFonts w:asciiTheme="minorHAnsi" w:hAnsiTheme="minorHAnsi"/>
          <w:lang w:val="sq-AL"/>
        </w:rPr>
      </w:pPr>
      <w:r w:rsidRPr="00326E44">
        <w:rPr>
          <w:rFonts w:asciiTheme="minorHAnsi" w:hAnsiTheme="minorHAnsi"/>
          <w:lang w:val="sq-AL"/>
        </w:rPr>
        <w:t>Procesi i menaxhimit të financave publike në nivel vendor ka hyrë në një fazë të re konsolidimi nën regjimin e Ligjit nr.68 datë 27.04.2018 “</w:t>
      </w:r>
      <w:r w:rsidRPr="00326E44">
        <w:rPr>
          <w:rFonts w:asciiTheme="minorHAnsi" w:hAnsiTheme="minorHAnsi"/>
          <w:i/>
          <w:lang w:val="sq-AL"/>
        </w:rPr>
        <w:t>Për financat e vetëqverisjes vendore</w:t>
      </w:r>
      <w:r w:rsidRPr="00326E44">
        <w:rPr>
          <w:rFonts w:asciiTheme="minorHAnsi" w:hAnsiTheme="minorHAnsi"/>
          <w:lang w:val="sq-AL"/>
        </w:rPr>
        <w:t xml:space="preserve">”. Në këtë kuadër Ministria e Financave dhe Ekonomisë ndjek vazhdimisht treguesit e të ardhurave dhe shpenzimeve të buxhetit vendor me qëllim monitorimin dhe asistencën e njësive të vetëqeverisjes vendore për përmirësmin e këti procesi. Prandaj referuar të dhënave fiskale të Sistemit Informatik Financiar të Qeverisë është realizuar analiza e të adhurave dhe shpenzimeve të 5 mujorit 2021 në nivel kombëtar të buxhetit vendor. </w:t>
      </w:r>
    </w:p>
    <w:p w:rsidR="00326E44" w:rsidRPr="00326E44" w:rsidRDefault="00326E44" w:rsidP="00326E44">
      <w:pPr>
        <w:spacing w:line="276" w:lineRule="auto"/>
        <w:jc w:val="both"/>
        <w:rPr>
          <w:rFonts w:asciiTheme="minorHAnsi" w:hAnsiTheme="minorHAnsi"/>
          <w:lang w:val="sq-AL"/>
        </w:rPr>
      </w:pPr>
    </w:p>
    <w:p w:rsidR="00326E44" w:rsidRPr="00326E44" w:rsidRDefault="00326E44" w:rsidP="00326E44">
      <w:pPr>
        <w:spacing w:line="276" w:lineRule="auto"/>
        <w:jc w:val="both"/>
        <w:rPr>
          <w:rFonts w:asciiTheme="minorHAnsi" w:hAnsiTheme="minorHAnsi"/>
          <w:b/>
          <w:i/>
          <w:lang w:val="sq-AL"/>
        </w:rPr>
      </w:pPr>
      <w:r w:rsidRPr="00326E44">
        <w:rPr>
          <w:rFonts w:asciiTheme="minorHAnsi" w:hAnsiTheme="minorHAnsi"/>
          <w:b/>
          <w:i/>
          <w:lang w:val="sq-AL"/>
        </w:rPr>
        <w:t>Të ardhurat vendore</w:t>
      </w:r>
    </w:p>
    <w:p w:rsidR="00326E44" w:rsidRPr="00326E44" w:rsidRDefault="00326E44" w:rsidP="00326E44">
      <w:pPr>
        <w:spacing w:line="276" w:lineRule="auto"/>
        <w:jc w:val="both"/>
        <w:rPr>
          <w:rFonts w:asciiTheme="minorHAnsi" w:hAnsiTheme="minorHAnsi"/>
          <w:i/>
          <w:sz w:val="8"/>
          <w:szCs w:val="8"/>
          <w:lang w:val="sq-AL"/>
        </w:rPr>
      </w:pPr>
    </w:p>
    <w:p w:rsidR="00326E44" w:rsidRPr="00326E44" w:rsidRDefault="00326E44" w:rsidP="00326E44">
      <w:pPr>
        <w:spacing w:line="276" w:lineRule="auto"/>
        <w:jc w:val="both"/>
        <w:rPr>
          <w:rFonts w:asciiTheme="minorHAnsi" w:hAnsiTheme="minorHAnsi"/>
          <w:lang w:val="sq-AL"/>
        </w:rPr>
      </w:pPr>
      <w:r w:rsidRPr="00326E44">
        <w:rPr>
          <w:rFonts w:asciiTheme="minorHAnsi" w:hAnsiTheme="minorHAnsi"/>
          <w:lang w:val="sq-AL"/>
        </w:rPr>
        <w:t xml:space="preserve">Për 5 mujorin e vitit 2021, njësitë e vetëqeverisjes vendore në shkallë kombëtare kanë mbledhur të ardhura në masën 10,961 milionë lekë, shifër kjo që është rreth 4.35 miliard lekë më shumë ose rreth 57 përqind më e lartë se vlera e të ardhurave të mbledhura gjatë të njëjtës periudhë të vitit 2020. Edhe në raport me planin e periudhës shikojmë që ka një realizim më të lartë të të ardhurave të pushtetit vendor dhe ky realizim është mbi 1.8 miliard lekë ose 20.4% më i lartë se plani i miratuar për 5 mujorin 2021. Këto efekte pozitive në të ardhurat vendore për 5 mujorin e parë të vitit 2021 tregojnë se buxheti vendor është në rimëkëmbje pas ngjarjeve të jashtëzakonshme që prekën vendin tonë në fund të vitit 2019 (tërmeti i 26 nëntorit) si dhe gjendja e pandemisë botërore COVID-19 e shfaqur që në tremujorin e parë të vitit 2020. </w:t>
      </w:r>
    </w:p>
    <w:p w:rsidR="00326E44" w:rsidRPr="00326E44" w:rsidRDefault="00326E44" w:rsidP="00326E44">
      <w:pPr>
        <w:spacing w:line="276" w:lineRule="auto"/>
        <w:jc w:val="both"/>
        <w:rPr>
          <w:rFonts w:asciiTheme="minorHAnsi" w:hAnsiTheme="minorHAnsi"/>
          <w:sz w:val="8"/>
          <w:szCs w:val="8"/>
          <w:lang w:val="sq-AL"/>
        </w:rPr>
      </w:pPr>
    </w:p>
    <w:p w:rsidR="006A740D" w:rsidRDefault="006A740D" w:rsidP="00326E44">
      <w:pPr>
        <w:pStyle w:val="Caption"/>
        <w:rPr>
          <w:rFonts w:asciiTheme="minorHAnsi" w:hAnsiTheme="minorHAnsi"/>
          <w:b w:val="0"/>
          <w:bCs w:val="0"/>
          <w:i/>
          <w:noProof/>
          <w:color w:val="auto"/>
          <w:sz w:val="24"/>
          <w:szCs w:val="24"/>
          <w:lang w:val="sq-AL"/>
        </w:rPr>
      </w:pPr>
    </w:p>
    <w:p w:rsidR="00326E44" w:rsidRPr="006A740D" w:rsidRDefault="00326E44" w:rsidP="00326E44">
      <w:pPr>
        <w:pStyle w:val="Caption"/>
        <w:rPr>
          <w:rFonts w:asciiTheme="minorHAnsi" w:hAnsiTheme="minorHAnsi"/>
          <w:b w:val="0"/>
          <w:bCs w:val="0"/>
          <w:i/>
          <w:noProof/>
          <w:color w:val="auto"/>
          <w:sz w:val="22"/>
          <w:szCs w:val="24"/>
          <w:lang w:val="sq-AL"/>
        </w:rPr>
      </w:pPr>
      <w:r w:rsidRPr="006A740D">
        <w:rPr>
          <w:rFonts w:asciiTheme="minorHAnsi" w:hAnsiTheme="minorHAnsi"/>
          <w:b w:val="0"/>
          <w:bCs w:val="0"/>
          <w:i/>
          <w:noProof/>
          <w:color w:val="auto"/>
          <w:sz w:val="22"/>
          <w:szCs w:val="24"/>
          <w:lang w:val="sq-AL"/>
        </w:rPr>
        <w:lastRenderedPageBreak/>
        <w:t>Grafiku x Të ardhurat sipas burimit për njësitë vendore</w:t>
      </w:r>
    </w:p>
    <w:p w:rsidR="00326E44" w:rsidRPr="00326E44" w:rsidRDefault="00326E44" w:rsidP="00326E44">
      <w:pPr>
        <w:jc w:val="center"/>
        <w:rPr>
          <w:lang w:val="sq-AL"/>
        </w:rPr>
      </w:pPr>
      <w:r w:rsidRPr="00326E44">
        <w:rPr>
          <w:noProof/>
        </w:rPr>
        <w:drawing>
          <wp:inline distT="0" distB="0" distL="0" distR="0" wp14:anchorId="1B3021E4" wp14:editId="2090E5A5">
            <wp:extent cx="6086475" cy="2179320"/>
            <wp:effectExtent l="0" t="0" r="9525" b="1143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326E44" w:rsidRPr="00326E44" w:rsidRDefault="00326E44" w:rsidP="00326E44">
      <w:pPr>
        <w:spacing w:line="276" w:lineRule="auto"/>
        <w:rPr>
          <w:rFonts w:asciiTheme="minorHAnsi" w:hAnsiTheme="minorHAnsi"/>
          <w:i/>
          <w:noProof/>
          <w:sz w:val="20"/>
          <w:lang w:eastAsia="sq-AL"/>
        </w:rPr>
      </w:pPr>
      <w:r w:rsidRPr="00326E44">
        <w:rPr>
          <w:rFonts w:asciiTheme="minorHAnsi" w:hAnsiTheme="minorHAnsi"/>
          <w:i/>
          <w:noProof/>
          <w:sz w:val="20"/>
          <w:lang w:eastAsia="sq-AL"/>
        </w:rPr>
        <w:t>Burimi: Drejtoria e Financave Vendore, Ministria e Financave dhe Ekonomisë (2021);</w:t>
      </w:r>
    </w:p>
    <w:p w:rsidR="00326E44" w:rsidRPr="00326E44" w:rsidRDefault="00326E44" w:rsidP="00326E44">
      <w:pPr>
        <w:spacing w:line="276" w:lineRule="auto"/>
        <w:jc w:val="both"/>
        <w:rPr>
          <w:rFonts w:asciiTheme="minorHAnsi" w:hAnsiTheme="minorHAnsi"/>
        </w:rPr>
      </w:pPr>
    </w:p>
    <w:p w:rsidR="00326E44" w:rsidRPr="00326E44" w:rsidRDefault="00326E44" w:rsidP="00326E44">
      <w:pPr>
        <w:spacing w:line="276" w:lineRule="auto"/>
        <w:jc w:val="both"/>
        <w:rPr>
          <w:rFonts w:asciiTheme="minorHAnsi" w:hAnsiTheme="minorHAnsi"/>
        </w:rPr>
      </w:pPr>
      <w:r w:rsidRPr="00326E44">
        <w:rPr>
          <w:rFonts w:asciiTheme="minorHAnsi" w:hAnsiTheme="minorHAnsi"/>
          <w:lang w:val="sq-AL"/>
        </w:rPr>
        <w:t xml:space="preserve">Ndër vite të ardhurat e pushtetit vendor kanë pësuar ndryshime si në vlerë ashtu edhe në strukturën e burimit të këtyre të ardhurave. Të ardhurat që sigurojnë njësitë e vetëqeverisjes vendore për 5 mujorin e parë të vitit nga </w:t>
      </w:r>
      <w:r w:rsidRPr="00326E44">
        <w:rPr>
          <w:rFonts w:asciiTheme="minorHAnsi" w:hAnsiTheme="minorHAnsi"/>
          <w:i/>
          <w:lang w:val="sq-AL"/>
        </w:rPr>
        <w:t>taksat lokale</w:t>
      </w:r>
      <w:r w:rsidRPr="00326E44">
        <w:rPr>
          <w:rFonts w:asciiTheme="minorHAnsi" w:hAnsiTheme="minorHAnsi"/>
        </w:rPr>
        <w:t xml:space="preserve">, janë ato që zënë pjesën më të madhe ose 72% për vitin 2021 të shumës totale të këtyre të ardhurave. Nga ana tjetër, nga realizimi faktik i 5 mujorit të parë të vitit 2021, rezulton se nga </w:t>
      </w:r>
      <w:r w:rsidRPr="00326E44">
        <w:rPr>
          <w:rFonts w:asciiTheme="minorHAnsi" w:hAnsiTheme="minorHAnsi"/>
          <w:i/>
        </w:rPr>
        <w:t>taksa e biznesit të vogël</w:t>
      </w:r>
      <w:r w:rsidRPr="00326E44">
        <w:rPr>
          <w:rFonts w:asciiTheme="minorHAnsi" w:hAnsiTheme="minorHAnsi"/>
        </w:rPr>
        <w:t xml:space="preserve"> janë mbledhur 278 milion lekë dhe nga </w:t>
      </w:r>
      <w:r w:rsidRPr="00326E44">
        <w:rPr>
          <w:rFonts w:asciiTheme="minorHAnsi" w:hAnsiTheme="minorHAnsi"/>
          <w:i/>
        </w:rPr>
        <w:t>taksa e pasurisë</w:t>
      </w:r>
      <w:r w:rsidRPr="00326E44">
        <w:rPr>
          <w:rFonts w:asciiTheme="minorHAnsi" w:hAnsiTheme="minorHAnsi"/>
        </w:rPr>
        <w:t xml:space="preserve"> (ndërtesa, trualli, toka bujqësore) janë mbledhur 2.78 miliard lekë apo rreth 25.5%.</w:t>
      </w:r>
    </w:p>
    <w:p w:rsidR="00326E44" w:rsidRPr="00326E44" w:rsidRDefault="00326E44" w:rsidP="00326E44">
      <w:pPr>
        <w:spacing w:before="240" w:line="276" w:lineRule="auto"/>
        <w:jc w:val="both"/>
        <w:rPr>
          <w:rFonts w:asciiTheme="minorHAnsi" w:hAnsiTheme="minorHAnsi"/>
        </w:rPr>
      </w:pPr>
      <w:r w:rsidRPr="00326E44">
        <w:rPr>
          <w:rFonts w:asciiTheme="minorHAnsi" w:hAnsiTheme="minorHAnsi"/>
        </w:rPr>
        <w:t>Parë në këtë këndvështrim, rënia e efektshërisë së mbledhjes së taksave nga pushteti vendor, ka ardhur si pasojë e kushteve të krijuara nga pandemia. Duke mbajtur parasysh se viti 2020 u konsiderua një vit përjashtimor, në vitin 2021 vërejmë një përmirësim në mbledhjen e taksave e trarifave vendore me rreth 4.35 miliard lekë më shumë në total se e njëjta periudhë e një viti më parë, ku duke ju referuar treguesve të detajuar të të ardhurave vendore, rritja në raport me një vit më parë është rreth 98% tek taksa mbi pasurinë dhe rreth 50% në zërin e taksave lokale.</w:t>
      </w:r>
    </w:p>
    <w:p w:rsidR="00326E44" w:rsidRPr="006A740D" w:rsidRDefault="00326E44" w:rsidP="00326E44">
      <w:pPr>
        <w:pStyle w:val="Caption"/>
        <w:keepNext/>
        <w:spacing w:before="240" w:after="0"/>
        <w:jc w:val="both"/>
        <w:rPr>
          <w:rFonts w:asciiTheme="minorHAnsi" w:hAnsiTheme="minorHAnsi"/>
          <w:b w:val="0"/>
          <w:bCs w:val="0"/>
          <w:i/>
          <w:color w:val="auto"/>
          <w:sz w:val="22"/>
          <w:szCs w:val="24"/>
          <w:lang w:val="sq-AL"/>
        </w:rPr>
      </w:pPr>
      <w:r w:rsidRPr="006A740D">
        <w:rPr>
          <w:rFonts w:asciiTheme="minorHAnsi" w:hAnsiTheme="minorHAnsi"/>
          <w:b w:val="0"/>
          <w:bCs w:val="0"/>
          <w:i/>
          <w:color w:val="auto"/>
          <w:sz w:val="22"/>
          <w:szCs w:val="24"/>
          <w:lang w:val="sq-AL"/>
        </w:rPr>
        <w:t>Grafiku 27: Të ardhurat e përgjithshme të pushtetit e pushtetit vendor</w:t>
      </w:r>
    </w:p>
    <w:p w:rsidR="00326E44" w:rsidRPr="00326E44" w:rsidRDefault="00326E44" w:rsidP="00326E44">
      <w:pPr>
        <w:jc w:val="center"/>
      </w:pPr>
      <w:r w:rsidRPr="00326E44">
        <w:rPr>
          <w:noProof/>
        </w:rPr>
        <w:drawing>
          <wp:inline distT="0" distB="0" distL="0" distR="0" wp14:anchorId="71C6BF28" wp14:editId="70A06806">
            <wp:extent cx="6134100" cy="2499360"/>
            <wp:effectExtent l="0" t="0" r="0" b="1524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326E44" w:rsidRPr="00326E44" w:rsidRDefault="00326E44" w:rsidP="00326E44">
      <w:pPr>
        <w:spacing w:line="276" w:lineRule="auto"/>
        <w:rPr>
          <w:rFonts w:asciiTheme="minorHAnsi" w:hAnsiTheme="minorHAnsi"/>
          <w:i/>
          <w:sz w:val="20"/>
          <w:szCs w:val="20"/>
        </w:rPr>
      </w:pPr>
      <w:r w:rsidRPr="00326E44">
        <w:rPr>
          <w:rFonts w:asciiTheme="minorHAnsi" w:hAnsiTheme="minorHAnsi"/>
          <w:i/>
          <w:sz w:val="20"/>
          <w:szCs w:val="20"/>
        </w:rPr>
        <w:t>Burimi: Drejtoria e Financave Vendore, Ministria e Financave dhe Ekonomisë (2021)</w:t>
      </w:r>
    </w:p>
    <w:p w:rsidR="00326E44" w:rsidRPr="00326E44" w:rsidRDefault="00326E44" w:rsidP="00326E44">
      <w:pPr>
        <w:spacing w:line="276" w:lineRule="auto"/>
        <w:rPr>
          <w:rFonts w:asciiTheme="minorHAnsi" w:hAnsiTheme="minorHAnsi"/>
          <w:sz w:val="8"/>
        </w:rPr>
      </w:pPr>
    </w:p>
    <w:p w:rsidR="006A740D" w:rsidRDefault="006A740D" w:rsidP="00326E44">
      <w:pPr>
        <w:spacing w:before="120" w:after="120" w:line="276" w:lineRule="auto"/>
        <w:jc w:val="both"/>
        <w:rPr>
          <w:rFonts w:asciiTheme="minorHAnsi" w:hAnsiTheme="minorHAnsi"/>
          <w:lang w:val="sq-AL"/>
        </w:rPr>
      </w:pPr>
    </w:p>
    <w:p w:rsidR="000E55F7" w:rsidRDefault="000E55F7" w:rsidP="00326E44">
      <w:pPr>
        <w:spacing w:before="120" w:after="120" w:line="276" w:lineRule="auto"/>
        <w:jc w:val="both"/>
        <w:rPr>
          <w:rFonts w:asciiTheme="minorHAnsi" w:hAnsiTheme="minorHAnsi"/>
          <w:lang w:val="sq-AL"/>
        </w:rPr>
      </w:pP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lang w:val="sq-AL"/>
        </w:rPr>
        <w:lastRenderedPageBreak/>
        <w:t>Duke marrë në analizë të ardhurat e NJVQV-ve sipas burimit konstatohet sa më poshtë vijon:</w:t>
      </w:r>
    </w:p>
    <w:p w:rsidR="00326E44" w:rsidRPr="00326E44" w:rsidRDefault="00326E44" w:rsidP="00326E44">
      <w:pPr>
        <w:spacing w:before="120" w:after="120" w:line="276" w:lineRule="auto"/>
        <w:jc w:val="both"/>
        <w:rPr>
          <w:rFonts w:asciiTheme="minorHAnsi" w:hAnsiTheme="minorHAnsi"/>
          <w:i/>
          <w:u w:val="single"/>
          <w:lang w:val="sq-AL"/>
        </w:rPr>
      </w:pPr>
      <w:r w:rsidRPr="00326E44">
        <w:rPr>
          <w:rFonts w:asciiTheme="minorHAnsi" w:hAnsiTheme="minorHAnsi"/>
          <w:i/>
          <w:u w:val="single"/>
          <w:lang w:val="sq-AL"/>
        </w:rPr>
        <w:t xml:space="preserve">Taksa mbi pasurinë </w:t>
      </w:r>
    </w:p>
    <w:p w:rsidR="00326E44" w:rsidRPr="00326E44" w:rsidRDefault="00326E44" w:rsidP="00326E44">
      <w:pPr>
        <w:spacing w:before="120" w:line="276" w:lineRule="auto"/>
        <w:jc w:val="both"/>
        <w:rPr>
          <w:rFonts w:asciiTheme="minorHAnsi" w:hAnsiTheme="minorHAnsi"/>
          <w:lang w:val="sq-AL"/>
        </w:rPr>
      </w:pPr>
      <w:r w:rsidRPr="00326E44">
        <w:rPr>
          <w:rFonts w:asciiTheme="minorHAnsi" w:hAnsiTheme="minorHAnsi"/>
          <w:lang w:val="sq-AL"/>
        </w:rPr>
        <w:t>Taksa mbi pasurinë, është një burim mjaft i rëndësishëm vendor përmes së cilës njësitë e vetëqeverisjes vendore mund të zhvillojnë politika vendore nën diskrecionin e plotë të përdorimit. Vitet e fundit në politikat qeveritare, hartimi i metodologjisë së vendosjes së kësaj takse në bazë vlere por dhe ndërtimi i një kadastre të detajuar mbi pronën, përbëjnë thelbin e reformës mbi këtë burim financimi të njësive të vetëqeverisjes vendore. Duke ju referuar të dhënave të treguesve fiskalë, nëse marrim në analizë 5 mujorin në vite do të kemi rezultatet si në grafikun  e mëposhtëm:</w:t>
      </w:r>
    </w:p>
    <w:p w:rsidR="00326E44" w:rsidRPr="00326E44" w:rsidRDefault="00326E44" w:rsidP="00326E44">
      <w:pPr>
        <w:spacing w:before="120" w:line="276" w:lineRule="auto"/>
        <w:jc w:val="both"/>
        <w:rPr>
          <w:rFonts w:asciiTheme="minorHAnsi" w:hAnsiTheme="minorHAnsi"/>
          <w:i/>
          <w:lang w:val="sq-AL"/>
        </w:rPr>
      </w:pPr>
      <w:r w:rsidRPr="00326E44">
        <w:rPr>
          <w:rFonts w:asciiTheme="minorHAnsi" w:hAnsiTheme="minorHAnsi"/>
          <w:i/>
          <w:lang w:val="sq-AL"/>
        </w:rPr>
        <w:t>Grafiku x: Të ardhurat nga taksa mbi pasurinë</w:t>
      </w:r>
    </w:p>
    <w:p w:rsidR="00326E44" w:rsidRPr="00326E44" w:rsidRDefault="00326E44" w:rsidP="00326E44">
      <w:pPr>
        <w:spacing w:before="120" w:line="276" w:lineRule="auto"/>
        <w:jc w:val="center"/>
        <w:rPr>
          <w:rFonts w:asciiTheme="minorHAnsi" w:hAnsiTheme="minorHAnsi"/>
          <w:i/>
          <w:lang w:val="sq-AL"/>
        </w:rPr>
      </w:pPr>
      <w:r w:rsidRPr="00326E44">
        <w:rPr>
          <w:noProof/>
        </w:rPr>
        <w:drawing>
          <wp:inline distT="0" distB="0" distL="0" distR="0" wp14:anchorId="54C3B02E" wp14:editId="724AB43E">
            <wp:extent cx="6134100" cy="1828800"/>
            <wp:effectExtent l="0" t="0" r="0" b="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26E44" w:rsidRPr="00326E44" w:rsidRDefault="00326E44" w:rsidP="00326E44">
      <w:pPr>
        <w:spacing w:after="120" w:line="276" w:lineRule="auto"/>
        <w:rPr>
          <w:rFonts w:asciiTheme="minorHAnsi" w:hAnsiTheme="minorHAnsi"/>
          <w:i/>
          <w:sz w:val="20"/>
          <w:szCs w:val="20"/>
          <w:lang w:val="sq-AL"/>
        </w:rPr>
      </w:pPr>
      <w:r w:rsidRPr="00326E44">
        <w:rPr>
          <w:rFonts w:asciiTheme="minorHAnsi" w:hAnsiTheme="minorHAnsi"/>
          <w:i/>
          <w:sz w:val="20"/>
          <w:szCs w:val="20"/>
          <w:lang w:val="sq-AL"/>
        </w:rPr>
        <w:t>Burimi: Drejtoria e Financave Vendore, Ministria e Financave dhe Ekonomisë (2021)</w:t>
      </w: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lang w:val="sq-AL"/>
        </w:rPr>
        <w:t xml:space="preserve">Duke analizuar në raport me një vit më parë, nga taksa mbi pasurinë janë siguruar rreth 1.38 miliard lekë më shumë të ardhura. Në total për 5 mujorin e vitit 2021 nga taksa mbi pasurinë pushteti vendor ka siguruar rreth 2.8 miliard lekë, duke shënuar një rritje me 98% në raport me një vit më parë të të ardhurave të kësaj takse, duke shënuar kështu rikuperimin për një periudhë një vjeçare të problematikës së krijuar një vit më parë si pasojë e ngjarjes së jashtëzakonshme të krijuar nga pandemia. </w:t>
      </w:r>
    </w:p>
    <w:p w:rsidR="00326E44" w:rsidRPr="00326E44" w:rsidRDefault="00326E44" w:rsidP="00326E44">
      <w:pPr>
        <w:spacing w:before="120" w:after="120" w:line="276" w:lineRule="auto"/>
        <w:jc w:val="both"/>
        <w:rPr>
          <w:rFonts w:asciiTheme="minorHAnsi" w:hAnsiTheme="minorHAnsi"/>
          <w:i/>
          <w:u w:val="single"/>
          <w:lang w:val="sq-AL"/>
        </w:rPr>
      </w:pPr>
      <w:r w:rsidRPr="00326E44">
        <w:rPr>
          <w:rFonts w:asciiTheme="minorHAnsi" w:hAnsiTheme="minorHAnsi"/>
          <w:i/>
          <w:u w:val="single"/>
          <w:lang w:val="sq-AL"/>
        </w:rPr>
        <w:t>Taksa e Biznesit të vogël</w:t>
      </w: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lang w:val="sq-AL"/>
        </w:rPr>
        <w:t>Tatimi mbi biznesin e vogël në vite si pasojë e ndryshimeve fiskale, ka patur një rënie në peshën që zë në buxhetin vendor. Në këto kushte mund të evidentohet lehtësisht në grafikun e mëposhtëm ndryshimi në vite i këtij burimi:</w:t>
      </w:r>
    </w:p>
    <w:p w:rsidR="00326E44" w:rsidRPr="006A740D" w:rsidRDefault="00326E44" w:rsidP="00326E44">
      <w:pPr>
        <w:spacing w:before="120" w:line="276" w:lineRule="auto"/>
        <w:jc w:val="both"/>
        <w:rPr>
          <w:rFonts w:asciiTheme="minorHAnsi" w:hAnsiTheme="minorHAnsi"/>
          <w:i/>
          <w:sz w:val="22"/>
          <w:lang w:val="sq-AL"/>
        </w:rPr>
      </w:pPr>
      <w:r w:rsidRPr="006A740D">
        <w:rPr>
          <w:rFonts w:asciiTheme="minorHAnsi" w:hAnsiTheme="minorHAnsi"/>
          <w:i/>
          <w:sz w:val="22"/>
          <w:lang w:val="sq-AL"/>
        </w:rPr>
        <w:t>Grafiku x: Të ardhurat e përgjithshme të pushtetit e pushtetit vendor</w:t>
      </w:r>
    </w:p>
    <w:p w:rsidR="00326E44" w:rsidRPr="00326E44" w:rsidRDefault="00326E44" w:rsidP="00326E44">
      <w:pPr>
        <w:spacing w:before="120" w:line="276" w:lineRule="auto"/>
        <w:jc w:val="center"/>
        <w:rPr>
          <w:rFonts w:asciiTheme="minorHAnsi" w:hAnsiTheme="minorHAnsi"/>
          <w:i/>
          <w:lang w:val="sq-AL"/>
        </w:rPr>
      </w:pPr>
      <w:r w:rsidRPr="00326E44">
        <w:rPr>
          <w:noProof/>
        </w:rPr>
        <w:drawing>
          <wp:inline distT="0" distB="0" distL="0" distR="0" wp14:anchorId="36F19F11" wp14:editId="6E70226B">
            <wp:extent cx="6115050" cy="1790700"/>
            <wp:effectExtent l="0" t="0" r="0" b="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26E44" w:rsidRPr="00326E44" w:rsidRDefault="00326E44" w:rsidP="00326E44">
      <w:pPr>
        <w:spacing w:line="276" w:lineRule="auto"/>
        <w:rPr>
          <w:rFonts w:asciiTheme="minorHAnsi" w:hAnsiTheme="minorHAnsi"/>
          <w:i/>
          <w:sz w:val="20"/>
          <w:szCs w:val="20"/>
          <w:lang w:val="sq-AL"/>
        </w:rPr>
      </w:pPr>
      <w:r w:rsidRPr="00326E44">
        <w:rPr>
          <w:rFonts w:asciiTheme="minorHAnsi" w:hAnsiTheme="minorHAnsi"/>
          <w:i/>
          <w:sz w:val="20"/>
          <w:szCs w:val="20"/>
          <w:lang w:val="sq-AL"/>
        </w:rPr>
        <w:t>Burimi: Drejtoria e Financave Vendore, Ministria e Financave dhe Ekonomisë (2021)</w:t>
      </w:r>
    </w:p>
    <w:p w:rsidR="00326E44" w:rsidRPr="00326E44" w:rsidRDefault="00326E44" w:rsidP="00326E44">
      <w:pPr>
        <w:spacing w:line="276" w:lineRule="auto"/>
        <w:jc w:val="both"/>
        <w:rPr>
          <w:rFonts w:asciiTheme="minorHAnsi" w:hAnsiTheme="minorHAnsi"/>
          <w:sz w:val="8"/>
          <w:lang w:val="sq-AL"/>
        </w:rPr>
      </w:pP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lang w:val="sq-AL"/>
        </w:rPr>
        <w:lastRenderedPageBreak/>
        <w:t>Duke analizuar trendin e ndryshimit, në krahasim me 5 mujorin e vitit 2020, gjatë vitit 2021 nga kjo taksë janë siguruar rreth 278 milion lekë ose 9% më pak. Ky burim zë vetëm 2.5 % të të ardhurave vendore dhe  ka pësuar një ulje me rreth 28 milion lekë krahasuar me një vit më parë.</w:t>
      </w:r>
    </w:p>
    <w:p w:rsidR="00326E44" w:rsidRPr="00326E44" w:rsidRDefault="00326E44" w:rsidP="00326E44">
      <w:pPr>
        <w:spacing w:before="120" w:after="120" w:line="276" w:lineRule="auto"/>
        <w:jc w:val="both"/>
        <w:rPr>
          <w:rFonts w:asciiTheme="minorHAnsi" w:hAnsiTheme="minorHAnsi"/>
          <w:i/>
          <w:u w:val="single"/>
          <w:lang w:val="sq-AL"/>
        </w:rPr>
      </w:pPr>
      <w:r w:rsidRPr="00326E44">
        <w:rPr>
          <w:rFonts w:asciiTheme="minorHAnsi" w:hAnsiTheme="minorHAnsi"/>
          <w:i/>
          <w:u w:val="single"/>
          <w:lang w:val="sq-AL"/>
        </w:rPr>
        <w:t>Taksat Lokale</w:t>
      </w: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lang w:val="sq-AL"/>
        </w:rPr>
        <w:t>Njësitë e vetëqeverisjes vendore gjithmonë e më shumë po konsolidohen në këndvështimin financiar dhe këtë e dëshmon rritja e të ardhurave nga taksa lokale, si një ndër burimet më të rëndësishme të financimit. Në total për vitin 2021, të ardhurat nga taksat lokale zënë rreth 72% të të ardhurave të veta vendore, tregues ky i cili reflektohet si në grafikun e mëposhtëm:</w:t>
      </w:r>
    </w:p>
    <w:p w:rsidR="00326E44" w:rsidRPr="00326E44" w:rsidRDefault="00326E44" w:rsidP="00326E44">
      <w:pPr>
        <w:pStyle w:val="Caption"/>
        <w:rPr>
          <w:rFonts w:asciiTheme="minorHAnsi" w:hAnsiTheme="minorHAnsi"/>
          <w:b w:val="0"/>
          <w:bCs w:val="0"/>
          <w:i/>
          <w:color w:val="auto"/>
          <w:sz w:val="24"/>
          <w:szCs w:val="24"/>
          <w:lang w:val="sq-AL"/>
        </w:rPr>
      </w:pPr>
      <w:r w:rsidRPr="00326E44">
        <w:rPr>
          <w:rFonts w:asciiTheme="minorHAnsi" w:hAnsiTheme="minorHAnsi"/>
          <w:b w:val="0"/>
          <w:bCs w:val="0"/>
          <w:i/>
          <w:color w:val="auto"/>
          <w:sz w:val="24"/>
          <w:szCs w:val="24"/>
          <w:lang w:val="sq-AL"/>
        </w:rPr>
        <w:t>Grafiku x: Të ardhurat e përgjithshme të pushtetit e pushtetit vendor</w:t>
      </w:r>
    </w:p>
    <w:p w:rsidR="00326E44" w:rsidRPr="00326E44" w:rsidRDefault="00326E44" w:rsidP="00326E44">
      <w:pPr>
        <w:jc w:val="center"/>
        <w:rPr>
          <w:lang w:val="sq-AL"/>
        </w:rPr>
      </w:pPr>
      <w:r w:rsidRPr="00326E44">
        <w:rPr>
          <w:noProof/>
        </w:rPr>
        <w:drawing>
          <wp:inline distT="0" distB="0" distL="0" distR="0" wp14:anchorId="5EE55B81" wp14:editId="1FF44ECA">
            <wp:extent cx="6334125" cy="1844040"/>
            <wp:effectExtent l="0" t="0" r="9525" b="381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26E44" w:rsidRPr="00326E44" w:rsidRDefault="00326E44" w:rsidP="00326E44">
      <w:pPr>
        <w:spacing w:after="120" w:line="276" w:lineRule="auto"/>
        <w:rPr>
          <w:rFonts w:asciiTheme="minorHAnsi" w:hAnsiTheme="minorHAnsi"/>
          <w:i/>
          <w:sz w:val="20"/>
          <w:szCs w:val="20"/>
          <w:lang w:val="sq-AL"/>
        </w:rPr>
      </w:pPr>
      <w:r w:rsidRPr="00326E44">
        <w:rPr>
          <w:rFonts w:asciiTheme="minorHAnsi" w:hAnsiTheme="minorHAnsi"/>
          <w:i/>
          <w:sz w:val="20"/>
          <w:szCs w:val="20"/>
          <w:lang w:val="sq-AL"/>
        </w:rPr>
        <w:t>Burimi: Drejtoria e Financave Vendore, Ministria e Financave dhe Ekonomisë (2021)</w:t>
      </w:r>
    </w:p>
    <w:p w:rsidR="00326E44" w:rsidRPr="00326E44" w:rsidRDefault="00326E44" w:rsidP="001A584B">
      <w:pPr>
        <w:spacing w:before="240" w:line="276" w:lineRule="auto"/>
        <w:jc w:val="both"/>
        <w:rPr>
          <w:rFonts w:asciiTheme="minorHAnsi" w:hAnsiTheme="minorHAnsi"/>
          <w:lang w:val="sq-AL"/>
        </w:rPr>
      </w:pPr>
      <w:r w:rsidRPr="00326E44">
        <w:rPr>
          <w:rFonts w:asciiTheme="minorHAnsi" w:hAnsiTheme="minorHAnsi"/>
          <w:lang w:val="sq-AL"/>
        </w:rPr>
        <w:t xml:space="preserve">Të ardhurat nga taksat lokale në 5 mujorin e parë të vitit 2021 kanë arritur në rreth 7.89 miliard lekë, ose rreth 2.6 miliard lekë më shumë se e njëjta periudhë e një viti më parë. Kjo rritje me rreth 50% tregon rimëkëmbjen e situatës ekonomike pas vështirësive të krijuara nga situata e pandemisë dhe gjithashtu rolin e rëndësishëm që kanë patur njësitë e vetëqeverisjes vendore në përballimin me sukses të situatës. </w:t>
      </w:r>
    </w:p>
    <w:p w:rsidR="00326E44" w:rsidRDefault="00326E44" w:rsidP="001A584B">
      <w:pPr>
        <w:spacing w:before="240" w:line="276" w:lineRule="auto"/>
        <w:jc w:val="both"/>
        <w:rPr>
          <w:rFonts w:asciiTheme="minorHAnsi" w:hAnsiTheme="minorHAnsi"/>
          <w:lang w:val="sq-AL"/>
        </w:rPr>
      </w:pPr>
      <w:r w:rsidRPr="00326E44">
        <w:rPr>
          <w:rFonts w:asciiTheme="minorHAnsi" w:hAnsiTheme="minorHAnsi"/>
          <w:lang w:val="sq-AL"/>
        </w:rPr>
        <w:t>Vazhdimisht nga Ministria e Financave dhe Ekonomisë është vënë theksi jo vetëm në mënyrën e përdorimit të fondeve publike por edhe në rëndësinë që ka rritja e të ardhurave të veta vendore në zhvillimin cilësor të shërbimeve që ofron pushteti vendor për qytetarët. Njësitë e vetëqeverisjes vendore synojnë rikuperimin e gjendjes financiare brenda një periudhe afatmesme me qëllim rikthimin e trendit normal të të ardhurave nga burimet e veta vendore, gjë që reflektohet edhe në të dhënat e mësipërme.</w:t>
      </w:r>
    </w:p>
    <w:p w:rsidR="00326E44" w:rsidRPr="00326E44" w:rsidRDefault="00326E44" w:rsidP="00326E44">
      <w:pPr>
        <w:spacing w:line="276" w:lineRule="auto"/>
        <w:jc w:val="both"/>
        <w:rPr>
          <w:rFonts w:asciiTheme="minorHAnsi" w:hAnsiTheme="minorHAnsi"/>
          <w:lang w:val="sq-AL"/>
        </w:rPr>
      </w:pPr>
    </w:p>
    <w:p w:rsidR="00326E44" w:rsidRPr="00326E44" w:rsidRDefault="00326E44" w:rsidP="00326E44">
      <w:pPr>
        <w:spacing w:before="120" w:after="120" w:line="276" w:lineRule="auto"/>
        <w:jc w:val="both"/>
        <w:rPr>
          <w:rFonts w:asciiTheme="minorHAnsi" w:hAnsiTheme="minorHAnsi"/>
          <w:b/>
          <w:i/>
          <w:lang w:val="sq-AL"/>
        </w:rPr>
      </w:pPr>
      <w:r w:rsidRPr="00326E44">
        <w:rPr>
          <w:rFonts w:asciiTheme="minorHAnsi" w:hAnsiTheme="minorHAnsi"/>
          <w:b/>
          <w:i/>
          <w:lang w:val="sq-AL"/>
        </w:rPr>
        <w:t>Shpenzimet vendore</w:t>
      </w: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lang w:val="sq-AL"/>
        </w:rPr>
        <w:t xml:space="preserve">Shpenzimet e Pushtetit Vendor janë një tregues i rëndësishëm i procesit të menaxhimit të financave publike në nivel vendor. Ndër vite shpenzimet e pushtetit vendor janë një tregues në rritje të lehtë dhe kjo vjen si pasojë e rritjes së nivelit të shërbimeve dhe funksioneve që pushteti vendor ofron për qytetarët e saj. </w:t>
      </w: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lang w:val="sq-AL"/>
        </w:rPr>
        <w:t xml:space="preserve">Buxheti vendor për 5 mujorin e parë të vitit 2021, nga të dhënat faktike të thesarit rezulton të jetë realizuar në masën 19.8 miliard lekë ose rreth 2.6 miliard lekë më shumë se e njëjta periudhë e një viti më parë. Nga analiza e të dhënave vihet re që të gjithë zërat e shpenzimeve kanë rritje, por pjesën më të madhe të kësaj rritjeje të shpenzimeve vendore krahasuar me një vit më parë e kanë </w:t>
      </w:r>
      <w:r w:rsidRPr="00326E44">
        <w:rPr>
          <w:rFonts w:asciiTheme="minorHAnsi" w:hAnsiTheme="minorHAnsi"/>
          <w:lang w:val="sq-AL"/>
        </w:rPr>
        <w:lastRenderedPageBreak/>
        <w:t>shpenzimet e personelit, shpenzimet operative dhe shpenzimet kapitale. Kjo evidentohet qartë nëse këto shpenzime i analizojmë në nivel llogarie, ku pjesën më të madhe të rritjes së shpenzimeve në vlerë absolute e ka zëri i shpenzimeve të personelit, ndërsa në përqindje e  ka zëri i shpenzimeve të tjera (604-606) me 44% si dhe zëri i shpenzimeve për investime i cili ka një rritje nga viti paraardhës me rreth 33%.</w:t>
      </w:r>
    </w:p>
    <w:p w:rsidR="00326E44" w:rsidRPr="001A584B" w:rsidRDefault="00326E44" w:rsidP="00326E44">
      <w:pPr>
        <w:spacing w:before="120" w:after="120" w:line="276" w:lineRule="auto"/>
        <w:ind w:right="-43"/>
        <w:rPr>
          <w:rFonts w:asciiTheme="minorHAnsi" w:hAnsiTheme="minorHAnsi"/>
          <w:i/>
          <w:sz w:val="22"/>
          <w:lang w:val="sq-AL"/>
        </w:rPr>
      </w:pPr>
      <w:r w:rsidRPr="001A584B">
        <w:rPr>
          <w:rFonts w:asciiTheme="minorHAnsi" w:hAnsiTheme="minorHAnsi"/>
          <w:i/>
          <w:sz w:val="22"/>
          <w:lang w:val="sq-AL"/>
        </w:rPr>
        <w:t>Grafiku x: Shpenzimet për pushtetin vendor dhe ritimi i ndryshimit të tyre</w:t>
      </w:r>
    </w:p>
    <w:p w:rsidR="00326E44" w:rsidRPr="00326E44" w:rsidRDefault="00326E44" w:rsidP="00326E44">
      <w:pPr>
        <w:spacing w:before="120" w:after="120" w:line="276" w:lineRule="auto"/>
        <w:ind w:right="-43"/>
        <w:rPr>
          <w:rFonts w:asciiTheme="minorHAnsi" w:hAnsiTheme="minorHAnsi"/>
          <w:i/>
          <w:lang w:val="sq-AL"/>
        </w:rPr>
      </w:pPr>
      <w:r w:rsidRPr="00326E44">
        <w:rPr>
          <w:noProof/>
        </w:rPr>
        <w:drawing>
          <wp:inline distT="0" distB="0" distL="0" distR="0" wp14:anchorId="7A7F5693" wp14:editId="02293247">
            <wp:extent cx="6191250" cy="2453640"/>
            <wp:effectExtent l="0" t="0" r="0" b="381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326E44">
        <w:rPr>
          <w:rFonts w:asciiTheme="minorHAnsi" w:hAnsiTheme="minorHAnsi"/>
          <w:i/>
          <w:sz w:val="20"/>
          <w:szCs w:val="20"/>
          <w:lang w:val="sq-AL"/>
        </w:rPr>
        <w:t>Burimi: Drejtoria e Financave Vendore, Ministria e Financave dhe Ekonomisë (2021);</w:t>
      </w: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lang w:val="sq-AL"/>
        </w:rPr>
        <w:t>Shpenzimet e pushtetit vendor në vite sipas strukturës nuk kanë pësuar ndryshime të mëdha, por vihet re një tendencë pozitive e qendrueshmërisë së shpenzimeve për investime dhe zgjerimi i shpenzimeve të mirëmbajtjes së aseteve që njësitë vendore zotërojnë përmes përdorimit në formën e shpenzimeve operative. Sipas të dhënave në nivel llogarie ekonomike, struktura e shpenzimeve rezulton si në grafikun më poshtë:</w:t>
      </w:r>
    </w:p>
    <w:p w:rsidR="00326E44" w:rsidRPr="001A584B" w:rsidRDefault="00326E44" w:rsidP="00326E44">
      <w:pPr>
        <w:spacing w:before="120" w:line="276" w:lineRule="auto"/>
        <w:jc w:val="both"/>
        <w:rPr>
          <w:rFonts w:asciiTheme="minorHAnsi" w:hAnsiTheme="minorHAnsi"/>
          <w:i/>
          <w:sz w:val="22"/>
          <w:lang w:val="sq-AL"/>
        </w:rPr>
      </w:pPr>
      <w:r w:rsidRPr="001A584B">
        <w:rPr>
          <w:rFonts w:asciiTheme="minorHAnsi" w:hAnsiTheme="minorHAnsi"/>
          <w:i/>
          <w:sz w:val="22"/>
          <w:lang w:val="sq-AL"/>
        </w:rPr>
        <w:t>Grafiku x: Shpenzimet e pushtetit vendor sipas strukturës</w:t>
      </w:r>
    </w:p>
    <w:p w:rsidR="00326E44" w:rsidRPr="00326E44" w:rsidRDefault="00326E44" w:rsidP="00326E44">
      <w:pPr>
        <w:spacing w:before="120" w:line="276" w:lineRule="auto"/>
        <w:jc w:val="both"/>
        <w:rPr>
          <w:rFonts w:asciiTheme="minorHAnsi" w:hAnsiTheme="minorHAnsi"/>
          <w:i/>
          <w:lang w:val="sq-AL"/>
        </w:rPr>
      </w:pPr>
      <w:r w:rsidRPr="00326E44">
        <w:rPr>
          <w:noProof/>
        </w:rPr>
        <w:drawing>
          <wp:inline distT="0" distB="0" distL="0" distR="0" wp14:anchorId="017A7E6D" wp14:editId="5350CAA7">
            <wp:extent cx="5943600" cy="2240280"/>
            <wp:effectExtent l="0" t="0" r="0" b="762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26E44" w:rsidRPr="00326E44" w:rsidRDefault="00326E44" w:rsidP="00326E44">
      <w:pPr>
        <w:spacing w:after="120" w:line="276" w:lineRule="auto"/>
        <w:rPr>
          <w:rFonts w:asciiTheme="minorHAnsi" w:hAnsiTheme="minorHAnsi"/>
          <w:i/>
          <w:sz w:val="20"/>
          <w:szCs w:val="20"/>
          <w:lang w:val="sq-AL"/>
        </w:rPr>
      </w:pPr>
      <w:r>
        <w:rPr>
          <w:rFonts w:asciiTheme="minorHAnsi" w:hAnsiTheme="minorHAnsi"/>
          <w:i/>
          <w:sz w:val="20"/>
          <w:szCs w:val="20"/>
          <w:lang w:val="sq-AL"/>
        </w:rPr>
        <w:t>Burimi</w:t>
      </w:r>
      <w:r w:rsidRPr="00326E44">
        <w:rPr>
          <w:rFonts w:asciiTheme="minorHAnsi" w:hAnsiTheme="minorHAnsi"/>
          <w:i/>
          <w:sz w:val="20"/>
          <w:szCs w:val="20"/>
          <w:lang w:val="sq-AL"/>
        </w:rPr>
        <w:t>: Drejtoria e Financave Vendore, Ministria e Financave dhe Ekonomisë (2021);</w:t>
      </w:r>
    </w:p>
    <w:p w:rsidR="001A584B" w:rsidRDefault="001A584B" w:rsidP="00326E44">
      <w:pPr>
        <w:spacing w:before="120" w:after="120" w:line="276" w:lineRule="auto"/>
        <w:jc w:val="both"/>
        <w:rPr>
          <w:rFonts w:asciiTheme="minorHAnsi" w:hAnsiTheme="minorHAnsi"/>
          <w:lang w:val="sq-AL"/>
        </w:rPr>
      </w:pP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lang w:val="sq-AL"/>
        </w:rPr>
        <w:t>Më poshtë janë paraqitur në mënyrë të përmbledhur tabela e ndryshimeve të të ardhurave dhe shpenzimeve ne financat publike vendore gjatë 5 mujorit të vitit 2021 dhe vitit 2020.</w:t>
      </w:r>
    </w:p>
    <w:p w:rsidR="001A584B" w:rsidRDefault="001A584B" w:rsidP="00326E44">
      <w:pPr>
        <w:pStyle w:val="Caption"/>
        <w:spacing w:after="0"/>
        <w:rPr>
          <w:rFonts w:asciiTheme="minorHAnsi" w:hAnsiTheme="minorHAnsi"/>
          <w:b w:val="0"/>
          <w:bCs w:val="0"/>
          <w:i/>
          <w:color w:val="auto"/>
          <w:sz w:val="24"/>
          <w:szCs w:val="24"/>
          <w:lang w:val="sq-AL"/>
        </w:rPr>
      </w:pPr>
    </w:p>
    <w:p w:rsidR="001A584B" w:rsidRDefault="001A584B" w:rsidP="00326E44">
      <w:pPr>
        <w:pStyle w:val="Caption"/>
        <w:spacing w:after="0"/>
        <w:rPr>
          <w:rFonts w:asciiTheme="minorHAnsi" w:hAnsiTheme="minorHAnsi"/>
          <w:b w:val="0"/>
          <w:bCs w:val="0"/>
          <w:i/>
          <w:color w:val="auto"/>
          <w:sz w:val="24"/>
          <w:szCs w:val="24"/>
          <w:lang w:val="sq-AL"/>
        </w:rPr>
      </w:pPr>
    </w:p>
    <w:p w:rsidR="00326E44" w:rsidRPr="001A584B" w:rsidRDefault="00326E44" w:rsidP="00326E44">
      <w:pPr>
        <w:pStyle w:val="Caption"/>
        <w:spacing w:after="0"/>
        <w:rPr>
          <w:rFonts w:asciiTheme="minorHAnsi" w:hAnsiTheme="minorHAnsi"/>
          <w:b w:val="0"/>
          <w:bCs w:val="0"/>
          <w:i/>
          <w:color w:val="auto"/>
          <w:sz w:val="22"/>
          <w:szCs w:val="24"/>
          <w:lang w:val="sq-AL"/>
        </w:rPr>
      </w:pPr>
      <w:bookmarkStart w:id="38" w:name="_Toc76470058"/>
      <w:r w:rsidRPr="001A584B">
        <w:rPr>
          <w:rFonts w:asciiTheme="minorHAnsi" w:hAnsiTheme="minorHAnsi"/>
          <w:b w:val="0"/>
          <w:bCs w:val="0"/>
          <w:i/>
          <w:color w:val="auto"/>
          <w:sz w:val="22"/>
          <w:szCs w:val="24"/>
          <w:lang w:val="sq-AL"/>
        </w:rPr>
        <w:lastRenderedPageBreak/>
        <w:t xml:space="preserve">Tabela </w:t>
      </w:r>
      <w:r w:rsidRPr="001A584B">
        <w:rPr>
          <w:rFonts w:asciiTheme="minorHAnsi" w:hAnsiTheme="minorHAnsi"/>
          <w:b w:val="0"/>
          <w:bCs w:val="0"/>
          <w:i/>
          <w:color w:val="auto"/>
          <w:sz w:val="22"/>
          <w:szCs w:val="24"/>
          <w:lang w:val="sq-AL"/>
        </w:rPr>
        <w:fldChar w:fldCharType="begin"/>
      </w:r>
      <w:r w:rsidRPr="001A584B">
        <w:rPr>
          <w:rFonts w:asciiTheme="minorHAnsi" w:hAnsiTheme="minorHAnsi"/>
          <w:b w:val="0"/>
          <w:bCs w:val="0"/>
          <w:i/>
          <w:color w:val="auto"/>
          <w:sz w:val="22"/>
          <w:szCs w:val="24"/>
          <w:lang w:val="sq-AL"/>
        </w:rPr>
        <w:instrText xml:space="preserve"> SEQ Tabela \* ARABIC </w:instrText>
      </w:r>
      <w:r w:rsidRPr="001A584B">
        <w:rPr>
          <w:rFonts w:asciiTheme="minorHAnsi" w:hAnsiTheme="minorHAnsi"/>
          <w:b w:val="0"/>
          <w:bCs w:val="0"/>
          <w:i/>
          <w:color w:val="auto"/>
          <w:sz w:val="22"/>
          <w:szCs w:val="24"/>
          <w:lang w:val="sq-AL"/>
        </w:rPr>
        <w:fldChar w:fldCharType="separate"/>
      </w:r>
      <w:r w:rsidR="003C5F40">
        <w:rPr>
          <w:rFonts w:asciiTheme="minorHAnsi" w:hAnsiTheme="minorHAnsi"/>
          <w:b w:val="0"/>
          <w:bCs w:val="0"/>
          <w:i/>
          <w:noProof/>
          <w:color w:val="auto"/>
          <w:sz w:val="22"/>
          <w:szCs w:val="24"/>
          <w:lang w:val="sq-AL"/>
        </w:rPr>
        <w:t>4</w:t>
      </w:r>
      <w:r w:rsidRPr="001A584B">
        <w:rPr>
          <w:rFonts w:asciiTheme="minorHAnsi" w:hAnsiTheme="minorHAnsi"/>
          <w:b w:val="0"/>
          <w:bCs w:val="0"/>
          <w:i/>
          <w:color w:val="auto"/>
          <w:sz w:val="22"/>
          <w:szCs w:val="24"/>
          <w:lang w:val="sq-AL"/>
        </w:rPr>
        <w:fldChar w:fldCharType="end"/>
      </w:r>
      <w:r w:rsidRPr="001A584B">
        <w:rPr>
          <w:rFonts w:asciiTheme="minorHAnsi" w:hAnsiTheme="minorHAnsi"/>
          <w:b w:val="0"/>
          <w:bCs w:val="0"/>
          <w:i/>
          <w:color w:val="auto"/>
          <w:sz w:val="22"/>
          <w:szCs w:val="24"/>
          <w:lang w:val="sq-AL"/>
        </w:rPr>
        <w:t>: Të ardhurat dhe shpenzimet faktike të pushtetit vendor sipas natyrës</w:t>
      </w:r>
      <w:bookmarkEnd w:id="38"/>
    </w:p>
    <w:tbl>
      <w:tblPr>
        <w:tblW w:w="9296" w:type="dxa"/>
        <w:jc w:val="center"/>
        <w:tblLook w:val="04A0" w:firstRow="1" w:lastRow="0" w:firstColumn="1" w:lastColumn="0" w:noHBand="0" w:noVBand="1"/>
      </w:tblPr>
      <w:tblGrid>
        <w:gridCol w:w="534"/>
        <w:gridCol w:w="3840"/>
        <w:gridCol w:w="1219"/>
        <w:gridCol w:w="1170"/>
        <w:gridCol w:w="1170"/>
        <w:gridCol w:w="1363"/>
      </w:tblGrid>
      <w:tr w:rsidR="00326E44" w:rsidRPr="00326E44" w:rsidTr="00900B3D">
        <w:trPr>
          <w:trHeight w:val="204"/>
          <w:jc w:val="center"/>
        </w:trPr>
        <w:tc>
          <w:tcPr>
            <w:tcW w:w="4374" w:type="dxa"/>
            <w:gridSpan w:val="2"/>
            <w:tcBorders>
              <w:top w:val="nil"/>
              <w:left w:val="nil"/>
              <w:bottom w:val="double" w:sz="6" w:space="0" w:color="auto"/>
              <w:right w:val="nil"/>
            </w:tcBorders>
            <w:shd w:val="clear" w:color="auto" w:fill="auto"/>
            <w:noWrap/>
            <w:vAlign w:val="center"/>
            <w:hideMark/>
          </w:tcPr>
          <w:p w:rsidR="00326E44" w:rsidRPr="00326E44" w:rsidRDefault="00326E44" w:rsidP="00900B3D">
            <w:pPr>
              <w:rPr>
                <w:rFonts w:asciiTheme="minorHAnsi" w:hAnsiTheme="minorHAnsi"/>
                <w:i/>
                <w:iCs/>
                <w:sz w:val="18"/>
                <w:szCs w:val="18"/>
              </w:rPr>
            </w:pPr>
            <w:r w:rsidRPr="00326E44">
              <w:rPr>
                <w:rFonts w:asciiTheme="minorHAnsi" w:hAnsiTheme="minorHAnsi"/>
                <w:i/>
                <w:iCs/>
                <w:sz w:val="18"/>
                <w:szCs w:val="18"/>
              </w:rPr>
              <w:t> </w:t>
            </w:r>
          </w:p>
        </w:tc>
        <w:tc>
          <w:tcPr>
            <w:tcW w:w="4922" w:type="dxa"/>
            <w:gridSpan w:val="4"/>
            <w:tcBorders>
              <w:top w:val="nil"/>
              <w:left w:val="nil"/>
              <w:bottom w:val="double" w:sz="6" w:space="0" w:color="auto"/>
              <w:right w:val="nil"/>
            </w:tcBorders>
            <w:shd w:val="clear" w:color="auto" w:fill="auto"/>
            <w:noWrap/>
            <w:vAlign w:val="bottom"/>
            <w:hideMark/>
          </w:tcPr>
          <w:p w:rsidR="00326E44" w:rsidRPr="00326E44" w:rsidRDefault="00326E44" w:rsidP="00900B3D">
            <w:pPr>
              <w:jc w:val="right"/>
              <w:rPr>
                <w:rFonts w:asciiTheme="minorHAnsi" w:hAnsiTheme="minorHAnsi"/>
                <w:i/>
                <w:sz w:val="18"/>
                <w:szCs w:val="22"/>
              </w:rPr>
            </w:pPr>
            <w:r w:rsidRPr="00326E44">
              <w:rPr>
                <w:rFonts w:asciiTheme="minorHAnsi" w:hAnsiTheme="minorHAnsi"/>
                <w:i/>
                <w:sz w:val="18"/>
                <w:szCs w:val="22"/>
              </w:rPr>
              <w:t>Të dhëna progresive (në milion LEK)</w:t>
            </w:r>
          </w:p>
        </w:tc>
      </w:tr>
      <w:tr w:rsidR="00326E44" w:rsidRPr="00326E44" w:rsidTr="00900B3D">
        <w:trPr>
          <w:trHeight w:val="215"/>
          <w:jc w:val="center"/>
        </w:trPr>
        <w:tc>
          <w:tcPr>
            <w:tcW w:w="534" w:type="dxa"/>
            <w:vMerge w:val="restart"/>
            <w:tcBorders>
              <w:top w:val="nil"/>
              <w:left w:val="double" w:sz="6" w:space="0" w:color="auto"/>
              <w:bottom w:val="single" w:sz="8" w:space="0" w:color="000000"/>
              <w:right w:val="nil"/>
            </w:tcBorders>
            <w:shd w:val="clear" w:color="auto" w:fill="DBE5F1" w:themeFill="accent1" w:themeFillTint="33"/>
            <w:noWrap/>
            <w:vAlign w:val="center"/>
            <w:hideMark/>
          </w:tcPr>
          <w:p w:rsidR="00326E44" w:rsidRPr="00326E44" w:rsidRDefault="00326E44" w:rsidP="00900B3D">
            <w:pPr>
              <w:jc w:val="both"/>
              <w:rPr>
                <w:rFonts w:asciiTheme="minorHAnsi" w:hAnsiTheme="minorHAnsi"/>
                <w:b/>
                <w:bCs/>
                <w:sz w:val="18"/>
                <w:szCs w:val="20"/>
              </w:rPr>
            </w:pPr>
            <w:r w:rsidRPr="00326E44">
              <w:rPr>
                <w:rFonts w:asciiTheme="minorHAnsi" w:hAnsiTheme="minorHAnsi"/>
                <w:b/>
                <w:bCs/>
                <w:sz w:val="18"/>
                <w:szCs w:val="20"/>
              </w:rPr>
              <w:t>Nr</w:t>
            </w:r>
          </w:p>
        </w:tc>
        <w:tc>
          <w:tcPr>
            <w:tcW w:w="3840" w:type="dxa"/>
            <w:vMerge w:val="restart"/>
            <w:tcBorders>
              <w:top w:val="nil"/>
              <w:left w:val="single" w:sz="8" w:space="0" w:color="auto"/>
              <w:bottom w:val="single" w:sz="8" w:space="0" w:color="000000"/>
              <w:right w:val="double" w:sz="6" w:space="0" w:color="auto"/>
            </w:tcBorders>
            <w:shd w:val="clear" w:color="auto" w:fill="DBE5F1" w:themeFill="accent1" w:themeFillTint="33"/>
            <w:noWrap/>
            <w:vAlign w:val="center"/>
            <w:hideMark/>
          </w:tcPr>
          <w:p w:rsidR="00326E44" w:rsidRPr="00326E44" w:rsidRDefault="00326E44" w:rsidP="00900B3D">
            <w:pPr>
              <w:jc w:val="center"/>
              <w:rPr>
                <w:rFonts w:asciiTheme="minorHAnsi" w:hAnsiTheme="minorHAnsi"/>
                <w:b/>
                <w:bCs/>
                <w:sz w:val="18"/>
                <w:szCs w:val="20"/>
              </w:rPr>
            </w:pPr>
            <w:r w:rsidRPr="00326E44">
              <w:rPr>
                <w:rFonts w:asciiTheme="minorHAnsi" w:hAnsiTheme="minorHAnsi"/>
                <w:b/>
                <w:bCs/>
                <w:sz w:val="18"/>
                <w:szCs w:val="20"/>
              </w:rPr>
              <w:t>E  M  Ë  R  T  I  M  I</w:t>
            </w:r>
          </w:p>
        </w:tc>
        <w:tc>
          <w:tcPr>
            <w:tcW w:w="2389" w:type="dxa"/>
            <w:gridSpan w:val="2"/>
            <w:tcBorders>
              <w:top w:val="double" w:sz="6" w:space="0" w:color="auto"/>
              <w:left w:val="nil"/>
              <w:bottom w:val="single" w:sz="8" w:space="0" w:color="auto"/>
              <w:right w:val="nil"/>
            </w:tcBorders>
            <w:shd w:val="clear" w:color="auto" w:fill="DBE5F1" w:themeFill="accent1" w:themeFillTint="33"/>
            <w:noWrap/>
            <w:vAlign w:val="center"/>
            <w:hideMark/>
          </w:tcPr>
          <w:p w:rsidR="00326E44" w:rsidRPr="00326E44" w:rsidRDefault="00326E44" w:rsidP="00900B3D">
            <w:pPr>
              <w:jc w:val="center"/>
              <w:rPr>
                <w:rFonts w:asciiTheme="minorHAnsi" w:hAnsiTheme="minorHAnsi"/>
                <w:b/>
                <w:bCs/>
                <w:sz w:val="18"/>
                <w:szCs w:val="20"/>
              </w:rPr>
            </w:pPr>
            <w:r w:rsidRPr="00326E44">
              <w:rPr>
                <w:rFonts w:asciiTheme="minorHAnsi" w:hAnsiTheme="minorHAnsi"/>
                <w:b/>
                <w:bCs/>
                <w:sz w:val="18"/>
                <w:szCs w:val="20"/>
              </w:rPr>
              <w:t>Fakt 5 mujori</w:t>
            </w:r>
          </w:p>
        </w:tc>
        <w:tc>
          <w:tcPr>
            <w:tcW w:w="2533" w:type="dxa"/>
            <w:gridSpan w:val="2"/>
            <w:tcBorders>
              <w:top w:val="double" w:sz="6" w:space="0" w:color="auto"/>
              <w:left w:val="double" w:sz="6" w:space="0" w:color="auto"/>
              <w:bottom w:val="single" w:sz="8" w:space="0" w:color="auto"/>
              <w:right w:val="double" w:sz="6" w:space="0" w:color="000000"/>
            </w:tcBorders>
            <w:shd w:val="clear" w:color="auto" w:fill="DBE5F1" w:themeFill="accent1" w:themeFillTint="33"/>
            <w:noWrap/>
            <w:vAlign w:val="center"/>
            <w:hideMark/>
          </w:tcPr>
          <w:p w:rsidR="00326E44" w:rsidRPr="00326E44" w:rsidRDefault="00326E44" w:rsidP="00900B3D">
            <w:pPr>
              <w:jc w:val="center"/>
              <w:rPr>
                <w:rFonts w:asciiTheme="minorHAnsi" w:hAnsiTheme="minorHAnsi"/>
                <w:b/>
                <w:bCs/>
                <w:sz w:val="18"/>
                <w:szCs w:val="20"/>
              </w:rPr>
            </w:pPr>
            <w:r w:rsidRPr="00326E44">
              <w:rPr>
                <w:rFonts w:asciiTheme="minorHAnsi" w:hAnsiTheme="minorHAnsi"/>
                <w:b/>
                <w:bCs/>
                <w:sz w:val="18"/>
                <w:szCs w:val="20"/>
              </w:rPr>
              <w:t>Diferenca</w:t>
            </w:r>
          </w:p>
        </w:tc>
      </w:tr>
      <w:tr w:rsidR="00326E44" w:rsidRPr="00326E44" w:rsidTr="00900B3D">
        <w:trPr>
          <w:trHeight w:val="195"/>
          <w:jc w:val="center"/>
        </w:trPr>
        <w:tc>
          <w:tcPr>
            <w:tcW w:w="534" w:type="dxa"/>
            <w:vMerge/>
            <w:tcBorders>
              <w:top w:val="nil"/>
              <w:left w:val="double" w:sz="6" w:space="0" w:color="auto"/>
              <w:bottom w:val="single" w:sz="8" w:space="0" w:color="000000"/>
              <w:right w:val="nil"/>
            </w:tcBorders>
            <w:shd w:val="clear" w:color="auto" w:fill="DBE5F1" w:themeFill="accent1" w:themeFillTint="33"/>
            <w:vAlign w:val="center"/>
            <w:hideMark/>
          </w:tcPr>
          <w:p w:rsidR="00326E44" w:rsidRPr="00326E44" w:rsidRDefault="00326E44" w:rsidP="00900B3D">
            <w:pPr>
              <w:rPr>
                <w:rFonts w:asciiTheme="minorHAnsi" w:hAnsiTheme="minorHAnsi"/>
                <w:b/>
                <w:bCs/>
                <w:sz w:val="18"/>
                <w:szCs w:val="20"/>
              </w:rPr>
            </w:pPr>
          </w:p>
        </w:tc>
        <w:tc>
          <w:tcPr>
            <w:tcW w:w="3840" w:type="dxa"/>
            <w:vMerge/>
            <w:tcBorders>
              <w:top w:val="nil"/>
              <w:left w:val="single" w:sz="8" w:space="0" w:color="auto"/>
              <w:bottom w:val="single" w:sz="8" w:space="0" w:color="000000"/>
              <w:right w:val="double" w:sz="6" w:space="0" w:color="auto"/>
            </w:tcBorders>
            <w:shd w:val="clear" w:color="auto" w:fill="DBE5F1" w:themeFill="accent1" w:themeFillTint="33"/>
            <w:vAlign w:val="center"/>
            <w:hideMark/>
          </w:tcPr>
          <w:p w:rsidR="00326E44" w:rsidRPr="00326E44" w:rsidRDefault="00326E44" w:rsidP="00900B3D">
            <w:pPr>
              <w:rPr>
                <w:rFonts w:asciiTheme="minorHAnsi" w:hAnsiTheme="minorHAnsi"/>
                <w:b/>
                <w:bCs/>
                <w:sz w:val="18"/>
                <w:szCs w:val="20"/>
              </w:rPr>
            </w:pPr>
          </w:p>
        </w:tc>
        <w:tc>
          <w:tcPr>
            <w:tcW w:w="1219" w:type="dxa"/>
            <w:vMerge w:val="restart"/>
            <w:tcBorders>
              <w:top w:val="nil"/>
              <w:left w:val="double" w:sz="6" w:space="0" w:color="auto"/>
              <w:bottom w:val="single" w:sz="8" w:space="0" w:color="000000"/>
              <w:right w:val="nil"/>
            </w:tcBorders>
            <w:shd w:val="clear" w:color="auto" w:fill="DBE5F1" w:themeFill="accent1" w:themeFillTint="33"/>
            <w:noWrap/>
            <w:vAlign w:val="center"/>
            <w:hideMark/>
          </w:tcPr>
          <w:p w:rsidR="00326E44" w:rsidRPr="00326E44" w:rsidRDefault="00326E44" w:rsidP="00900B3D">
            <w:pPr>
              <w:jc w:val="center"/>
              <w:rPr>
                <w:rFonts w:asciiTheme="minorHAnsi" w:hAnsiTheme="minorHAnsi"/>
                <w:b/>
                <w:bCs/>
                <w:sz w:val="18"/>
                <w:szCs w:val="20"/>
              </w:rPr>
            </w:pPr>
            <w:r w:rsidRPr="00326E44">
              <w:rPr>
                <w:rFonts w:asciiTheme="minorHAnsi" w:hAnsiTheme="minorHAnsi"/>
                <w:b/>
                <w:bCs/>
                <w:sz w:val="18"/>
                <w:szCs w:val="20"/>
              </w:rPr>
              <w:t>2021</w:t>
            </w:r>
          </w:p>
        </w:tc>
        <w:tc>
          <w:tcPr>
            <w:tcW w:w="1170" w:type="dxa"/>
            <w:vMerge w:val="restart"/>
            <w:tcBorders>
              <w:top w:val="nil"/>
              <w:left w:val="single" w:sz="4" w:space="0" w:color="auto"/>
              <w:bottom w:val="single" w:sz="8" w:space="0" w:color="000000"/>
              <w:right w:val="double" w:sz="6" w:space="0" w:color="auto"/>
            </w:tcBorders>
            <w:shd w:val="clear" w:color="auto" w:fill="DBE5F1" w:themeFill="accent1" w:themeFillTint="33"/>
            <w:noWrap/>
            <w:vAlign w:val="center"/>
            <w:hideMark/>
          </w:tcPr>
          <w:p w:rsidR="00326E44" w:rsidRPr="00326E44" w:rsidRDefault="00326E44" w:rsidP="00900B3D">
            <w:pPr>
              <w:jc w:val="center"/>
              <w:rPr>
                <w:rFonts w:asciiTheme="minorHAnsi" w:hAnsiTheme="minorHAnsi"/>
                <w:b/>
                <w:bCs/>
                <w:sz w:val="18"/>
                <w:szCs w:val="20"/>
              </w:rPr>
            </w:pPr>
            <w:r w:rsidRPr="00326E44">
              <w:rPr>
                <w:rFonts w:asciiTheme="minorHAnsi" w:hAnsiTheme="minorHAnsi"/>
                <w:b/>
                <w:bCs/>
                <w:sz w:val="18"/>
                <w:szCs w:val="20"/>
              </w:rPr>
              <w:t>2020</w:t>
            </w:r>
          </w:p>
        </w:tc>
        <w:tc>
          <w:tcPr>
            <w:tcW w:w="1170" w:type="dxa"/>
            <w:tcBorders>
              <w:top w:val="nil"/>
              <w:left w:val="nil"/>
              <w:bottom w:val="nil"/>
              <w:right w:val="nil"/>
            </w:tcBorders>
            <w:shd w:val="clear" w:color="auto" w:fill="DBE5F1" w:themeFill="accent1" w:themeFillTint="33"/>
            <w:vAlign w:val="center"/>
            <w:hideMark/>
          </w:tcPr>
          <w:p w:rsidR="00326E44" w:rsidRPr="00326E44" w:rsidRDefault="00326E44" w:rsidP="00900B3D">
            <w:pPr>
              <w:jc w:val="center"/>
              <w:rPr>
                <w:rFonts w:asciiTheme="minorHAnsi" w:hAnsiTheme="minorHAnsi"/>
                <w:b/>
                <w:bCs/>
                <w:sz w:val="18"/>
                <w:szCs w:val="20"/>
              </w:rPr>
            </w:pPr>
            <w:r w:rsidRPr="00326E44">
              <w:rPr>
                <w:rFonts w:asciiTheme="minorHAnsi" w:hAnsiTheme="minorHAnsi"/>
                <w:b/>
                <w:bCs/>
                <w:sz w:val="18"/>
                <w:szCs w:val="20"/>
              </w:rPr>
              <w:t>2021 /</w:t>
            </w:r>
          </w:p>
        </w:tc>
        <w:tc>
          <w:tcPr>
            <w:tcW w:w="1363" w:type="dxa"/>
            <w:vMerge w:val="restart"/>
            <w:tcBorders>
              <w:top w:val="nil"/>
              <w:left w:val="single" w:sz="4" w:space="0" w:color="auto"/>
              <w:bottom w:val="single" w:sz="8" w:space="0" w:color="000000"/>
              <w:right w:val="double" w:sz="6" w:space="0" w:color="auto"/>
            </w:tcBorders>
            <w:shd w:val="clear" w:color="auto" w:fill="DBE5F1" w:themeFill="accent1" w:themeFillTint="33"/>
            <w:vAlign w:val="center"/>
            <w:hideMark/>
          </w:tcPr>
          <w:p w:rsidR="00326E44" w:rsidRPr="00326E44" w:rsidRDefault="00326E44" w:rsidP="00900B3D">
            <w:pPr>
              <w:jc w:val="center"/>
              <w:rPr>
                <w:rFonts w:asciiTheme="minorHAnsi" w:hAnsiTheme="minorHAnsi"/>
                <w:b/>
                <w:bCs/>
                <w:sz w:val="18"/>
                <w:szCs w:val="20"/>
              </w:rPr>
            </w:pPr>
            <w:r w:rsidRPr="00326E44">
              <w:rPr>
                <w:rFonts w:asciiTheme="minorHAnsi" w:hAnsiTheme="minorHAnsi"/>
                <w:b/>
                <w:bCs/>
                <w:sz w:val="18"/>
                <w:szCs w:val="20"/>
              </w:rPr>
              <w:t>% e 2021 kundrejt 2020</w:t>
            </w:r>
          </w:p>
        </w:tc>
      </w:tr>
      <w:tr w:rsidR="00326E44" w:rsidRPr="00326E44" w:rsidTr="00900B3D">
        <w:trPr>
          <w:trHeight w:val="274"/>
          <w:jc w:val="center"/>
        </w:trPr>
        <w:tc>
          <w:tcPr>
            <w:tcW w:w="534" w:type="dxa"/>
            <w:vMerge/>
            <w:tcBorders>
              <w:top w:val="nil"/>
              <w:left w:val="double" w:sz="6" w:space="0" w:color="auto"/>
              <w:bottom w:val="single" w:sz="8" w:space="0" w:color="000000"/>
              <w:right w:val="nil"/>
            </w:tcBorders>
            <w:vAlign w:val="center"/>
            <w:hideMark/>
          </w:tcPr>
          <w:p w:rsidR="00326E44" w:rsidRPr="00326E44" w:rsidRDefault="00326E44" w:rsidP="00900B3D">
            <w:pPr>
              <w:rPr>
                <w:rFonts w:asciiTheme="minorHAnsi" w:hAnsiTheme="minorHAnsi"/>
                <w:b/>
                <w:bCs/>
                <w:sz w:val="18"/>
                <w:szCs w:val="20"/>
              </w:rPr>
            </w:pPr>
          </w:p>
        </w:tc>
        <w:tc>
          <w:tcPr>
            <w:tcW w:w="3840" w:type="dxa"/>
            <w:vMerge/>
            <w:tcBorders>
              <w:top w:val="nil"/>
              <w:left w:val="single" w:sz="8" w:space="0" w:color="auto"/>
              <w:bottom w:val="single" w:sz="8" w:space="0" w:color="000000"/>
              <w:right w:val="double" w:sz="6" w:space="0" w:color="auto"/>
            </w:tcBorders>
            <w:vAlign w:val="center"/>
            <w:hideMark/>
          </w:tcPr>
          <w:p w:rsidR="00326E44" w:rsidRPr="00326E44" w:rsidRDefault="00326E44" w:rsidP="00900B3D">
            <w:pPr>
              <w:rPr>
                <w:rFonts w:asciiTheme="minorHAnsi" w:hAnsiTheme="minorHAnsi"/>
                <w:b/>
                <w:bCs/>
                <w:sz w:val="18"/>
                <w:szCs w:val="20"/>
              </w:rPr>
            </w:pPr>
          </w:p>
        </w:tc>
        <w:tc>
          <w:tcPr>
            <w:tcW w:w="1219" w:type="dxa"/>
            <w:vMerge/>
            <w:tcBorders>
              <w:top w:val="nil"/>
              <w:left w:val="double" w:sz="6" w:space="0" w:color="auto"/>
              <w:bottom w:val="single" w:sz="8" w:space="0" w:color="000000"/>
              <w:right w:val="nil"/>
            </w:tcBorders>
            <w:vAlign w:val="center"/>
            <w:hideMark/>
          </w:tcPr>
          <w:p w:rsidR="00326E44" w:rsidRPr="00326E44" w:rsidRDefault="00326E44" w:rsidP="00900B3D">
            <w:pPr>
              <w:rPr>
                <w:rFonts w:asciiTheme="minorHAnsi" w:hAnsiTheme="minorHAnsi"/>
                <w:b/>
                <w:bCs/>
                <w:sz w:val="18"/>
                <w:szCs w:val="20"/>
              </w:rPr>
            </w:pPr>
          </w:p>
        </w:tc>
        <w:tc>
          <w:tcPr>
            <w:tcW w:w="1170" w:type="dxa"/>
            <w:vMerge/>
            <w:tcBorders>
              <w:top w:val="nil"/>
              <w:left w:val="single" w:sz="4" w:space="0" w:color="auto"/>
              <w:bottom w:val="single" w:sz="8" w:space="0" w:color="000000"/>
              <w:right w:val="double" w:sz="6" w:space="0" w:color="auto"/>
            </w:tcBorders>
            <w:vAlign w:val="center"/>
            <w:hideMark/>
          </w:tcPr>
          <w:p w:rsidR="00326E44" w:rsidRPr="00326E44" w:rsidRDefault="00326E44" w:rsidP="00900B3D">
            <w:pPr>
              <w:rPr>
                <w:rFonts w:asciiTheme="minorHAnsi" w:hAnsiTheme="minorHAnsi"/>
                <w:b/>
                <w:bCs/>
                <w:sz w:val="18"/>
                <w:szCs w:val="20"/>
              </w:rPr>
            </w:pPr>
          </w:p>
        </w:tc>
        <w:tc>
          <w:tcPr>
            <w:tcW w:w="1170" w:type="dxa"/>
            <w:tcBorders>
              <w:top w:val="nil"/>
              <w:left w:val="nil"/>
              <w:bottom w:val="single" w:sz="8" w:space="0" w:color="auto"/>
              <w:right w:val="nil"/>
            </w:tcBorders>
            <w:shd w:val="clear" w:color="auto" w:fill="DBE5F1" w:themeFill="accent1" w:themeFillTint="33"/>
            <w:vAlign w:val="center"/>
            <w:hideMark/>
          </w:tcPr>
          <w:p w:rsidR="00326E44" w:rsidRPr="00326E44" w:rsidRDefault="00326E44" w:rsidP="00900B3D">
            <w:pPr>
              <w:jc w:val="center"/>
              <w:rPr>
                <w:rFonts w:asciiTheme="minorHAnsi" w:hAnsiTheme="minorHAnsi"/>
                <w:b/>
                <w:bCs/>
                <w:sz w:val="18"/>
                <w:szCs w:val="20"/>
              </w:rPr>
            </w:pPr>
            <w:r w:rsidRPr="00326E44">
              <w:rPr>
                <w:rFonts w:asciiTheme="minorHAnsi" w:hAnsiTheme="minorHAnsi"/>
                <w:b/>
                <w:bCs/>
                <w:sz w:val="18"/>
                <w:szCs w:val="20"/>
              </w:rPr>
              <w:t>2020</w:t>
            </w:r>
          </w:p>
        </w:tc>
        <w:tc>
          <w:tcPr>
            <w:tcW w:w="1363" w:type="dxa"/>
            <w:vMerge/>
            <w:tcBorders>
              <w:top w:val="nil"/>
              <w:left w:val="single" w:sz="4" w:space="0" w:color="auto"/>
              <w:bottom w:val="single" w:sz="8" w:space="0" w:color="000000"/>
              <w:right w:val="double" w:sz="6" w:space="0" w:color="auto"/>
            </w:tcBorders>
            <w:vAlign w:val="center"/>
            <w:hideMark/>
          </w:tcPr>
          <w:p w:rsidR="00326E44" w:rsidRPr="00326E44" w:rsidRDefault="00326E44" w:rsidP="00900B3D">
            <w:pPr>
              <w:rPr>
                <w:rFonts w:asciiTheme="minorHAnsi" w:hAnsiTheme="minorHAnsi"/>
                <w:b/>
                <w:bCs/>
                <w:sz w:val="18"/>
                <w:szCs w:val="20"/>
              </w:rPr>
            </w:pPr>
          </w:p>
        </w:tc>
      </w:tr>
      <w:tr w:rsidR="00326E44" w:rsidRPr="00326E44" w:rsidTr="00900B3D">
        <w:trPr>
          <w:trHeight w:val="215"/>
          <w:jc w:val="center"/>
        </w:trPr>
        <w:tc>
          <w:tcPr>
            <w:tcW w:w="534" w:type="dxa"/>
            <w:tcBorders>
              <w:top w:val="nil"/>
              <w:left w:val="double" w:sz="6" w:space="0" w:color="auto"/>
              <w:bottom w:val="single" w:sz="8" w:space="0" w:color="auto"/>
              <w:right w:val="single" w:sz="8" w:space="0" w:color="C0C0C0"/>
            </w:tcBorders>
            <w:shd w:val="clear" w:color="auto" w:fill="auto"/>
            <w:noWrap/>
            <w:vAlign w:val="center"/>
            <w:hideMark/>
          </w:tcPr>
          <w:p w:rsidR="00326E44" w:rsidRPr="00326E44" w:rsidRDefault="00326E44" w:rsidP="00900B3D">
            <w:pPr>
              <w:jc w:val="center"/>
              <w:rPr>
                <w:rFonts w:asciiTheme="minorHAnsi" w:hAnsiTheme="minorHAnsi"/>
                <w:b/>
                <w:bCs/>
                <w:sz w:val="18"/>
                <w:szCs w:val="22"/>
              </w:rPr>
            </w:pPr>
            <w:r w:rsidRPr="00326E44">
              <w:rPr>
                <w:rFonts w:asciiTheme="minorHAnsi" w:hAnsiTheme="minorHAnsi"/>
                <w:b/>
                <w:bCs/>
                <w:sz w:val="18"/>
                <w:szCs w:val="22"/>
              </w:rPr>
              <w:t>I.</w:t>
            </w:r>
          </w:p>
        </w:tc>
        <w:tc>
          <w:tcPr>
            <w:tcW w:w="3840" w:type="dxa"/>
            <w:tcBorders>
              <w:top w:val="nil"/>
              <w:left w:val="nil"/>
              <w:bottom w:val="single" w:sz="8" w:space="0" w:color="auto"/>
              <w:right w:val="double" w:sz="6" w:space="0" w:color="auto"/>
            </w:tcBorders>
            <w:shd w:val="clear" w:color="auto" w:fill="auto"/>
            <w:noWrap/>
            <w:vAlign w:val="center"/>
            <w:hideMark/>
          </w:tcPr>
          <w:p w:rsidR="00326E44" w:rsidRPr="00326E44" w:rsidRDefault="00326E44" w:rsidP="00900B3D">
            <w:pPr>
              <w:rPr>
                <w:rFonts w:asciiTheme="minorHAnsi" w:hAnsiTheme="minorHAnsi"/>
                <w:b/>
                <w:bCs/>
                <w:sz w:val="18"/>
                <w:szCs w:val="22"/>
                <w:lang w:val="sq-AL"/>
              </w:rPr>
            </w:pPr>
            <w:r w:rsidRPr="00326E44">
              <w:rPr>
                <w:rFonts w:asciiTheme="minorHAnsi" w:hAnsiTheme="minorHAnsi"/>
                <w:b/>
                <w:bCs/>
                <w:sz w:val="18"/>
                <w:szCs w:val="22"/>
                <w:lang w:val="sq-AL"/>
              </w:rPr>
              <w:t>Të ardhura nga Pushteti vendor</w:t>
            </w:r>
          </w:p>
        </w:tc>
        <w:tc>
          <w:tcPr>
            <w:tcW w:w="1219" w:type="dxa"/>
            <w:tcBorders>
              <w:top w:val="nil"/>
              <w:left w:val="nil"/>
              <w:bottom w:val="single" w:sz="8" w:space="0" w:color="auto"/>
              <w:right w:val="nil"/>
            </w:tcBorders>
            <w:shd w:val="clear" w:color="auto" w:fill="auto"/>
            <w:noWrap/>
            <w:vAlign w:val="center"/>
            <w:hideMark/>
          </w:tcPr>
          <w:p w:rsidR="00326E44" w:rsidRPr="00326E44" w:rsidRDefault="00326E44" w:rsidP="00900B3D">
            <w:pPr>
              <w:jc w:val="right"/>
              <w:rPr>
                <w:rFonts w:ascii="Calibri" w:hAnsi="Calibri" w:cs="Calibri"/>
                <w:b/>
                <w:bCs/>
                <w:sz w:val="18"/>
                <w:szCs w:val="18"/>
              </w:rPr>
            </w:pPr>
            <w:r w:rsidRPr="00326E44">
              <w:rPr>
                <w:rFonts w:ascii="Calibri" w:hAnsi="Calibri" w:cs="Calibri"/>
                <w:b/>
                <w:bCs/>
                <w:sz w:val="18"/>
                <w:szCs w:val="18"/>
              </w:rPr>
              <w:t>10,961</w:t>
            </w:r>
          </w:p>
        </w:tc>
        <w:tc>
          <w:tcPr>
            <w:tcW w:w="1170" w:type="dxa"/>
            <w:tcBorders>
              <w:top w:val="nil"/>
              <w:left w:val="nil"/>
              <w:bottom w:val="single" w:sz="8" w:space="0" w:color="auto"/>
              <w:right w:val="nil"/>
            </w:tcBorders>
            <w:shd w:val="clear" w:color="auto" w:fill="auto"/>
            <w:noWrap/>
            <w:vAlign w:val="center"/>
            <w:hideMark/>
          </w:tcPr>
          <w:p w:rsidR="00326E44" w:rsidRPr="00326E44" w:rsidRDefault="00326E44" w:rsidP="00900B3D">
            <w:pPr>
              <w:jc w:val="right"/>
              <w:rPr>
                <w:rFonts w:ascii="Calibri" w:hAnsi="Calibri" w:cs="Calibri"/>
                <w:b/>
                <w:bCs/>
                <w:sz w:val="18"/>
                <w:szCs w:val="18"/>
              </w:rPr>
            </w:pPr>
            <w:r w:rsidRPr="00326E44">
              <w:rPr>
                <w:rFonts w:ascii="Calibri" w:hAnsi="Calibri" w:cs="Calibri"/>
                <w:b/>
                <w:bCs/>
                <w:sz w:val="18"/>
                <w:szCs w:val="18"/>
              </w:rPr>
              <w:t>6,995</w:t>
            </w:r>
          </w:p>
        </w:tc>
        <w:tc>
          <w:tcPr>
            <w:tcW w:w="1170" w:type="dxa"/>
            <w:tcBorders>
              <w:top w:val="nil"/>
              <w:left w:val="double" w:sz="6" w:space="0" w:color="auto"/>
              <w:bottom w:val="single" w:sz="8" w:space="0" w:color="auto"/>
              <w:right w:val="nil"/>
            </w:tcBorders>
            <w:shd w:val="clear" w:color="auto" w:fill="auto"/>
            <w:noWrap/>
            <w:vAlign w:val="center"/>
            <w:hideMark/>
          </w:tcPr>
          <w:p w:rsidR="00326E44" w:rsidRPr="00326E44" w:rsidRDefault="00326E44" w:rsidP="00900B3D">
            <w:pPr>
              <w:jc w:val="right"/>
              <w:rPr>
                <w:rFonts w:ascii="Calibri" w:hAnsi="Calibri" w:cs="Calibri"/>
                <w:b/>
                <w:bCs/>
                <w:sz w:val="18"/>
                <w:szCs w:val="18"/>
              </w:rPr>
            </w:pPr>
            <w:r w:rsidRPr="00326E44">
              <w:rPr>
                <w:rFonts w:ascii="Calibri" w:hAnsi="Calibri" w:cs="Calibri"/>
                <w:b/>
                <w:bCs/>
                <w:sz w:val="18"/>
                <w:szCs w:val="18"/>
              </w:rPr>
              <w:t>3,966</w:t>
            </w:r>
          </w:p>
        </w:tc>
        <w:tc>
          <w:tcPr>
            <w:tcW w:w="1363" w:type="dxa"/>
            <w:tcBorders>
              <w:top w:val="nil"/>
              <w:left w:val="nil"/>
              <w:bottom w:val="single" w:sz="8" w:space="0" w:color="auto"/>
              <w:right w:val="double" w:sz="6" w:space="0" w:color="auto"/>
            </w:tcBorders>
            <w:shd w:val="clear" w:color="auto" w:fill="auto"/>
            <w:noWrap/>
            <w:vAlign w:val="center"/>
            <w:hideMark/>
          </w:tcPr>
          <w:p w:rsidR="00326E44" w:rsidRPr="00326E44" w:rsidRDefault="00326E44" w:rsidP="00900B3D">
            <w:pPr>
              <w:jc w:val="right"/>
              <w:rPr>
                <w:rFonts w:ascii="Calibri" w:hAnsi="Calibri" w:cs="Calibri"/>
                <w:b/>
                <w:bCs/>
                <w:sz w:val="18"/>
                <w:szCs w:val="18"/>
              </w:rPr>
            </w:pPr>
            <w:r w:rsidRPr="00326E44">
              <w:rPr>
                <w:rFonts w:ascii="Calibri" w:hAnsi="Calibri" w:cs="Calibri"/>
                <w:b/>
                <w:bCs/>
                <w:sz w:val="18"/>
                <w:szCs w:val="18"/>
              </w:rPr>
              <w:t>157%</w:t>
            </w:r>
          </w:p>
        </w:tc>
      </w:tr>
      <w:tr w:rsidR="00326E44" w:rsidRPr="00326E44" w:rsidTr="00900B3D">
        <w:trPr>
          <w:trHeight w:val="233"/>
          <w:jc w:val="center"/>
        </w:trPr>
        <w:tc>
          <w:tcPr>
            <w:tcW w:w="534" w:type="dxa"/>
            <w:tcBorders>
              <w:top w:val="nil"/>
              <w:left w:val="double" w:sz="6" w:space="0" w:color="auto"/>
              <w:bottom w:val="single" w:sz="8" w:space="0" w:color="C0C0C0"/>
              <w:right w:val="single" w:sz="8" w:space="0" w:color="C0C0C0"/>
            </w:tcBorders>
            <w:shd w:val="clear" w:color="auto" w:fill="auto"/>
            <w:noWrap/>
            <w:vAlign w:val="center"/>
            <w:hideMark/>
          </w:tcPr>
          <w:p w:rsidR="00326E44" w:rsidRPr="00326E44" w:rsidRDefault="00326E44" w:rsidP="00900B3D">
            <w:pPr>
              <w:jc w:val="right"/>
              <w:rPr>
                <w:rFonts w:asciiTheme="minorHAnsi" w:hAnsiTheme="minorHAnsi"/>
                <w:sz w:val="18"/>
                <w:szCs w:val="22"/>
              </w:rPr>
            </w:pPr>
            <w:r w:rsidRPr="00326E44">
              <w:rPr>
                <w:rFonts w:asciiTheme="minorHAnsi" w:hAnsiTheme="minorHAnsi"/>
                <w:sz w:val="18"/>
                <w:szCs w:val="22"/>
              </w:rPr>
              <w:t>I.1</w:t>
            </w:r>
          </w:p>
        </w:tc>
        <w:tc>
          <w:tcPr>
            <w:tcW w:w="3840"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both"/>
              <w:rPr>
                <w:rFonts w:asciiTheme="minorHAnsi" w:hAnsiTheme="minorHAnsi"/>
                <w:i/>
                <w:iCs/>
                <w:sz w:val="18"/>
                <w:szCs w:val="22"/>
                <w:lang w:val="sq-AL"/>
              </w:rPr>
            </w:pPr>
            <w:r w:rsidRPr="00326E44">
              <w:rPr>
                <w:rFonts w:asciiTheme="minorHAnsi" w:hAnsiTheme="minorHAnsi"/>
                <w:i/>
                <w:iCs/>
                <w:sz w:val="18"/>
                <w:szCs w:val="22"/>
                <w:lang w:val="sq-AL"/>
              </w:rPr>
              <w:t>Taksa mbi pasurinë</w:t>
            </w:r>
          </w:p>
        </w:tc>
        <w:tc>
          <w:tcPr>
            <w:tcW w:w="1219" w:type="dxa"/>
            <w:tcBorders>
              <w:top w:val="nil"/>
              <w:left w:val="double" w:sz="6" w:space="0" w:color="auto"/>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2,789</w:t>
            </w:r>
          </w:p>
        </w:tc>
        <w:tc>
          <w:tcPr>
            <w:tcW w:w="1170"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1,409</w:t>
            </w:r>
          </w:p>
        </w:tc>
        <w:tc>
          <w:tcPr>
            <w:tcW w:w="1170"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1,380</w:t>
            </w:r>
          </w:p>
        </w:tc>
        <w:tc>
          <w:tcPr>
            <w:tcW w:w="1363"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198%</w:t>
            </w:r>
          </w:p>
        </w:tc>
      </w:tr>
      <w:tr w:rsidR="00326E44" w:rsidRPr="00326E44" w:rsidTr="00900B3D">
        <w:trPr>
          <w:trHeight w:val="215"/>
          <w:jc w:val="center"/>
        </w:trPr>
        <w:tc>
          <w:tcPr>
            <w:tcW w:w="534" w:type="dxa"/>
            <w:tcBorders>
              <w:top w:val="nil"/>
              <w:left w:val="double" w:sz="6" w:space="0" w:color="auto"/>
              <w:bottom w:val="single" w:sz="8" w:space="0" w:color="C0C0C0"/>
              <w:right w:val="single" w:sz="8" w:space="0" w:color="C0C0C0"/>
            </w:tcBorders>
            <w:shd w:val="clear" w:color="auto" w:fill="auto"/>
            <w:noWrap/>
            <w:vAlign w:val="center"/>
            <w:hideMark/>
          </w:tcPr>
          <w:p w:rsidR="00326E44" w:rsidRPr="00326E44" w:rsidRDefault="00326E44" w:rsidP="00900B3D">
            <w:pPr>
              <w:jc w:val="right"/>
              <w:rPr>
                <w:rFonts w:asciiTheme="minorHAnsi" w:hAnsiTheme="minorHAnsi"/>
                <w:sz w:val="18"/>
                <w:szCs w:val="22"/>
              </w:rPr>
            </w:pPr>
            <w:r w:rsidRPr="00326E44">
              <w:rPr>
                <w:rFonts w:asciiTheme="minorHAnsi" w:hAnsiTheme="minorHAnsi"/>
                <w:sz w:val="18"/>
                <w:szCs w:val="22"/>
              </w:rPr>
              <w:t>I.2</w:t>
            </w:r>
          </w:p>
        </w:tc>
        <w:tc>
          <w:tcPr>
            <w:tcW w:w="3840"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both"/>
              <w:rPr>
                <w:rFonts w:asciiTheme="minorHAnsi" w:hAnsiTheme="minorHAnsi"/>
                <w:i/>
                <w:iCs/>
                <w:sz w:val="18"/>
                <w:szCs w:val="22"/>
                <w:lang w:val="sq-AL"/>
              </w:rPr>
            </w:pPr>
            <w:r w:rsidRPr="00326E44">
              <w:rPr>
                <w:rFonts w:asciiTheme="minorHAnsi" w:hAnsiTheme="minorHAnsi"/>
                <w:i/>
                <w:iCs/>
                <w:sz w:val="18"/>
                <w:szCs w:val="22"/>
                <w:lang w:val="sq-AL"/>
              </w:rPr>
              <w:t>Taksa e biznesit të vogël</w:t>
            </w:r>
          </w:p>
        </w:tc>
        <w:tc>
          <w:tcPr>
            <w:tcW w:w="1219" w:type="dxa"/>
            <w:tcBorders>
              <w:top w:val="nil"/>
              <w:left w:val="double" w:sz="6" w:space="0" w:color="auto"/>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278</w:t>
            </w:r>
          </w:p>
        </w:tc>
        <w:tc>
          <w:tcPr>
            <w:tcW w:w="1170"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306</w:t>
            </w:r>
          </w:p>
        </w:tc>
        <w:tc>
          <w:tcPr>
            <w:tcW w:w="1170"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-28</w:t>
            </w:r>
          </w:p>
        </w:tc>
        <w:tc>
          <w:tcPr>
            <w:tcW w:w="1363"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91%</w:t>
            </w:r>
          </w:p>
        </w:tc>
      </w:tr>
      <w:tr w:rsidR="00326E44" w:rsidRPr="00326E44" w:rsidTr="00900B3D">
        <w:trPr>
          <w:trHeight w:val="215"/>
          <w:jc w:val="center"/>
        </w:trPr>
        <w:tc>
          <w:tcPr>
            <w:tcW w:w="534" w:type="dxa"/>
            <w:tcBorders>
              <w:top w:val="nil"/>
              <w:left w:val="double" w:sz="6" w:space="0" w:color="auto"/>
              <w:bottom w:val="single" w:sz="8" w:space="0" w:color="auto"/>
              <w:right w:val="single" w:sz="8" w:space="0" w:color="C0C0C0"/>
            </w:tcBorders>
            <w:shd w:val="clear" w:color="auto" w:fill="auto"/>
            <w:noWrap/>
            <w:vAlign w:val="center"/>
            <w:hideMark/>
          </w:tcPr>
          <w:p w:rsidR="00326E44" w:rsidRPr="00326E44" w:rsidRDefault="00326E44" w:rsidP="00900B3D">
            <w:pPr>
              <w:jc w:val="right"/>
              <w:rPr>
                <w:rFonts w:asciiTheme="minorHAnsi" w:hAnsiTheme="minorHAnsi"/>
                <w:sz w:val="18"/>
                <w:szCs w:val="22"/>
              </w:rPr>
            </w:pPr>
            <w:r w:rsidRPr="00326E44">
              <w:rPr>
                <w:rFonts w:asciiTheme="minorHAnsi" w:hAnsiTheme="minorHAnsi"/>
                <w:sz w:val="18"/>
                <w:szCs w:val="22"/>
              </w:rPr>
              <w:t>I.3</w:t>
            </w:r>
          </w:p>
        </w:tc>
        <w:tc>
          <w:tcPr>
            <w:tcW w:w="3840" w:type="dxa"/>
            <w:tcBorders>
              <w:top w:val="nil"/>
              <w:left w:val="nil"/>
              <w:bottom w:val="single" w:sz="8" w:space="0" w:color="auto"/>
              <w:right w:val="nil"/>
            </w:tcBorders>
            <w:shd w:val="clear" w:color="auto" w:fill="auto"/>
            <w:noWrap/>
            <w:vAlign w:val="center"/>
            <w:hideMark/>
          </w:tcPr>
          <w:p w:rsidR="00326E44" w:rsidRPr="00326E44" w:rsidRDefault="00326E44" w:rsidP="00900B3D">
            <w:pPr>
              <w:rPr>
                <w:rFonts w:asciiTheme="minorHAnsi" w:hAnsiTheme="minorHAnsi"/>
                <w:i/>
                <w:iCs/>
                <w:sz w:val="18"/>
                <w:szCs w:val="22"/>
                <w:lang w:val="sq-AL"/>
              </w:rPr>
            </w:pPr>
            <w:r w:rsidRPr="00326E44">
              <w:rPr>
                <w:rFonts w:asciiTheme="minorHAnsi" w:hAnsiTheme="minorHAnsi"/>
                <w:i/>
                <w:iCs/>
                <w:sz w:val="18"/>
                <w:szCs w:val="22"/>
                <w:lang w:val="sq-AL"/>
              </w:rPr>
              <w:t>Taksa Lokale</w:t>
            </w:r>
          </w:p>
        </w:tc>
        <w:tc>
          <w:tcPr>
            <w:tcW w:w="1219" w:type="dxa"/>
            <w:tcBorders>
              <w:top w:val="nil"/>
              <w:left w:val="double" w:sz="6" w:space="0" w:color="auto"/>
              <w:bottom w:val="single" w:sz="8" w:space="0" w:color="auto"/>
              <w:right w:val="nil"/>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7,894</w:t>
            </w:r>
          </w:p>
        </w:tc>
        <w:tc>
          <w:tcPr>
            <w:tcW w:w="1170" w:type="dxa"/>
            <w:tcBorders>
              <w:top w:val="nil"/>
              <w:left w:val="nil"/>
              <w:bottom w:val="single" w:sz="8" w:space="0" w:color="auto"/>
              <w:right w:val="double" w:sz="6" w:space="0" w:color="auto"/>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5,280</w:t>
            </w:r>
          </w:p>
        </w:tc>
        <w:tc>
          <w:tcPr>
            <w:tcW w:w="1170" w:type="dxa"/>
            <w:tcBorders>
              <w:top w:val="nil"/>
              <w:left w:val="nil"/>
              <w:bottom w:val="single" w:sz="8" w:space="0" w:color="auto"/>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2,614</w:t>
            </w:r>
          </w:p>
        </w:tc>
        <w:tc>
          <w:tcPr>
            <w:tcW w:w="1363" w:type="dxa"/>
            <w:tcBorders>
              <w:top w:val="nil"/>
              <w:left w:val="nil"/>
              <w:bottom w:val="single" w:sz="8" w:space="0" w:color="auto"/>
              <w:right w:val="double" w:sz="6" w:space="0" w:color="auto"/>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150%</w:t>
            </w:r>
          </w:p>
        </w:tc>
      </w:tr>
      <w:tr w:rsidR="00326E44" w:rsidRPr="00326E44" w:rsidTr="00900B3D">
        <w:trPr>
          <w:trHeight w:val="215"/>
          <w:jc w:val="center"/>
        </w:trPr>
        <w:tc>
          <w:tcPr>
            <w:tcW w:w="534" w:type="dxa"/>
            <w:tcBorders>
              <w:top w:val="nil"/>
              <w:left w:val="double" w:sz="6" w:space="0" w:color="auto"/>
              <w:bottom w:val="single" w:sz="8" w:space="0" w:color="auto"/>
              <w:right w:val="single" w:sz="8" w:space="0" w:color="C0C0C0"/>
            </w:tcBorders>
            <w:shd w:val="clear" w:color="auto" w:fill="auto"/>
            <w:noWrap/>
            <w:vAlign w:val="center"/>
            <w:hideMark/>
          </w:tcPr>
          <w:p w:rsidR="00326E44" w:rsidRPr="00326E44" w:rsidRDefault="00326E44" w:rsidP="00900B3D">
            <w:pPr>
              <w:jc w:val="center"/>
              <w:rPr>
                <w:rFonts w:asciiTheme="minorHAnsi" w:hAnsiTheme="minorHAnsi"/>
                <w:b/>
                <w:bCs/>
                <w:sz w:val="18"/>
                <w:szCs w:val="22"/>
              </w:rPr>
            </w:pPr>
            <w:r w:rsidRPr="00326E44">
              <w:rPr>
                <w:rFonts w:asciiTheme="minorHAnsi" w:hAnsiTheme="minorHAnsi"/>
                <w:b/>
                <w:bCs/>
                <w:sz w:val="18"/>
                <w:szCs w:val="22"/>
              </w:rPr>
              <w:t>II.</w:t>
            </w:r>
          </w:p>
        </w:tc>
        <w:tc>
          <w:tcPr>
            <w:tcW w:w="3840" w:type="dxa"/>
            <w:tcBorders>
              <w:top w:val="nil"/>
              <w:left w:val="nil"/>
              <w:bottom w:val="single" w:sz="8" w:space="0" w:color="auto"/>
              <w:right w:val="double" w:sz="6" w:space="0" w:color="auto"/>
            </w:tcBorders>
            <w:shd w:val="clear" w:color="auto" w:fill="auto"/>
            <w:noWrap/>
            <w:vAlign w:val="center"/>
            <w:hideMark/>
          </w:tcPr>
          <w:p w:rsidR="00326E44" w:rsidRPr="00326E44" w:rsidRDefault="00326E44" w:rsidP="00900B3D">
            <w:pPr>
              <w:jc w:val="both"/>
              <w:rPr>
                <w:rFonts w:asciiTheme="minorHAnsi" w:hAnsiTheme="minorHAnsi"/>
                <w:b/>
                <w:bCs/>
                <w:sz w:val="18"/>
                <w:szCs w:val="22"/>
                <w:lang w:val="sq-AL"/>
              </w:rPr>
            </w:pPr>
            <w:r w:rsidRPr="00326E44">
              <w:rPr>
                <w:rFonts w:asciiTheme="minorHAnsi" w:hAnsiTheme="minorHAnsi"/>
                <w:b/>
                <w:bCs/>
                <w:sz w:val="18"/>
                <w:szCs w:val="22"/>
                <w:lang w:val="sq-AL"/>
              </w:rPr>
              <w:t>Shpenzime nga Pushtetit Vendor</w:t>
            </w:r>
          </w:p>
        </w:tc>
        <w:tc>
          <w:tcPr>
            <w:tcW w:w="1219" w:type="dxa"/>
            <w:tcBorders>
              <w:top w:val="nil"/>
              <w:left w:val="nil"/>
              <w:bottom w:val="single" w:sz="8" w:space="0" w:color="auto"/>
              <w:right w:val="nil"/>
            </w:tcBorders>
            <w:shd w:val="clear" w:color="auto" w:fill="auto"/>
            <w:noWrap/>
            <w:vAlign w:val="center"/>
            <w:hideMark/>
          </w:tcPr>
          <w:p w:rsidR="00326E44" w:rsidRPr="00326E44" w:rsidRDefault="00326E44" w:rsidP="00900B3D">
            <w:pPr>
              <w:jc w:val="right"/>
              <w:rPr>
                <w:rFonts w:ascii="Calibri" w:hAnsi="Calibri" w:cs="Calibri"/>
                <w:b/>
                <w:bCs/>
                <w:sz w:val="18"/>
                <w:szCs w:val="18"/>
              </w:rPr>
            </w:pPr>
            <w:r w:rsidRPr="00326E44">
              <w:rPr>
                <w:rFonts w:ascii="Calibri" w:hAnsi="Calibri" w:cs="Calibri"/>
                <w:b/>
                <w:bCs/>
                <w:sz w:val="18"/>
                <w:szCs w:val="18"/>
              </w:rPr>
              <w:t>19,809</w:t>
            </w:r>
          </w:p>
        </w:tc>
        <w:tc>
          <w:tcPr>
            <w:tcW w:w="1170" w:type="dxa"/>
            <w:tcBorders>
              <w:top w:val="nil"/>
              <w:left w:val="nil"/>
              <w:bottom w:val="single" w:sz="8" w:space="0" w:color="auto"/>
              <w:right w:val="nil"/>
            </w:tcBorders>
            <w:shd w:val="clear" w:color="auto" w:fill="auto"/>
            <w:noWrap/>
            <w:vAlign w:val="center"/>
            <w:hideMark/>
          </w:tcPr>
          <w:p w:rsidR="00326E44" w:rsidRPr="00326E44" w:rsidRDefault="00326E44" w:rsidP="00900B3D">
            <w:pPr>
              <w:jc w:val="right"/>
              <w:rPr>
                <w:rFonts w:ascii="Calibri" w:hAnsi="Calibri" w:cs="Calibri"/>
                <w:b/>
                <w:bCs/>
                <w:sz w:val="18"/>
                <w:szCs w:val="18"/>
              </w:rPr>
            </w:pPr>
            <w:r w:rsidRPr="00326E44">
              <w:rPr>
                <w:rFonts w:ascii="Calibri" w:hAnsi="Calibri" w:cs="Calibri"/>
                <w:b/>
                <w:bCs/>
                <w:sz w:val="18"/>
                <w:szCs w:val="18"/>
              </w:rPr>
              <w:t>17,202</w:t>
            </w:r>
          </w:p>
        </w:tc>
        <w:tc>
          <w:tcPr>
            <w:tcW w:w="1170" w:type="dxa"/>
            <w:tcBorders>
              <w:top w:val="nil"/>
              <w:left w:val="double" w:sz="6" w:space="0" w:color="auto"/>
              <w:bottom w:val="single" w:sz="8" w:space="0" w:color="auto"/>
              <w:right w:val="nil"/>
            </w:tcBorders>
            <w:shd w:val="clear" w:color="auto" w:fill="auto"/>
            <w:noWrap/>
            <w:vAlign w:val="center"/>
            <w:hideMark/>
          </w:tcPr>
          <w:p w:rsidR="00326E44" w:rsidRPr="00326E44" w:rsidRDefault="00326E44" w:rsidP="00900B3D">
            <w:pPr>
              <w:jc w:val="right"/>
              <w:rPr>
                <w:rFonts w:ascii="Calibri" w:hAnsi="Calibri" w:cs="Calibri"/>
                <w:b/>
                <w:bCs/>
                <w:sz w:val="18"/>
                <w:szCs w:val="18"/>
              </w:rPr>
            </w:pPr>
            <w:r w:rsidRPr="00326E44">
              <w:rPr>
                <w:rFonts w:ascii="Calibri" w:hAnsi="Calibri" w:cs="Calibri"/>
                <w:b/>
                <w:bCs/>
                <w:sz w:val="18"/>
                <w:szCs w:val="18"/>
              </w:rPr>
              <w:t>2,607</w:t>
            </w:r>
          </w:p>
        </w:tc>
        <w:tc>
          <w:tcPr>
            <w:tcW w:w="1363" w:type="dxa"/>
            <w:tcBorders>
              <w:top w:val="nil"/>
              <w:left w:val="nil"/>
              <w:bottom w:val="single" w:sz="8" w:space="0" w:color="auto"/>
              <w:right w:val="double" w:sz="6" w:space="0" w:color="auto"/>
            </w:tcBorders>
            <w:shd w:val="clear" w:color="auto" w:fill="auto"/>
            <w:noWrap/>
            <w:vAlign w:val="center"/>
            <w:hideMark/>
          </w:tcPr>
          <w:p w:rsidR="00326E44" w:rsidRPr="00326E44" w:rsidRDefault="00326E44" w:rsidP="00900B3D">
            <w:pPr>
              <w:jc w:val="right"/>
              <w:rPr>
                <w:rFonts w:ascii="Calibri" w:hAnsi="Calibri" w:cs="Calibri"/>
                <w:b/>
                <w:bCs/>
                <w:sz w:val="18"/>
                <w:szCs w:val="18"/>
              </w:rPr>
            </w:pPr>
            <w:r w:rsidRPr="00326E44">
              <w:rPr>
                <w:rFonts w:ascii="Calibri" w:hAnsi="Calibri" w:cs="Calibri"/>
                <w:b/>
                <w:bCs/>
                <w:sz w:val="18"/>
                <w:szCs w:val="18"/>
              </w:rPr>
              <w:t>115%</w:t>
            </w:r>
          </w:p>
        </w:tc>
      </w:tr>
      <w:tr w:rsidR="00326E44" w:rsidRPr="00326E44" w:rsidTr="00900B3D">
        <w:trPr>
          <w:trHeight w:val="215"/>
          <w:jc w:val="center"/>
        </w:trPr>
        <w:tc>
          <w:tcPr>
            <w:tcW w:w="534" w:type="dxa"/>
            <w:tcBorders>
              <w:top w:val="nil"/>
              <w:left w:val="double" w:sz="6" w:space="0" w:color="auto"/>
              <w:bottom w:val="single" w:sz="8" w:space="0" w:color="C0C0C0"/>
              <w:right w:val="single" w:sz="8" w:space="0" w:color="C0C0C0"/>
            </w:tcBorders>
            <w:shd w:val="clear" w:color="auto" w:fill="auto"/>
            <w:noWrap/>
            <w:vAlign w:val="center"/>
            <w:hideMark/>
          </w:tcPr>
          <w:p w:rsidR="00326E44" w:rsidRPr="00326E44" w:rsidRDefault="00326E44" w:rsidP="00900B3D">
            <w:pPr>
              <w:jc w:val="right"/>
              <w:rPr>
                <w:rFonts w:asciiTheme="minorHAnsi" w:hAnsiTheme="minorHAnsi"/>
                <w:sz w:val="18"/>
                <w:szCs w:val="22"/>
              </w:rPr>
            </w:pPr>
            <w:r w:rsidRPr="00326E44">
              <w:rPr>
                <w:rFonts w:asciiTheme="minorHAnsi" w:hAnsiTheme="minorHAnsi"/>
                <w:sz w:val="18"/>
                <w:szCs w:val="22"/>
              </w:rPr>
              <w:t>II.1</w:t>
            </w:r>
          </w:p>
        </w:tc>
        <w:tc>
          <w:tcPr>
            <w:tcW w:w="3840"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jc w:val="both"/>
              <w:rPr>
                <w:rFonts w:asciiTheme="minorHAnsi" w:hAnsiTheme="minorHAnsi"/>
                <w:b/>
                <w:bCs/>
                <w:i/>
                <w:iCs/>
                <w:sz w:val="18"/>
                <w:szCs w:val="22"/>
                <w:lang w:val="sq-AL"/>
              </w:rPr>
            </w:pPr>
            <w:r w:rsidRPr="00326E44">
              <w:rPr>
                <w:rFonts w:asciiTheme="minorHAnsi" w:hAnsiTheme="minorHAnsi"/>
                <w:b/>
                <w:bCs/>
                <w:i/>
                <w:iCs/>
                <w:sz w:val="18"/>
                <w:szCs w:val="22"/>
                <w:lang w:val="sq-AL"/>
              </w:rPr>
              <w:t>Shpenzime Korente</w:t>
            </w:r>
          </w:p>
        </w:tc>
        <w:tc>
          <w:tcPr>
            <w:tcW w:w="1219"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15,759</w:t>
            </w:r>
          </w:p>
        </w:tc>
        <w:tc>
          <w:tcPr>
            <w:tcW w:w="1170"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14,158</w:t>
            </w:r>
          </w:p>
        </w:tc>
        <w:tc>
          <w:tcPr>
            <w:tcW w:w="1170" w:type="dxa"/>
            <w:tcBorders>
              <w:top w:val="nil"/>
              <w:left w:val="double" w:sz="6" w:space="0" w:color="auto"/>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1,601</w:t>
            </w:r>
          </w:p>
        </w:tc>
        <w:tc>
          <w:tcPr>
            <w:tcW w:w="1363"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111%</w:t>
            </w:r>
          </w:p>
        </w:tc>
      </w:tr>
      <w:tr w:rsidR="00326E44" w:rsidRPr="00326E44" w:rsidTr="00900B3D">
        <w:trPr>
          <w:trHeight w:val="215"/>
          <w:jc w:val="center"/>
        </w:trPr>
        <w:tc>
          <w:tcPr>
            <w:tcW w:w="534" w:type="dxa"/>
            <w:tcBorders>
              <w:top w:val="nil"/>
              <w:left w:val="double" w:sz="6" w:space="0" w:color="auto"/>
              <w:bottom w:val="single" w:sz="8" w:space="0" w:color="C0C0C0"/>
              <w:right w:val="single" w:sz="8" w:space="0" w:color="C0C0C0"/>
            </w:tcBorders>
            <w:shd w:val="clear" w:color="auto" w:fill="auto"/>
            <w:noWrap/>
            <w:vAlign w:val="center"/>
            <w:hideMark/>
          </w:tcPr>
          <w:p w:rsidR="00326E44" w:rsidRPr="00326E44" w:rsidRDefault="00326E44" w:rsidP="00900B3D">
            <w:pPr>
              <w:jc w:val="right"/>
              <w:rPr>
                <w:rFonts w:asciiTheme="minorHAnsi" w:hAnsiTheme="minorHAnsi"/>
                <w:sz w:val="18"/>
                <w:szCs w:val="22"/>
              </w:rPr>
            </w:pPr>
            <w:r w:rsidRPr="00326E44">
              <w:rPr>
                <w:rFonts w:asciiTheme="minorHAnsi" w:hAnsiTheme="minorHAnsi"/>
                <w:sz w:val="18"/>
                <w:szCs w:val="22"/>
              </w:rPr>
              <w:t> </w:t>
            </w:r>
          </w:p>
        </w:tc>
        <w:tc>
          <w:tcPr>
            <w:tcW w:w="3840"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jc w:val="both"/>
              <w:rPr>
                <w:rFonts w:asciiTheme="minorHAnsi" w:hAnsiTheme="minorHAnsi"/>
                <w:i/>
                <w:iCs/>
                <w:sz w:val="18"/>
                <w:szCs w:val="22"/>
                <w:lang w:val="sq-AL"/>
              </w:rPr>
            </w:pPr>
            <w:r w:rsidRPr="00326E44">
              <w:rPr>
                <w:rFonts w:asciiTheme="minorHAnsi" w:hAnsiTheme="minorHAnsi"/>
                <w:i/>
                <w:iCs/>
                <w:sz w:val="18"/>
                <w:szCs w:val="22"/>
                <w:lang w:val="sq-AL"/>
              </w:rPr>
              <w:t xml:space="preserve">Personeli </w:t>
            </w:r>
          </w:p>
        </w:tc>
        <w:tc>
          <w:tcPr>
            <w:tcW w:w="1219"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9,872</w:t>
            </w:r>
          </w:p>
        </w:tc>
        <w:tc>
          <w:tcPr>
            <w:tcW w:w="1170"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9,239</w:t>
            </w:r>
          </w:p>
        </w:tc>
        <w:tc>
          <w:tcPr>
            <w:tcW w:w="1170" w:type="dxa"/>
            <w:tcBorders>
              <w:top w:val="nil"/>
              <w:left w:val="double" w:sz="6" w:space="0" w:color="auto"/>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633</w:t>
            </w:r>
          </w:p>
        </w:tc>
        <w:tc>
          <w:tcPr>
            <w:tcW w:w="1363"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107%</w:t>
            </w:r>
          </w:p>
        </w:tc>
      </w:tr>
      <w:tr w:rsidR="00326E44" w:rsidRPr="00326E44" w:rsidTr="00900B3D">
        <w:trPr>
          <w:trHeight w:val="215"/>
          <w:jc w:val="center"/>
        </w:trPr>
        <w:tc>
          <w:tcPr>
            <w:tcW w:w="534" w:type="dxa"/>
            <w:tcBorders>
              <w:top w:val="nil"/>
              <w:left w:val="double" w:sz="6" w:space="0" w:color="auto"/>
              <w:bottom w:val="single" w:sz="8" w:space="0" w:color="C0C0C0"/>
              <w:right w:val="single" w:sz="8" w:space="0" w:color="C0C0C0"/>
            </w:tcBorders>
            <w:shd w:val="clear" w:color="auto" w:fill="auto"/>
            <w:noWrap/>
            <w:vAlign w:val="center"/>
            <w:hideMark/>
          </w:tcPr>
          <w:p w:rsidR="00326E44" w:rsidRPr="00326E44" w:rsidRDefault="00326E44" w:rsidP="00900B3D">
            <w:pPr>
              <w:jc w:val="right"/>
              <w:rPr>
                <w:rFonts w:asciiTheme="minorHAnsi" w:hAnsiTheme="minorHAnsi"/>
                <w:sz w:val="18"/>
                <w:szCs w:val="22"/>
              </w:rPr>
            </w:pPr>
            <w:r w:rsidRPr="00326E44">
              <w:rPr>
                <w:rFonts w:asciiTheme="minorHAnsi" w:hAnsiTheme="minorHAnsi"/>
                <w:sz w:val="18"/>
                <w:szCs w:val="22"/>
              </w:rPr>
              <w:t> </w:t>
            </w:r>
          </w:p>
        </w:tc>
        <w:tc>
          <w:tcPr>
            <w:tcW w:w="3840"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rPr>
                <w:rFonts w:asciiTheme="minorHAnsi" w:hAnsiTheme="minorHAnsi"/>
                <w:i/>
                <w:iCs/>
                <w:sz w:val="18"/>
                <w:szCs w:val="22"/>
                <w:lang w:val="sq-AL"/>
              </w:rPr>
            </w:pPr>
            <w:r w:rsidRPr="00326E44">
              <w:rPr>
                <w:rFonts w:asciiTheme="minorHAnsi" w:hAnsiTheme="minorHAnsi"/>
                <w:i/>
                <w:iCs/>
                <w:sz w:val="18"/>
                <w:szCs w:val="22"/>
                <w:lang w:val="sq-AL"/>
              </w:rPr>
              <w:t>Shpenzime Oper. Mirmbajtje</w:t>
            </w:r>
          </w:p>
        </w:tc>
        <w:tc>
          <w:tcPr>
            <w:tcW w:w="1219"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5,257</w:t>
            </w:r>
          </w:p>
        </w:tc>
        <w:tc>
          <w:tcPr>
            <w:tcW w:w="1170"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4,464</w:t>
            </w:r>
          </w:p>
        </w:tc>
        <w:tc>
          <w:tcPr>
            <w:tcW w:w="1170" w:type="dxa"/>
            <w:tcBorders>
              <w:top w:val="nil"/>
              <w:left w:val="double" w:sz="6" w:space="0" w:color="auto"/>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793</w:t>
            </w:r>
          </w:p>
        </w:tc>
        <w:tc>
          <w:tcPr>
            <w:tcW w:w="1363"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118%</w:t>
            </w:r>
          </w:p>
        </w:tc>
      </w:tr>
      <w:tr w:rsidR="00326E44" w:rsidRPr="00326E44" w:rsidTr="00900B3D">
        <w:trPr>
          <w:trHeight w:val="215"/>
          <w:jc w:val="center"/>
        </w:trPr>
        <w:tc>
          <w:tcPr>
            <w:tcW w:w="534" w:type="dxa"/>
            <w:tcBorders>
              <w:top w:val="nil"/>
              <w:left w:val="double" w:sz="6" w:space="0" w:color="auto"/>
              <w:bottom w:val="single" w:sz="8" w:space="0" w:color="C0C0C0"/>
              <w:right w:val="single" w:sz="8" w:space="0" w:color="C0C0C0"/>
            </w:tcBorders>
            <w:shd w:val="clear" w:color="auto" w:fill="auto"/>
            <w:noWrap/>
            <w:vAlign w:val="center"/>
            <w:hideMark/>
          </w:tcPr>
          <w:p w:rsidR="00326E44" w:rsidRPr="00326E44" w:rsidRDefault="00326E44" w:rsidP="00900B3D">
            <w:pPr>
              <w:jc w:val="right"/>
              <w:rPr>
                <w:rFonts w:asciiTheme="minorHAnsi" w:hAnsiTheme="minorHAnsi"/>
                <w:sz w:val="18"/>
                <w:szCs w:val="22"/>
              </w:rPr>
            </w:pPr>
            <w:r w:rsidRPr="00326E44">
              <w:rPr>
                <w:rFonts w:asciiTheme="minorHAnsi" w:hAnsiTheme="minorHAnsi"/>
                <w:sz w:val="18"/>
                <w:szCs w:val="22"/>
              </w:rPr>
              <w:t> </w:t>
            </w:r>
          </w:p>
        </w:tc>
        <w:tc>
          <w:tcPr>
            <w:tcW w:w="3840"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rPr>
                <w:rFonts w:asciiTheme="minorHAnsi" w:hAnsiTheme="minorHAnsi"/>
                <w:i/>
                <w:iCs/>
                <w:sz w:val="18"/>
                <w:szCs w:val="22"/>
                <w:lang w:val="sq-AL"/>
              </w:rPr>
            </w:pPr>
            <w:r w:rsidRPr="00326E44">
              <w:rPr>
                <w:rFonts w:asciiTheme="minorHAnsi" w:hAnsiTheme="minorHAnsi"/>
                <w:i/>
                <w:iCs/>
                <w:sz w:val="18"/>
                <w:szCs w:val="22"/>
                <w:lang w:val="sq-AL"/>
              </w:rPr>
              <w:t>Subvencione</w:t>
            </w:r>
          </w:p>
        </w:tc>
        <w:tc>
          <w:tcPr>
            <w:tcW w:w="1219"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58</w:t>
            </w:r>
          </w:p>
        </w:tc>
        <w:tc>
          <w:tcPr>
            <w:tcW w:w="1170"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57</w:t>
            </w:r>
          </w:p>
        </w:tc>
        <w:tc>
          <w:tcPr>
            <w:tcW w:w="1170" w:type="dxa"/>
            <w:tcBorders>
              <w:top w:val="nil"/>
              <w:left w:val="double" w:sz="6" w:space="0" w:color="auto"/>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w:t>
            </w:r>
          </w:p>
        </w:tc>
        <w:tc>
          <w:tcPr>
            <w:tcW w:w="1363"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102%</w:t>
            </w:r>
          </w:p>
        </w:tc>
      </w:tr>
      <w:tr w:rsidR="00326E44" w:rsidRPr="00326E44" w:rsidTr="00900B3D">
        <w:trPr>
          <w:trHeight w:val="215"/>
          <w:jc w:val="center"/>
        </w:trPr>
        <w:tc>
          <w:tcPr>
            <w:tcW w:w="534" w:type="dxa"/>
            <w:tcBorders>
              <w:top w:val="nil"/>
              <w:left w:val="double" w:sz="6" w:space="0" w:color="auto"/>
              <w:bottom w:val="single" w:sz="8" w:space="0" w:color="C0C0C0"/>
              <w:right w:val="single" w:sz="8" w:space="0" w:color="C0C0C0"/>
            </w:tcBorders>
            <w:shd w:val="clear" w:color="auto" w:fill="auto"/>
            <w:noWrap/>
            <w:vAlign w:val="center"/>
            <w:hideMark/>
          </w:tcPr>
          <w:p w:rsidR="00326E44" w:rsidRPr="00326E44" w:rsidRDefault="00326E44" w:rsidP="00900B3D">
            <w:pPr>
              <w:jc w:val="right"/>
              <w:rPr>
                <w:rFonts w:asciiTheme="minorHAnsi" w:hAnsiTheme="minorHAnsi"/>
                <w:sz w:val="18"/>
                <w:szCs w:val="22"/>
              </w:rPr>
            </w:pPr>
            <w:r w:rsidRPr="00326E44">
              <w:rPr>
                <w:rFonts w:asciiTheme="minorHAnsi" w:hAnsiTheme="minorHAnsi"/>
                <w:sz w:val="18"/>
                <w:szCs w:val="22"/>
              </w:rPr>
              <w:t> </w:t>
            </w:r>
          </w:p>
        </w:tc>
        <w:tc>
          <w:tcPr>
            <w:tcW w:w="3840"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rPr>
                <w:rFonts w:asciiTheme="minorHAnsi" w:hAnsiTheme="minorHAnsi"/>
                <w:i/>
                <w:iCs/>
                <w:sz w:val="18"/>
                <w:szCs w:val="22"/>
                <w:lang w:val="sq-AL"/>
              </w:rPr>
            </w:pPr>
            <w:r w:rsidRPr="00326E44">
              <w:rPr>
                <w:rFonts w:asciiTheme="minorHAnsi" w:hAnsiTheme="minorHAnsi"/>
                <w:i/>
                <w:iCs/>
                <w:sz w:val="18"/>
                <w:szCs w:val="22"/>
                <w:lang w:val="sq-AL"/>
              </w:rPr>
              <w:t>Te tjera</w:t>
            </w:r>
          </w:p>
        </w:tc>
        <w:tc>
          <w:tcPr>
            <w:tcW w:w="1219"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572</w:t>
            </w:r>
          </w:p>
        </w:tc>
        <w:tc>
          <w:tcPr>
            <w:tcW w:w="1170"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i/>
                <w:iCs/>
                <w:sz w:val="18"/>
                <w:szCs w:val="18"/>
              </w:rPr>
            </w:pPr>
            <w:r w:rsidRPr="00326E44">
              <w:rPr>
                <w:rFonts w:ascii="Calibri" w:hAnsi="Calibri" w:cs="Calibri"/>
                <w:i/>
                <w:iCs/>
                <w:sz w:val="18"/>
                <w:szCs w:val="18"/>
              </w:rPr>
              <w:t>398</w:t>
            </w:r>
          </w:p>
        </w:tc>
        <w:tc>
          <w:tcPr>
            <w:tcW w:w="1170" w:type="dxa"/>
            <w:tcBorders>
              <w:top w:val="nil"/>
              <w:left w:val="double" w:sz="6" w:space="0" w:color="auto"/>
              <w:bottom w:val="single" w:sz="8" w:space="0" w:color="C0C0C0"/>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174</w:t>
            </w:r>
          </w:p>
        </w:tc>
        <w:tc>
          <w:tcPr>
            <w:tcW w:w="1363" w:type="dxa"/>
            <w:tcBorders>
              <w:top w:val="nil"/>
              <w:left w:val="nil"/>
              <w:bottom w:val="single" w:sz="8" w:space="0" w:color="C0C0C0"/>
              <w:right w:val="double" w:sz="6" w:space="0" w:color="auto"/>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144%</w:t>
            </w:r>
          </w:p>
        </w:tc>
      </w:tr>
      <w:tr w:rsidR="00326E44" w:rsidRPr="00326E44" w:rsidTr="00900B3D">
        <w:trPr>
          <w:trHeight w:val="55"/>
          <w:jc w:val="center"/>
        </w:trPr>
        <w:tc>
          <w:tcPr>
            <w:tcW w:w="534" w:type="dxa"/>
            <w:tcBorders>
              <w:top w:val="single" w:sz="8" w:space="0" w:color="C0C0C0"/>
              <w:left w:val="double" w:sz="6" w:space="0" w:color="auto"/>
              <w:bottom w:val="double" w:sz="4" w:space="0" w:color="auto"/>
              <w:right w:val="single" w:sz="8" w:space="0" w:color="C0C0C0"/>
            </w:tcBorders>
            <w:shd w:val="clear" w:color="auto" w:fill="auto"/>
            <w:noWrap/>
            <w:vAlign w:val="center"/>
            <w:hideMark/>
          </w:tcPr>
          <w:p w:rsidR="00326E44" w:rsidRPr="00326E44" w:rsidRDefault="00326E44" w:rsidP="00900B3D">
            <w:pPr>
              <w:jc w:val="right"/>
              <w:rPr>
                <w:rFonts w:asciiTheme="minorHAnsi" w:hAnsiTheme="minorHAnsi"/>
                <w:sz w:val="18"/>
                <w:szCs w:val="22"/>
              </w:rPr>
            </w:pPr>
            <w:r w:rsidRPr="00326E44">
              <w:rPr>
                <w:rFonts w:asciiTheme="minorHAnsi" w:hAnsiTheme="minorHAnsi"/>
                <w:sz w:val="18"/>
                <w:szCs w:val="22"/>
              </w:rPr>
              <w:t>II.2</w:t>
            </w:r>
          </w:p>
        </w:tc>
        <w:tc>
          <w:tcPr>
            <w:tcW w:w="3840" w:type="dxa"/>
            <w:tcBorders>
              <w:top w:val="single" w:sz="8" w:space="0" w:color="C0C0C0"/>
              <w:left w:val="nil"/>
              <w:bottom w:val="double" w:sz="4" w:space="0" w:color="auto"/>
              <w:right w:val="double" w:sz="6" w:space="0" w:color="auto"/>
            </w:tcBorders>
            <w:shd w:val="clear" w:color="auto" w:fill="auto"/>
            <w:noWrap/>
            <w:vAlign w:val="center"/>
            <w:hideMark/>
          </w:tcPr>
          <w:p w:rsidR="00326E44" w:rsidRPr="00326E44" w:rsidRDefault="00326E44" w:rsidP="00900B3D">
            <w:pPr>
              <w:jc w:val="both"/>
              <w:rPr>
                <w:rFonts w:asciiTheme="minorHAnsi" w:hAnsiTheme="minorHAnsi"/>
                <w:b/>
                <w:bCs/>
                <w:i/>
                <w:iCs/>
                <w:sz w:val="18"/>
                <w:szCs w:val="22"/>
                <w:lang w:val="sq-AL"/>
              </w:rPr>
            </w:pPr>
            <w:r w:rsidRPr="00326E44">
              <w:rPr>
                <w:rFonts w:asciiTheme="minorHAnsi" w:hAnsiTheme="minorHAnsi"/>
                <w:b/>
                <w:bCs/>
                <w:i/>
                <w:iCs/>
                <w:sz w:val="18"/>
                <w:szCs w:val="22"/>
                <w:lang w:val="sq-AL"/>
              </w:rPr>
              <w:t>Shpenzime Kapitale</w:t>
            </w:r>
          </w:p>
        </w:tc>
        <w:tc>
          <w:tcPr>
            <w:tcW w:w="1219" w:type="dxa"/>
            <w:tcBorders>
              <w:top w:val="single" w:sz="8" w:space="0" w:color="C0C0C0"/>
              <w:left w:val="nil"/>
              <w:bottom w:val="double" w:sz="4" w:space="0" w:color="auto"/>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4,050</w:t>
            </w:r>
          </w:p>
        </w:tc>
        <w:tc>
          <w:tcPr>
            <w:tcW w:w="1170" w:type="dxa"/>
            <w:tcBorders>
              <w:top w:val="single" w:sz="8" w:space="0" w:color="C0C0C0"/>
              <w:left w:val="nil"/>
              <w:bottom w:val="double" w:sz="4" w:space="0" w:color="auto"/>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3,044</w:t>
            </w:r>
          </w:p>
        </w:tc>
        <w:tc>
          <w:tcPr>
            <w:tcW w:w="1170" w:type="dxa"/>
            <w:tcBorders>
              <w:top w:val="single" w:sz="8" w:space="0" w:color="C0C0C0"/>
              <w:left w:val="double" w:sz="6" w:space="0" w:color="auto"/>
              <w:bottom w:val="double" w:sz="4" w:space="0" w:color="auto"/>
              <w:right w:val="nil"/>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1,006</w:t>
            </w:r>
          </w:p>
        </w:tc>
        <w:tc>
          <w:tcPr>
            <w:tcW w:w="1363" w:type="dxa"/>
            <w:tcBorders>
              <w:top w:val="single" w:sz="8" w:space="0" w:color="C0C0C0"/>
              <w:left w:val="nil"/>
              <w:bottom w:val="double" w:sz="4" w:space="0" w:color="auto"/>
              <w:right w:val="double" w:sz="6" w:space="0" w:color="auto"/>
            </w:tcBorders>
            <w:shd w:val="clear" w:color="auto" w:fill="auto"/>
            <w:noWrap/>
            <w:vAlign w:val="center"/>
            <w:hideMark/>
          </w:tcPr>
          <w:p w:rsidR="00326E44" w:rsidRPr="00326E44" w:rsidRDefault="00326E44" w:rsidP="00900B3D">
            <w:pPr>
              <w:jc w:val="right"/>
              <w:rPr>
                <w:rFonts w:ascii="Calibri" w:hAnsi="Calibri" w:cs="Calibri"/>
                <w:sz w:val="18"/>
                <w:szCs w:val="18"/>
              </w:rPr>
            </w:pPr>
            <w:r w:rsidRPr="00326E44">
              <w:rPr>
                <w:rFonts w:ascii="Calibri" w:hAnsi="Calibri" w:cs="Calibri"/>
                <w:sz w:val="18"/>
                <w:szCs w:val="18"/>
              </w:rPr>
              <w:t>133%</w:t>
            </w:r>
          </w:p>
        </w:tc>
      </w:tr>
    </w:tbl>
    <w:p w:rsidR="00326E44" w:rsidRPr="00326E44" w:rsidRDefault="00326E44" w:rsidP="00326E44">
      <w:pPr>
        <w:spacing w:line="276" w:lineRule="auto"/>
        <w:rPr>
          <w:rFonts w:asciiTheme="minorHAnsi" w:hAnsiTheme="minorHAnsi"/>
          <w:i/>
          <w:sz w:val="20"/>
          <w:lang w:val="sq-AL"/>
        </w:rPr>
      </w:pPr>
      <w:r w:rsidRPr="00326E44">
        <w:rPr>
          <w:rFonts w:asciiTheme="minorHAnsi" w:hAnsiTheme="minorHAnsi"/>
          <w:i/>
          <w:sz w:val="20"/>
          <w:lang w:val="sq-AL"/>
        </w:rPr>
        <w:t xml:space="preserve">   Burimi: Drejtoria e Financave Vendore, Ministria e Financave dhe Ekonomisë (2021);</w:t>
      </w:r>
    </w:p>
    <w:p w:rsidR="00326E44" w:rsidRDefault="00326E44" w:rsidP="00326E44">
      <w:pPr>
        <w:spacing w:line="276" w:lineRule="auto"/>
        <w:ind w:firstLine="567"/>
        <w:jc w:val="both"/>
        <w:rPr>
          <w:rFonts w:asciiTheme="minorHAnsi" w:hAnsiTheme="minorHAnsi"/>
          <w:i/>
          <w:sz w:val="4"/>
          <w:szCs w:val="8"/>
          <w:lang w:val="sq-AL"/>
        </w:rPr>
      </w:pPr>
    </w:p>
    <w:p w:rsidR="00A4135D" w:rsidRDefault="00A4135D" w:rsidP="00326E44">
      <w:pPr>
        <w:spacing w:line="276" w:lineRule="auto"/>
        <w:ind w:firstLine="567"/>
        <w:jc w:val="both"/>
        <w:rPr>
          <w:rFonts w:asciiTheme="minorHAnsi" w:hAnsiTheme="minorHAnsi"/>
          <w:i/>
          <w:sz w:val="4"/>
          <w:szCs w:val="8"/>
          <w:lang w:val="sq-AL"/>
        </w:rPr>
      </w:pPr>
    </w:p>
    <w:p w:rsidR="00A4135D" w:rsidRPr="00326E44" w:rsidRDefault="00A4135D" w:rsidP="00326E44">
      <w:pPr>
        <w:spacing w:line="276" w:lineRule="auto"/>
        <w:ind w:firstLine="567"/>
        <w:jc w:val="both"/>
        <w:rPr>
          <w:rFonts w:asciiTheme="minorHAnsi" w:hAnsiTheme="minorHAnsi"/>
          <w:i/>
          <w:sz w:val="4"/>
          <w:szCs w:val="8"/>
          <w:lang w:val="sq-AL"/>
        </w:rPr>
      </w:pP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i/>
          <w:u w:val="single"/>
          <w:lang w:val="sq-AL"/>
        </w:rPr>
        <w:t>Shpenzimet e Personelit</w:t>
      </w:r>
      <w:r w:rsidRPr="00326E44">
        <w:rPr>
          <w:rFonts w:asciiTheme="minorHAnsi" w:hAnsiTheme="minorHAnsi"/>
          <w:lang w:val="sq-AL"/>
        </w:rPr>
        <w:t xml:space="preserve"> përbëjnë një pjesë të konsiderueshme të shpenzimeve totale të njësive të veqeverisjes vendore. Për 5 mujorin e vitit 2021 këto shpenzime janë realizuar në masën 9.8 miliard lekë ose rreth 633 milion lekë më shumë se e njëjta periudhë e një vitit më parë. Rritja e këtyre shpenzimeve për vitin 2021, argumentohet me faktin se tashmë njësitë vendore me shtimin e kompetencave dhe funksioneve që ata duhet të ushtrojnë kanë të domosdoshëm shtimin e personelit që ofron këto shërbime. Gjithashtu, rritja e shpenzimeve të personelit në këtë periudhë ka ardhur si rezultat i nevojës për shërbime urgjente dhe të drejtpërdrejta tek familjet në nevojë nga ana e njësive të vetëqeveriejses vendore.</w:t>
      </w: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i/>
          <w:u w:val="single"/>
          <w:lang w:val="sq-AL"/>
        </w:rPr>
        <w:t>Shpenzimet Operative</w:t>
      </w:r>
      <w:r w:rsidRPr="00326E44">
        <w:rPr>
          <w:rFonts w:asciiTheme="minorHAnsi" w:hAnsiTheme="minorHAnsi"/>
          <w:lang w:val="sq-AL"/>
        </w:rPr>
        <w:t xml:space="preserve"> që janë shumë të rëndësishme për mbarëvajtjen dhe ushtrimin e funksioneve ku rezultojnë me një rritje të ndjeshme sipas të dhënave faktike të thesarit. Shpenzimet operative përbëjnë rreth 33.4% të shpenzimeve korrente në total për 5 mujorin e parë të vitit 2021, një pjesë kjo jo e vogël për buxhetin njësive të vetëqeverisjes vendore. Këto shpenzime gjatë periudhës 5 mujore të vitit 2021 janë realizuar afërsisht në masën 5.3 miliard lekë ose rreth 793 milion lekë më shumë se e njëjta periudhë e vitit 2020.</w:t>
      </w: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i/>
          <w:u w:val="single"/>
          <w:lang w:val="sq-AL"/>
        </w:rPr>
        <w:t xml:space="preserve">Shpenzimet </w:t>
      </w:r>
      <w:r w:rsidRPr="00A4135D">
        <w:rPr>
          <w:rFonts w:asciiTheme="minorHAnsi" w:hAnsiTheme="minorHAnsi"/>
          <w:i/>
          <w:u w:val="single"/>
          <w:lang w:val="sq-AL"/>
        </w:rPr>
        <w:t>për subvencione dhe të tjera</w:t>
      </w:r>
      <w:r w:rsidRPr="00326E44">
        <w:rPr>
          <w:rFonts w:asciiTheme="minorHAnsi" w:hAnsiTheme="minorHAnsi"/>
          <w:lang w:val="sq-AL"/>
        </w:rPr>
        <w:t xml:space="preserve"> janë shpenzimet që zhvillojnë njësitë e vetëqeverisjes vendore për të subvencionuar dhe mbuluar funksione të tjera administrative. Në këto kushte nga sa përcaktohet në tabelën mësipërme në raport me 5 mujorin e parë të vitit 2020, këto shpenzime për të njëjtën periudhë në vitin 2021 janë pothuajse në të njëjtin nivel në zërin subvencione me rreth 2% rritje. Në vlerë absolute shpenzimet faktike për subvencione të pushtetit vendor gjatë 5 mujorit të parë 2021 janë realizuar rreth 58 milion lekë ose 1 milion lekë më shumë se e njëjta periudhë e vitit 2020. Ndërkohë, shpenzimet e tjera janë realizuar në masën 572 milion lekë ose 174 milion lekë më shumë se 5 mujori i parë i vitit 2020, që në përqindje përfaqëson edhe rritjen më të madhe të zërit të shpenzimeve krahasuar me 5 mujorin 2020.</w:t>
      </w:r>
    </w:p>
    <w:p w:rsidR="00326E44" w:rsidRPr="00326E44" w:rsidRDefault="00326E44" w:rsidP="00326E44">
      <w:pPr>
        <w:spacing w:before="120" w:after="120" w:line="276" w:lineRule="auto"/>
        <w:jc w:val="both"/>
        <w:rPr>
          <w:rFonts w:asciiTheme="minorHAnsi" w:hAnsiTheme="minorHAnsi"/>
          <w:lang w:val="sq-AL"/>
        </w:rPr>
      </w:pPr>
      <w:r w:rsidRPr="00326E44">
        <w:rPr>
          <w:rFonts w:asciiTheme="minorHAnsi" w:hAnsiTheme="minorHAnsi"/>
          <w:i/>
          <w:u w:val="single"/>
          <w:lang w:val="sq-AL"/>
        </w:rPr>
        <w:t>Shpenzimet Kapitale</w:t>
      </w:r>
      <w:r w:rsidRPr="00326E44">
        <w:rPr>
          <w:rFonts w:asciiTheme="minorHAnsi" w:hAnsiTheme="minorHAnsi"/>
          <w:lang w:val="sq-AL"/>
        </w:rPr>
        <w:t xml:space="preserve"> janë një zë mjaft i rëndësishëm jo vetëm për faktin që përbëjnë pjesën më të madhe të buxhetit vendor por edhe për shkak sepse këto shpenzime sjellin në mënyrë direkte dhe indirekte zhvillim ekonomik dhe për rrjedhojë ndikojnë mirëqënien e qytetarëve. Nga tabela e mësipërme vëmë re që në krahasim me një vit më parë gjatë 5 mujorit të parë të vitit 2021 shpenzimet për investime janë rritur me rreth 1 miliard lekë ose 33% më shumë. Rritja e peshës së </w:t>
      </w:r>
      <w:r w:rsidRPr="00326E44">
        <w:rPr>
          <w:rFonts w:asciiTheme="minorHAnsi" w:hAnsiTheme="minorHAnsi"/>
          <w:lang w:val="sq-AL"/>
        </w:rPr>
        <w:lastRenderedPageBreak/>
        <w:t>tyre në raport me totalin e shpenzimeve vendore përbën një shtysë të rëndësishme në angazhimin për zhvillimin infrastrukturor përmes pushtetit vendor. Sa i përket këtij treguesi për vitin 2021, raporti që zënë shpenzimet kapitale ndaj shpenzimeve totale të buxhetit vendor është rritur në 20.4% nga 17.7% që ishte në 5 mujorin e parë të vitit 2020.</w:t>
      </w:r>
    </w:p>
    <w:p w:rsidR="00326E44" w:rsidRDefault="00A4135D" w:rsidP="00326E44">
      <w:pPr>
        <w:spacing w:before="120" w:after="120" w:line="276" w:lineRule="auto"/>
        <w:jc w:val="both"/>
        <w:rPr>
          <w:rFonts w:asciiTheme="minorHAnsi" w:hAnsiTheme="minorHAnsi"/>
          <w:lang w:val="sq-AL"/>
        </w:rPr>
      </w:pPr>
      <w:r w:rsidRPr="000E55F7">
        <w:rPr>
          <w:rFonts w:asciiTheme="minorHAnsi" w:hAnsiTheme="minorHAnsi"/>
          <w:lang w:val="sq-AL"/>
        </w:rPr>
        <w:t>V</w:t>
      </w:r>
      <w:r w:rsidR="00326E44" w:rsidRPr="00A4135D">
        <w:rPr>
          <w:rFonts w:asciiTheme="minorHAnsi" w:hAnsiTheme="minorHAnsi"/>
          <w:lang w:val="sq-AL"/>
        </w:rPr>
        <w:t>len të theksohet fakti që treguesit e vitit 2021, krahasuar me vitin 2020</w:t>
      </w:r>
      <w:r>
        <w:rPr>
          <w:rFonts w:asciiTheme="minorHAnsi" w:hAnsiTheme="minorHAnsi"/>
          <w:lang w:val="sq-AL"/>
        </w:rPr>
        <w:t>,</w:t>
      </w:r>
      <w:r w:rsidR="00326E44" w:rsidRPr="00A4135D">
        <w:rPr>
          <w:rFonts w:asciiTheme="minorHAnsi" w:hAnsiTheme="minorHAnsi"/>
          <w:lang w:val="sq-AL"/>
        </w:rPr>
        <w:t xml:space="preserve"> në përgjithësi janë të</w:t>
      </w:r>
      <w:r w:rsidR="00326E44" w:rsidRPr="00326E44">
        <w:rPr>
          <w:rFonts w:asciiTheme="minorHAnsi" w:hAnsiTheme="minorHAnsi"/>
          <w:lang w:val="sq-AL"/>
        </w:rPr>
        <w:t xml:space="preserve"> gjithë në rritje si për të ardhurat ashtu edhe për shpenzimet, duke shënuar kështu rikuperim e duke treguar rimëkëmbje të ekonomisë brenda një periudhe një vjeçare, të problematikave së krijuara një vit më parë si pasojë e ngjarjes së jashtëzakonshme të krijuar nga pandemia. </w:t>
      </w:r>
    </w:p>
    <w:p w:rsidR="00A4135D" w:rsidRPr="00326E44" w:rsidRDefault="00A4135D" w:rsidP="00326E44">
      <w:pPr>
        <w:spacing w:before="120" w:after="120" w:line="276" w:lineRule="auto"/>
        <w:jc w:val="both"/>
        <w:rPr>
          <w:rFonts w:asciiTheme="minorHAnsi" w:hAnsiTheme="minorHAnsi"/>
          <w:lang w:val="sq-AL"/>
        </w:rPr>
      </w:pPr>
    </w:p>
    <w:p w:rsidR="00A4135D" w:rsidRDefault="00326E44" w:rsidP="00326E44">
      <w:pPr>
        <w:spacing w:before="120" w:after="120" w:line="276" w:lineRule="auto"/>
        <w:jc w:val="both"/>
        <w:rPr>
          <w:rFonts w:asciiTheme="minorHAnsi" w:hAnsiTheme="minorHAnsi"/>
          <w:b/>
          <w:i/>
          <w:lang w:val="sq-AL"/>
        </w:rPr>
      </w:pPr>
      <w:r w:rsidRPr="00A4135D">
        <w:rPr>
          <w:rFonts w:asciiTheme="minorHAnsi" w:hAnsiTheme="minorHAnsi"/>
          <w:b/>
          <w:i/>
          <w:lang w:val="sq-AL"/>
        </w:rPr>
        <w:t xml:space="preserve">Fondi i </w:t>
      </w:r>
      <w:r w:rsidR="00A4135D" w:rsidRPr="00A4135D">
        <w:rPr>
          <w:rFonts w:asciiTheme="minorHAnsi" w:hAnsiTheme="minorHAnsi"/>
          <w:b/>
          <w:i/>
          <w:lang w:val="sq-AL"/>
        </w:rPr>
        <w:t>R</w:t>
      </w:r>
      <w:r w:rsidRPr="00A4135D">
        <w:rPr>
          <w:rFonts w:asciiTheme="minorHAnsi" w:hAnsiTheme="minorHAnsi"/>
          <w:b/>
          <w:i/>
          <w:lang w:val="sq-AL"/>
        </w:rPr>
        <w:t xml:space="preserve">indërtimit </w:t>
      </w:r>
    </w:p>
    <w:p w:rsidR="00326E44" w:rsidRPr="00326E44" w:rsidRDefault="00A4135D" w:rsidP="00326E44">
      <w:pPr>
        <w:spacing w:before="120" w:after="120" w:line="276" w:lineRule="auto"/>
        <w:jc w:val="both"/>
        <w:rPr>
          <w:rFonts w:asciiTheme="minorHAnsi" w:hAnsiTheme="minorHAnsi"/>
          <w:lang w:val="sq-AL"/>
        </w:rPr>
      </w:pPr>
      <w:r>
        <w:rPr>
          <w:rFonts w:asciiTheme="minorHAnsi" w:hAnsiTheme="minorHAnsi"/>
          <w:lang w:val="sq-AL"/>
        </w:rPr>
        <w:t xml:space="preserve">Ky fond, si </w:t>
      </w:r>
      <w:r w:rsidR="00326E44" w:rsidRPr="00A4135D">
        <w:rPr>
          <w:rFonts w:asciiTheme="minorHAnsi" w:hAnsiTheme="minorHAnsi"/>
          <w:lang w:val="sq-AL"/>
        </w:rPr>
        <w:t>pjesë e shpenzimeve të buxhetit vendor</w:t>
      </w:r>
      <w:r>
        <w:rPr>
          <w:rFonts w:asciiTheme="minorHAnsi" w:hAnsiTheme="minorHAnsi"/>
          <w:lang w:val="sq-AL"/>
        </w:rPr>
        <w:t xml:space="preserve">, </w:t>
      </w:r>
      <w:r w:rsidR="00326E44" w:rsidRPr="00A4135D">
        <w:rPr>
          <w:rFonts w:asciiTheme="minorHAnsi" w:hAnsiTheme="minorHAnsi"/>
          <w:lang w:val="sq-AL"/>
        </w:rPr>
        <w:t>ka ndikuar gjithshtu në rritjen</w:t>
      </w:r>
      <w:r w:rsidR="00326E44" w:rsidRPr="00326E44">
        <w:rPr>
          <w:rFonts w:asciiTheme="minorHAnsi" w:hAnsiTheme="minorHAnsi"/>
          <w:lang w:val="sq-AL"/>
        </w:rPr>
        <w:t xml:space="preserve"> ekonomike të njësive të vetëqeverisjes vendore. Financimi për NJVQV në vitin 2021, ku përfshihet edhe mbartja e fondit të akorduar me VKM, por e papërdorur në vitin 2020, është 22.5 miliard lekë, ndërkohë që përdorimi deri në fund të 5 mujorit 2021 është rreth 6.2 miliard lekë. Detajimin e fondit të rindërtimit sipas natyrës së shpenzimeve, e paraqesim në tabelën e mëposhtme:</w:t>
      </w:r>
    </w:p>
    <w:p w:rsidR="00326E44" w:rsidRPr="00326E44" w:rsidRDefault="00326E44" w:rsidP="00326E44">
      <w:pPr>
        <w:pStyle w:val="Caption"/>
        <w:spacing w:after="0"/>
        <w:rPr>
          <w:rFonts w:asciiTheme="minorHAnsi" w:hAnsiTheme="minorHAnsi"/>
          <w:b w:val="0"/>
          <w:bCs w:val="0"/>
          <w:i/>
          <w:color w:val="auto"/>
          <w:sz w:val="22"/>
          <w:szCs w:val="22"/>
          <w:lang w:val="sq-AL"/>
        </w:rPr>
      </w:pPr>
      <w:r w:rsidRPr="00326E44">
        <w:rPr>
          <w:rFonts w:asciiTheme="minorHAnsi" w:hAnsiTheme="minorHAnsi"/>
          <w:b w:val="0"/>
          <w:bCs w:val="0"/>
          <w:i/>
          <w:color w:val="auto"/>
          <w:sz w:val="24"/>
          <w:szCs w:val="24"/>
          <w:lang w:val="sq-AL"/>
        </w:rPr>
        <w:t xml:space="preserve">Tabela x: </w:t>
      </w:r>
      <w:r w:rsidRPr="00326E44">
        <w:rPr>
          <w:rFonts w:asciiTheme="minorHAnsi" w:hAnsiTheme="minorHAnsi"/>
          <w:b w:val="0"/>
          <w:bCs w:val="0"/>
          <w:i/>
          <w:color w:val="auto"/>
          <w:sz w:val="22"/>
          <w:szCs w:val="22"/>
          <w:lang w:val="sq-AL"/>
        </w:rPr>
        <w:t>Shpenzimet faktike të fondit të rindërtimit akorduar për pushtetin vendor sipas natyrës</w:t>
      </w:r>
    </w:p>
    <w:p w:rsidR="00326E44" w:rsidRPr="00326E44" w:rsidRDefault="00326E44" w:rsidP="00326E44">
      <w:pPr>
        <w:spacing w:line="276" w:lineRule="auto"/>
        <w:jc w:val="right"/>
        <w:rPr>
          <w:rFonts w:asciiTheme="minorHAnsi" w:hAnsiTheme="minorHAnsi"/>
          <w:i/>
          <w:sz w:val="20"/>
          <w:lang w:val="sq-AL"/>
        </w:rPr>
      </w:pPr>
      <w:r w:rsidRPr="00326E44">
        <w:rPr>
          <w:rFonts w:asciiTheme="minorHAnsi" w:hAnsiTheme="minorHAnsi"/>
          <w:i/>
          <w:sz w:val="20"/>
          <w:lang w:val="sq-AL"/>
        </w:rPr>
        <w:t xml:space="preserve">  Të dhënat në milion lekë</w:t>
      </w:r>
    </w:p>
    <w:tbl>
      <w:tblPr>
        <w:tblW w:w="9576" w:type="dxa"/>
        <w:jc w:val="center"/>
        <w:tblLook w:val="04A0" w:firstRow="1" w:lastRow="0" w:firstColumn="1" w:lastColumn="0" w:noHBand="0" w:noVBand="1"/>
      </w:tblPr>
      <w:tblGrid>
        <w:gridCol w:w="4588"/>
        <w:gridCol w:w="2432"/>
        <w:gridCol w:w="2556"/>
      </w:tblGrid>
      <w:tr w:rsidR="00326E44" w:rsidRPr="00326E44" w:rsidTr="00900B3D">
        <w:trPr>
          <w:trHeight w:val="246"/>
          <w:jc w:val="center"/>
        </w:trPr>
        <w:tc>
          <w:tcPr>
            <w:tcW w:w="4588" w:type="dxa"/>
            <w:vMerge w:val="restart"/>
            <w:tcBorders>
              <w:top w:val="double" w:sz="6" w:space="0" w:color="auto"/>
              <w:left w:val="double" w:sz="6" w:space="0" w:color="auto"/>
              <w:bottom w:val="nil"/>
              <w:right w:val="single" w:sz="4" w:space="0" w:color="auto"/>
            </w:tcBorders>
            <w:shd w:val="clear" w:color="000000" w:fill="DBE5F1"/>
            <w:noWrap/>
            <w:vAlign w:val="center"/>
            <w:hideMark/>
          </w:tcPr>
          <w:p w:rsidR="00326E44" w:rsidRPr="00326E44" w:rsidRDefault="00326E44" w:rsidP="00900B3D">
            <w:pPr>
              <w:jc w:val="center"/>
              <w:rPr>
                <w:rFonts w:ascii="Calibri" w:hAnsi="Calibri" w:cs="Calibri"/>
                <w:b/>
                <w:bCs/>
                <w:sz w:val="18"/>
                <w:szCs w:val="18"/>
              </w:rPr>
            </w:pPr>
            <w:r w:rsidRPr="00326E44">
              <w:rPr>
                <w:rFonts w:ascii="Calibri" w:hAnsi="Calibri" w:cs="Calibri"/>
                <w:b/>
                <w:bCs/>
                <w:sz w:val="18"/>
                <w:szCs w:val="18"/>
              </w:rPr>
              <w:t>E  M  Ë  R  T  I  M  I</w:t>
            </w:r>
          </w:p>
        </w:tc>
        <w:tc>
          <w:tcPr>
            <w:tcW w:w="2432" w:type="dxa"/>
            <w:tcBorders>
              <w:top w:val="double" w:sz="6" w:space="0" w:color="auto"/>
              <w:left w:val="nil"/>
              <w:bottom w:val="nil"/>
              <w:right w:val="nil"/>
            </w:tcBorders>
            <w:shd w:val="clear" w:color="000000" w:fill="DBE5F1"/>
            <w:noWrap/>
            <w:vAlign w:val="center"/>
            <w:hideMark/>
          </w:tcPr>
          <w:p w:rsidR="00326E44" w:rsidRPr="00326E44" w:rsidRDefault="00326E44" w:rsidP="00900B3D">
            <w:pPr>
              <w:jc w:val="center"/>
              <w:rPr>
                <w:rFonts w:ascii="Calibri" w:hAnsi="Calibri" w:cs="Calibri"/>
                <w:b/>
                <w:bCs/>
                <w:sz w:val="18"/>
                <w:szCs w:val="18"/>
              </w:rPr>
            </w:pPr>
            <w:r w:rsidRPr="00326E44">
              <w:rPr>
                <w:rFonts w:ascii="Calibri" w:hAnsi="Calibri" w:cs="Calibri"/>
                <w:b/>
                <w:bCs/>
                <w:sz w:val="18"/>
                <w:szCs w:val="18"/>
              </w:rPr>
              <w:t>Buxheti total</w:t>
            </w:r>
          </w:p>
        </w:tc>
        <w:tc>
          <w:tcPr>
            <w:tcW w:w="2556" w:type="dxa"/>
            <w:tcBorders>
              <w:top w:val="double" w:sz="6" w:space="0" w:color="auto"/>
              <w:left w:val="single" w:sz="4" w:space="0" w:color="auto"/>
              <w:bottom w:val="nil"/>
              <w:right w:val="double" w:sz="6" w:space="0" w:color="auto"/>
            </w:tcBorders>
            <w:shd w:val="clear" w:color="000000" w:fill="DBE5F1"/>
            <w:noWrap/>
            <w:vAlign w:val="center"/>
            <w:hideMark/>
          </w:tcPr>
          <w:p w:rsidR="00326E44" w:rsidRPr="00326E44" w:rsidRDefault="00326E44" w:rsidP="00900B3D">
            <w:pPr>
              <w:jc w:val="center"/>
              <w:rPr>
                <w:rFonts w:ascii="Calibri" w:hAnsi="Calibri" w:cs="Calibri"/>
                <w:b/>
                <w:bCs/>
                <w:sz w:val="18"/>
                <w:szCs w:val="18"/>
              </w:rPr>
            </w:pPr>
            <w:r w:rsidRPr="00326E44">
              <w:rPr>
                <w:rFonts w:ascii="Calibri" w:hAnsi="Calibri" w:cs="Calibri"/>
                <w:b/>
                <w:bCs/>
                <w:sz w:val="18"/>
                <w:szCs w:val="18"/>
              </w:rPr>
              <w:t>Fakt 5 mujori</w:t>
            </w:r>
          </w:p>
        </w:tc>
      </w:tr>
      <w:tr w:rsidR="00326E44" w:rsidRPr="00326E44" w:rsidTr="00900B3D">
        <w:trPr>
          <w:trHeight w:val="234"/>
          <w:jc w:val="center"/>
        </w:trPr>
        <w:tc>
          <w:tcPr>
            <w:tcW w:w="4588" w:type="dxa"/>
            <w:vMerge/>
            <w:tcBorders>
              <w:top w:val="double" w:sz="6" w:space="0" w:color="auto"/>
              <w:left w:val="double" w:sz="6" w:space="0" w:color="auto"/>
              <w:bottom w:val="nil"/>
              <w:right w:val="single" w:sz="4" w:space="0" w:color="auto"/>
            </w:tcBorders>
            <w:vAlign w:val="center"/>
            <w:hideMark/>
          </w:tcPr>
          <w:p w:rsidR="00326E44" w:rsidRPr="00326E44" w:rsidRDefault="00326E44" w:rsidP="00900B3D">
            <w:pPr>
              <w:rPr>
                <w:rFonts w:ascii="Calibri" w:hAnsi="Calibri" w:cs="Calibri"/>
                <w:b/>
                <w:bCs/>
                <w:sz w:val="18"/>
                <w:szCs w:val="18"/>
              </w:rPr>
            </w:pPr>
          </w:p>
        </w:tc>
        <w:tc>
          <w:tcPr>
            <w:tcW w:w="4988" w:type="dxa"/>
            <w:gridSpan w:val="2"/>
            <w:tcBorders>
              <w:top w:val="single" w:sz="4" w:space="0" w:color="auto"/>
              <w:left w:val="nil"/>
              <w:bottom w:val="single" w:sz="4" w:space="0" w:color="auto"/>
              <w:right w:val="double" w:sz="6" w:space="0" w:color="000000"/>
            </w:tcBorders>
            <w:shd w:val="clear" w:color="000000" w:fill="DBE5F1"/>
            <w:noWrap/>
            <w:vAlign w:val="center"/>
            <w:hideMark/>
          </w:tcPr>
          <w:p w:rsidR="00326E44" w:rsidRPr="00326E44" w:rsidRDefault="00326E44" w:rsidP="00900B3D">
            <w:pPr>
              <w:jc w:val="center"/>
              <w:rPr>
                <w:rFonts w:ascii="Calibri" w:hAnsi="Calibri" w:cs="Calibri"/>
                <w:b/>
                <w:bCs/>
                <w:sz w:val="18"/>
                <w:szCs w:val="18"/>
              </w:rPr>
            </w:pPr>
            <w:r w:rsidRPr="00326E44">
              <w:rPr>
                <w:rFonts w:ascii="Calibri" w:hAnsi="Calibri" w:cs="Calibri"/>
                <w:b/>
                <w:bCs/>
                <w:sz w:val="18"/>
                <w:szCs w:val="18"/>
              </w:rPr>
              <w:t>2021</w:t>
            </w:r>
          </w:p>
        </w:tc>
      </w:tr>
      <w:tr w:rsidR="00326E44" w:rsidRPr="00326E44" w:rsidTr="00900B3D">
        <w:trPr>
          <w:trHeight w:val="246"/>
          <w:jc w:val="center"/>
        </w:trPr>
        <w:tc>
          <w:tcPr>
            <w:tcW w:w="4588" w:type="dxa"/>
            <w:tcBorders>
              <w:top w:val="single" w:sz="4" w:space="0" w:color="auto"/>
              <w:left w:val="double" w:sz="6" w:space="0" w:color="auto"/>
              <w:bottom w:val="single" w:sz="8" w:space="0" w:color="auto"/>
              <w:right w:val="single" w:sz="4" w:space="0" w:color="auto"/>
            </w:tcBorders>
            <w:shd w:val="clear" w:color="auto" w:fill="auto"/>
            <w:noWrap/>
            <w:vAlign w:val="center"/>
            <w:hideMark/>
          </w:tcPr>
          <w:p w:rsidR="00326E44" w:rsidRPr="00326E44" w:rsidRDefault="00326E44" w:rsidP="00900B3D">
            <w:pPr>
              <w:rPr>
                <w:rFonts w:ascii="Calibri" w:hAnsi="Calibri" w:cs="Calibri"/>
                <w:b/>
                <w:bCs/>
                <w:sz w:val="18"/>
                <w:szCs w:val="18"/>
              </w:rPr>
            </w:pPr>
            <w:r w:rsidRPr="00326E44">
              <w:rPr>
                <w:rFonts w:ascii="Calibri" w:hAnsi="Calibri" w:cs="Calibri"/>
                <w:b/>
                <w:bCs/>
                <w:sz w:val="18"/>
                <w:szCs w:val="18"/>
              </w:rPr>
              <w:t>Fondi i Rindërtimit</w:t>
            </w:r>
          </w:p>
        </w:tc>
        <w:tc>
          <w:tcPr>
            <w:tcW w:w="2432" w:type="dxa"/>
            <w:tcBorders>
              <w:top w:val="nil"/>
              <w:left w:val="nil"/>
              <w:bottom w:val="single" w:sz="8" w:space="0" w:color="auto"/>
              <w:right w:val="single" w:sz="4" w:space="0" w:color="auto"/>
            </w:tcBorders>
            <w:shd w:val="clear" w:color="auto" w:fill="auto"/>
            <w:noWrap/>
            <w:vAlign w:val="center"/>
            <w:hideMark/>
          </w:tcPr>
          <w:p w:rsidR="00326E44" w:rsidRPr="00326E44" w:rsidRDefault="00326E44" w:rsidP="00900B3D">
            <w:pPr>
              <w:jc w:val="center"/>
              <w:rPr>
                <w:rFonts w:ascii="Calibri" w:hAnsi="Calibri" w:cs="Calibri"/>
                <w:b/>
                <w:bCs/>
                <w:sz w:val="18"/>
                <w:szCs w:val="18"/>
              </w:rPr>
            </w:pPr>
            <w:r w:rsidRPr="00326E44">
              <w:rPr>
                <w:rFonts w:ascii="Calibri" w:hAnsi="Calibri" w:cs="Calibri"/>
                <w:b/>
                <w:bCs/>
                <w:sz w:val="18"/>
                <w:szCs w:val="18"/>
              </w:rPr>
              <w:t>22,529</w:t>
            </w:r>
          </w:p>
        </w:tc>
        <w:tc>
          <w:tcPr>
            <w:tcW w:w="2556" w:type="dxa"/>
            <w:tcBorders>
              <w:top w:val="nil"/>
              <w:left w:val="nil"/>
              <w:bottom w:val="single" w:sz="8" w:space="0" w:color="auto"/>
              <w:right w:val="double" w:sz="6" w:space="0" w:color="auto"/>
            </w:tcBorders>
            <w:shd w:val="clear" w:color="auto" w:fill="auto"/>
            <w:noWrap/>
            <w:vAlign w:val="center"/>
            <w:hideMark/>
          </w:tcPr>
          <w:p w:rsidR="00326E44" w:rsidRPr="00326E44" w:rsidRDefault="00326E44" w:rsidP="00900B3D">
            <w:pPr>
              <w:jc w:val="center"/>
              <w:rPr>
                <w:rFonts w:ascii="Calibri" w:hAnsi="Calibri" w:cs="Calibri"/>
                <w:b/>
                <w:bCs/>
                <w:sz w:val="18"/>
                <w:szCs w:val="18"/>
              </w:rPr>
            </w:pPr>
            <w:r w:rsidRPr="00326E44">
              <w:rPr>
                <w:rFonts w:ascii="Calibri" w:hAnsi="Calibri" w:cs="Calibri"/>
                <w:b/>
                <w:bCs/>
                <w:sz w:val="18"/>
                <w:szCs w:val="18"/>
              </w:rPr>
              <w:t>6,238</w:t>
            </w:r>
          </w:p>
        </w:tc>
      </w:tr>
      <w:tr w:rsidR="00326E44" w:rsidRPr="00326E44" w:rsidTr="00900B3D">
        <w:trPr>
          <w:trHeight w:val="246"/>
          <w:jc w:val="center"/>
        </w:trPr>
        <w:tc>
          <w:tcPr>
            <w:tcW w:w="4588" w:type="dxa"/>
            <w:tcBorders>
              <w:top w:val="nil"/>
              <w:left w:val="double" w:sz="6" w:space="0" w:color="auto"/>
              <w:bottom w:val="single" w:sz="8" w:space="0" w:color="C0C0C0"/>
              <w:right w:val="single" w:sz="4" w:space="0" w:color="auto"/>
            </w:tcBorders>
            <w:shd w:val="clear" w:color="auto" w:fill="auto"/>
            <w:noWrap/>
            <w:vAlign w:val="center"/>
            <w:hideMark/>
          </w:tcPr>
          <w:p w:rsidR="00326E44" w:rsidRPr="00326E44" w:rsidRDefault="00326E44" w:rsidP="00900B3D">
            <w:pPr>
              <w:jc w:val="both"/>
              <w:rPr>
                <w:rFonts w:ascii="Calibri" w:hAnsi="Calibri" w:cs="Calibri"/>
                <w:i/>
                <w:iCs/>
                <w:sz w:val="18"/>
                <w:szCs w:val="18"/>
              </w:rPr>
            </w:pPr>
            <w:r w:rsidRPr="00326E44">
              <w:rPr>
                <w:rFonts w:ascii="Calibri" w:hAnsi="Calibri" w:cs="Calibri"/>
                <w:i/>
                <w:iCs/>
                <w:sz w:val="18"/>
                <w:szCs w:val="18"/>
              </w:rPr>
              <w:t>Shpenzime kapitale</w:t>
            </w:r>
          </w:p>
        </w:tc>
        <w:tc>
          <w:tcPr>
            <w:tcW w:w="2432"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center"/>
              <w:rPr>
                <w:rFonts w:ascii="Calibri" w:hAnsi="Calibri" w:cs="Calibri"/>
                <w:i/>
                <w:iCs/>
                <w:sz w:val="18"/>
                <w:szCs w:val="18"/>
              </w:rPr>
            </w:pPr>
            <w:r w:rsidRPr="00326E44">
              <w:rPr>
                <w:rFonts w:ascii="Calibri" w:hAnsi="Calibri" w:cs="Calibri"/>
                <w:i/>
                <w:iCs/>
                <w:sz w:val="18"/>
                <w:szCs w:val="18"/>
              </w:rPr>
              <w:t>14,049</w:t>
            </w:r>
          </w:p>
        </w:tc>
        <w:tc>
          <w:tcPr>
            <w:tcW w:w="2556" w:type="dxa"/>
            <w:tcBorders>
              <w:top w:val="nil"/>
              <w:left w:val="single" w:sz="4" w:space="0" w:color="auto"/>
              <w:bottom w:val="single" w:sz="8" w:space="0" w:color="C0C0C0"/>
              <w:right w:val="double" w:sz="6" w:space="0" w:color="auto"/>
            </w:tcBorders>
            <w:shd w:val="clear" w:color="auto" w:fill="auto"/>
            <w:noWrap/>
            <w:vAlign w:val="center"/>
            <w:hideMark/>
          </w:tcPr>
          <w:p w:rsidR="00326E44" w:rsidRPr="00326E44" w:rsidRDefault="00326E44" w:rsidP="00900B3D">
            <w:pPr>
              <w:jc w:val="center"/>
              <w:rPr>
                <w:rFonts w:ascii="Calibri" w:hAnsi="Calibri" w:cs="Calibri"/>
                <w:i/>
                <w:iCs/>
                <w:sz w:val="18"/>
                <w:szCs w:val="18"/>
              </w:rPr>
            </w:pPr>
            <w:r w:rsidRPr="00326E44">
              <w:rPr>
                <w:rFonts w:ascii="Calibri" w:hAnsi="Calibri" w:cs="Calibri"/>
                <w:i/>
                <w:iCs/>
                <w:sz w:val="18"/>
                <w:szCs w:val="18"/>
              </w:rPr>
              <w:t>2,715</w:t>
            </w:r>
          </w:p>
        </w:tc>
      </w:tr>
      <w:tr w:rsidR="00326E44" w:rsidRPr="00326E44" w:rsidTr="00900B3D">
        <w:trPr>
          <w:trHeight w:val="246"/>
          <w:jc w:val="center"/>
        </w:trPr>
        <w:tc>
          <w:tcPr>
            <w:tcW w:w="4588" w:type="dxa"/>
            <w:tcBorders>
              <w:top w:val="nil"/>
              <w:left w:val="double" w:sz="6" w:space="0" w:color="auto"/>
              <w:bottom w:val="single" w:sz="8" w:space="0" w:color="C0C0C0"/>
              <w:right w:val="single" w:sz="4" w:space="0" w:color="auto"/>
            </w:tcBorders>
            <w:shd w:val="clear" w:color="auto" w:fill="auto"/>
            <w:noWrap/>
            <w:vAlign w:val="center"/>
            <w:hideMark/>
          </w:tcPr>
          <w:p w:rsidR="00326E44" w:rsidRPr="00326E44" w:rsidRDefault="00326E44" w:rsidP="00900B3D">
            <w:pPr>
              <w:jc w:val="both"/>
              <w:rPr>
                <w:rFonts w:ascii="Calibri" w:hAnsi="Calibri" w:cs="Calibri"/>
                <w:i/>
                <w:iCs/>
                <w:sz w:val="18"/>
                <w:szCs w:val="18"/>
              </w:rPr>
            </w:pPr>
            <w:r w:rsidRPr="00326E44">
              <w:rPr>
                <w:rFonts w:ascii="Calibri" w:hAnsi="Calibri" w:cs="Calibri"/>
                <w:i/>
                <w:iCs/>
                <w:sz w:val="18"/>
                <w:szCs w:val="18"/>
              </w:rPr>
              <w:t>Shpenzime operative e mirëmbajtje</w:t>
            </w:r>
          </w:p>
        </w:tc>
        <w:tc>
          <w:tcPr>
            <w:tcW w:w="2432" w:type="dxa"/>
            <w:tcBorders>
              <w:top w:val="nil"/>
              <w:left w:val="nil"/>
              <w:bottom w:val="single" w:sz="8" w:space="0" w:color="C0C0C0"/>
              <w:right w:val="nil"/>
            </w:tcBorders>
            <w:shd w:val="clear" w:color="auto" w:fill="auto"/>
            <w:noWrap/>
            <w:vAlign w:val="center"/>
            <w:hideMark/>
          </w:tcPr>
          <w:p w:rsidR="00326E44" w:rsidRPr="00326E44" w:rsidRDefault="00326E44" w:rsidP="00900B3D">
            <w:pPr>
              <w:jc w:val="center"/>
              <w:rPr>
                <w:rFonts w:ascii="Calibri" w:hAnsi="Calibri" w:cs="Calibri"/>
                <w:i/>
                <w:iCs/>
                <w:sz w:val="18"/>
                <w:szCs w:val="18"/>
              </w:rPr>
            </w:pPr>
            <w:r w:rsidRPr="00326E44">
              <w:rPr>
                <w:rFonts w:ascii="Calibri" w:hAnsi="Calibri" w:cs="Calibri"/>
                <w:i/>
                <w:iCs/>
                <w:sz w:val="18"/>
                <w:szCs w:val="18"/>
              </w:rPr>
              <w:t>988</w:t>
            </w:r>
          </w:p>
        </w:tc>
        <w:tc>
          <w:tcPr>
            <w:tcW w:w="2556" w:type="dxa"/>
            <w:tcBorders>
              <w:top w:val="nil"/>
              <w:left w:val="single" w:sz="4" w:space="0" w:color="auto"/>
              <w:bottom w:val="single" w:sz="8" w:space="0" w:color="C0C0C0"/>
              <w:right w:val="double" w:sz="6" w:space="0" w:color="auto"/>
            </w:tcBorders>
            <w:shd w:val="clear" w:color="auto" w:fill="auto"/>
            <w:noWrap/>
            <w:vAlign w:val="center"/>
            <w:hideMark/>
          </w:tcPr>
          <w:p w:rsidR="00326E44" w:rsidRPr="00326E44" w:rsidRDefault="00326E44" w:rsidP="00900B3D">
            <w:pPr>
              <w:jc w:val="center"/>
              <w:rPr>
                <w:rFonts w:ascii="Calibri" w:hAnsi="Calibri" w:cs="Calibri"/>
                <w:i/>
                <w:iCs/>
                <w:sz w:val="18"/>
                <w:szCs w:val="18"/>
              </w:rPr>
            </w:pPr>
            <w:r w:rsidRPr="00326E44">
              <w:rPr>
                <w:rFonts w:ascii="Calibri" w:hAnsi="Calibri" w:cs="Calibri"/>
                <w:i/>
                <w:iCs/>
                <w:sz w:val="18"/>
                <w:szCs w:val="18"/>
              </w:rPr>
              <w:t>159</w:t>
            </w:r>
          </w:p>
        </w:tc>
      </w:tr>
      <w:tr w:rsidR="00326E44" w:rsidRPr="00326E44" w:rsidTr="00900B3D">
        <w:trPr>
          <w:trHeight w:val="246"/>
          <w:jc w:val="center"/>
        </w:trPr>
        <w:tc>
          <w:tcPr>
            <w:tcW w:w="4588" w:type="dxa"/>
            <w:tcBorders>
              <w:top w:val="nil"/>
              <w:left w:val="double" w:sz="6" w:space="0" w:color="auto"/>
              <w:bottom w:val="double" w:sz="6" w:space="0" w:color="auto"/>
              <w:right w:val="single" w:sz="4" w:space="0" w:color="auto"/>
            </w:tcBorders>
            <w:shd w:val="clear" w:color="auto" w:fill="auto"/>
            <w:noWrap/>
            <w:vAlign w:val="center"/>
            <w:hideMark/>
          </w:tcPr>
          <w:p w:rsidR="00326E44" w:rsidRPr="00326E44" w:rsidRDefault="00326E44" w:rsidP="00900B3D">
            <w:pPr>
              <w:rPr>
                <w:rFonts w:ascii="Calibri" w:hAnsi="Calibri" w:cs="Calibri"/>
                <w:i/>
                <w:iCs/>
                <w:sz w:val="18"/>
                <w:szCs w:val="18"/>
              </w:rPr>
            </w:pPr>
            <w:r w:rsidRPr="00326E44">
              <w:rPr>
                <w:rFonts w:ascii="Calibri" w:hAnsi="Calibri" w:cs="Calibri"/>
                <w:i/>
                <w:iCs/>
                <w:sz w:val="18"/>
                <w:szCs w:val="18"/>
              </w:rPr>
              <w:t>Transferta për familjet dhe individët</w:t>
            </w:r>
          </w:p>
        </w:tc>
        <w:tc>
          <w:tcPr>
            <w:tcW w:w="2432" w:type="dxa"/>
            <w:tcBorders>
              <w:top w:val="nil"/>
              <w:left w:val="nil"/>
              <w:bottom w:val="double" w:sz="6" w:space="0" w:color="auto"/>
              <w:right w:val="nil"/>
            </w:tcBorders>
            <w:shd w:val="clear" w:color="auto" w:fill="auto"/>
            <w:noWrap/>
            <w:vAlign w:val="center"/>
            <w:hideMark/>
          </w:tcPr>
          <w:p w:rsidR="00326E44" w:rsidRPr="00326E44" w:rsidRDefault="00326E44" w:rsidP="00900B3D">
            <w:pPr>
              <w:jc w:val="center"/>
              <w:rPr>
                <w:rFonts w:ascii="Calibri" w:hAnsi="Calibri" w:cs="Calibri"/>
                <w:i/>
                <w:iCs/>
                <w:sz w:val="18"/>
                <w:szCs w:val="18"/>
              </w:rPr>
            </w:pPr>
            <w:r w:rsidRPr="00326E44">
              <w:rPr>
                <w:rFonts w:ascii="Calibri" w:hAnsi="Calibri" w:cs="Calibri"/>
                <w:i/>
                <w:iCs/>
                <w:sz w:val="18"/>
                <w:szCs w:val="18"/>
              </w:rPr>
              <w:t>7,493</w:t>
            </w:r>
          </w:p>
        </w:tc>
        <w:tc>
          <w:tcPr>
            <w:tcW w:w="2556" w:type="dxa"/>
            <w:tcBorders>
              <w:top w:val="nil"/>
              <w:left w:val="single" w:sz="4" w:space="0" w:color="auto"/>
              <w:bottom w:val="double" w:sz="6" w:space="0" w:color="auto"/>
              <w:right w:val="double" w:sz="6" w:space="0" w:color="auto"/>
            </w:tcBorders>
            <w:shd w:val="clear" w:color="auto" w:fill="auto"/>
            <w:noWrap/>
            <w:vAlign w:val="center"/>
            <w:hideMark/>
          </w:tcPr>
          <w:p w:rsidR="00326E44" w:rsidRPr="00326E44" w:rsidRDefault="00326E44" w:rsidP="00900B3D">
            <w:pPr>
              <w:jc w:val="center"/>
              <w:rPr>
                <w:rFonts w:ascii="Calibri" w:hAnsi="Calibri" w:cs="Calibri"/>
                <w:i/>
                <w:iCs/>
                <w:sz w:val="18"/>
                <w:szCs w:val="18"/>
              </w:rPr>
            </w:pPr>
            <w:r w:rsidRPr="00326E44">
              <w:rPr>
                <w:rFonts w:ascii="Calibri" w:hAnsi="Calibri" w:cs="Calibri"/>
                <w:i/>
                <w:iCs/>
                <w:sz w:val="18"/>
                <w:szCs w:val="18"/>
              </w:rPr>
              <w:t>3,364</w:t>
            </w:r>
          </w:p>
        </w:tc>
      </w:tr>
    </w:tbl>
    <w:p w:rsidR="00326E44" w:rsidRPr="00A4135D" w:rsidRDefault="00326E44" w:rsidP="00326E44">
      <w:pPr>
        <w:spacing w:line="276" w:lineRule="auto"/>
        <w:rPr>
          <w:rFonts w:asciiTheme="minorHAnsi" w:hAnsiTheme="minorHAnsi"/>
          <w:i/>
          <w:sz w:val="18"/>
          <w:lang w:val="sq-AL"/>
        </w:rPr>
      </w:pPr>
      <w:r w:rsidRPr="00A4135D">
        <w:rPr>
          <w:rFonts w:asciiTheme="minorHAnsi" w:hAnsiTheme="minorHAnsi"/>
          <w:i/>
          <w:sz w:val="18"/>
          <w:lang w:val="sq-AL"/>
        </w:rPr>
        <w:t xml:space="preserve">  Burimi: Drejtoria e Financave Vendore, Ministria e Financave dhe Ekonomisë (2021);</w:t>
      </w:r>
    </w:p>
    <w:p w:rsidR="00A4135D" w:rsidRDefault="00A4135D" w:rsidP="00A4135D">
      <w:pPr>
        <w:spacing w:before="120" w:after="120" w:line="276" w:lineRule="auto"/>
        <w:jc w:val="both"/>
        <w:rPr>
          <w:rFonts w:asciiTheme="minorHAnsi" w:hAnsiTheme="minorHAnsi"/>
          <w:b/>
          <w:i/>
          <w:lang w:val="sq-AL"/>
        </w:rPr>
      </w:pPr>
    </w:p>
    <w:p w:rsidR="00326E44" w:rsidRPr="00A4135D" w:rsidRDefault="00326E44" w:rsidP="00A4135D">
      <w:pPr>
        <w:spacing w:before="120" w:after="120" w:line="276" w:lineRule="auto"/>
        <w:jc w:val="both"/>
        <w:rPr>
          <w:rFonts w:asciiTheme="minorHAnsi" w:hAnsiTheme="minorHAnsi"/>
          <w:b/>
          <w:i/>
          <w:lang w:val="sq-AL"/>
        </w:rPr>
      </w:pPr>
      <w:r w:rsidRPr="00A4135D">
        <w:rPr>
          <w:rFonts w:asciiTheme="minorHAnsi" w:hAnsiTheme="minorHAnsi"/>
          <w:b/>
          <w:i/>
          <w:lang w:val="sq-AL"/>
        </w:rPr>
        <w:t>Detyrimet e prapambetura vendore</w:t>
      </w:r>
    </w:p>
    <w:p w:rsidR="00326E44" w:rsidRPr="00326E44" w:rsidRDefault="00326E44" w:rsidP="00326E44">
      <w:pPr>
        <w:spacing w:line="276" w:lineRule="auto"/>
        <w:jc w:val="both"/>
        <w:rPr>
          <w:rFonts w:asciiTheme="minorHAnsi" w:hAnsiTheme="minorHAnsi"/>
          <w:lang w:val="sq-AL"/>
        </w:rPr>
      </w:pPr>
      <w:r w:rsidRPr="00326E44">
        <w:rPr>
          <w:rFonts w:asciiTheme="minorHAnsi" w:hAnsiTheme="minorHAnsi"/>
          <w:lang w:val="sq-AL"/>
        </w:rPr>
        <w:t>Stoku i detyrimeve të prapambetura në fund të muajit mars 2021, i cili parashikohet të shlyhet në një periudhë afatmesme, bazuar në planin e shlyerjes së dërguar nga të gjitha bashkitë në Ministrinë e Financave dhe Ekonomisë</w:t>
      </w:r>
      <w:r w:rsidR="008D09D1">
        <w:rPr>
          <w:rFonts w:asciiTheme="minorHAnsi" w:hAnsiTheme="minorHAnsi"/>
          <w:lang w:val="sq-AL"/>
        </w:rPr>
        <w:t>,</w:t>
      </w:r>
      <w:r w:rsidRPr="00326E44">
        <w:rPr>
          <w:rFonts w:asciiTheme="minorHAnsi" w:hAnsiTheme="minorHAnsi"/>
          <w:lang w:val="sq-AL"/>
        </w:rPr>
        <w:t xml:space="preserve"> është rreth 6.9 miliard lekë (bashki + këshilla qarqesh). Vlera e stokut të detyrimeve të prapambetura është ulur me rreth 180 milion lekë krahasuar me stokun e detyrimit në fund të vitit 2020, që ishte rreth 7.1 miliard lekë.</w:t>
      </w:r>
    </w:p>
    <w:p w:rsidR="00326E44" w:rsidRPr="00326E44" w:rsidRDefault="00326E44" w:rsidP="00A4135D">
      <w:pPr>
        <w:spacing w:before="240" w:line="276" w:lineRule="auto"/>
        <w:jc w:val="both"/>
        <w:rPr>
          <w:rFonts w:asciiTheme="minorHAnsi" w:hAnsiTheme="minorHAnsi"/>
          <w:lang w:val="sq-AL"/>
        </w:rPr>
      </w:pPr>
      <w:r w:rsidRPr="00326E44">
        <w:rPr>
          <w:rFonts w:asciiTheme="minorHAnsi" w:hAnsiTheme="minorHAnsi"/>
          <w:lang w:val="sq-AL"/>
        </w:rPr>
        <w:t>Sipas kategorive, peshën më të madhe të stokut të detyrimeve e zë kategoria “Investime” me 55.7%. Më pas, kategoria “Të tjera” 14.9%, “Vendime Gjyqësore” 10.4%, dhe “Shërbime” 9.2%. Ndërsa sa i përket qarqeve, stoku i detyrimit të tyre përbëhet kryesisht nga vendime gjyqësore, të cilat zënë 95.3% të totalit të detyrimit të qarqeve.</w:t>
      </w:r>
    </w:p>
    <w:p w:rsidR="006062AB" w:rsidRDefault="006062AB" w:rsidP="008D09D1">
      <w:pPr>
        <w:pStyle w:val="Caption"/>
        <w:spacing w:before="240" w:after="0"/>
        <w:rPr>
          <w:rFonts w:asciiTheme="minorHAnsi" w:hAnsiTheme="minorHAnsi"/>
          <w:b w:val="0"/>
          <w:bCs w:val="0"/>
          <w:i/>
          <w:color w:val="auto"/>
          <w:sz w:val="24"/>
          <w:szCs w:val="24"/>
          <w:lang w:val="sq-AL"/>
        </w:rPr>
      </w:pPr>
    </w:p>
    <w:p w:rsidR="006062AB" w:rsidRDefault="006062AB" w:rsidP="008D09D1">
      <w:pPr>
        <w:pStyle w:val="Caption"/>
        <w:spacing w:before="240" w:after="0"/>
        <w:rPr>
          <w:rFonts w:asciiTheme="minorHAnsi" w:hAnsiTheme="minorHAnsi"/>
          <w:b w:val="0"/>
          <w:bCs w:val="0"/>
          <w:i/>
          <w:color w:val="auto"/>
          <w:sz w:val="24"/>
          <w:szCs w:val="24"/>
          <w:lang w:val="sq-AL"/>
        </w:rPr>
      </w:pPr>
    </w:p>
    <w:p w:rsidR="006062AB" w:rsidRDefault="006062AB" w:rsidP="008D09D1">
      <w:pPr>
        <w:pStyle w:val="Caption"/>
        <w:spacing w:before="240" w:after="0"/>
        <w:rPr>
          <w:rFonts w:asciiTheme="minorHAnsi" w:hAnsiTheme="minorHAnsi"/>
          <w:b w:val="0"/>
          <w:bCs w:val="0"/>
          <w:i/>
          <w:color w:val="auto"/>
          <w:sz w:val="24"/>
          <w:szCs w:val="24"/>
          <w:lang w:val="sq-AL"/>
        </w:rPr>
      </w:pPr>
    </w:p>
    <w:p w:rsidR="006062AB" w:rsidRDefault="006062AB" w:rsidP="008D09D1">
      <w:pPr>
        <w:pStyle w:val="Caption"/>
        <w:spacing w:before="240" w:after="0"/>
        <w:rPr>
          <w:rFonts w:asciiTheme="minorHAnsi" w:hAnsiTheme="minorHAnsi"/>
          <w:b w:val="0"/>
          <w:bCs w:val="0"/>
          <w:i/>
          <w:color w:val="auto"/>
          <w:sz w:val="24"/>
          <w:szCs w:val="24"/>
          <w:lang w:val="sq-AL"/>
        </w:rPr>
      </w:pPr>
    </w:p>
    <w:p w:rsidR="00326E44" w:rsidRPr="006062AB" w:rsidRDefault="00326E44" w:rsidP="007E215E">
      <w:pPr>
        <w:pStyle w:val="Caption"/>
        <w:spacing w:after="0"/>
        <w:rPr>
          <w:rFonts w:asciiTheme="minorHAnsi" w:hAnsiTheme="minorHAnsi"/>
          <w:b w:val="0"/>
          <w:bCs w:val="0"/>
          <w:i/>
          <w:color w:val="auto"/>
          <w:sz w:val="22"/>
          <w:szCs w:val="22"/>
          <w:lang w:val="sq-AL"/>
        </w:rPr>
      </w:pPr>
      <w:r w:rsidRPr="006062AB">
        <w:rPr>
          <w:rFonts w:asciiTheme="minorHAnsi" w:hAnsiTheme="minorHAnsi"/>
          <w:b w:val="0"/>
          <w:bCs w:val="0"/>
          <w:i/>
          <w:color w:val="auto"/>
          <w:sz w:val="22"/>
          <w:szCs w:val="22"/>
          <w:lang w:val="sq-AL"/>
        </w:rPr>
        <w:lastRenderedPageBreak/>
        <w:t>Tabela x: Stoku i detyrimit të mbetur  vendor mars 2021 (në lekë)</w:t>
      </w:r>
    </w:p>
    <w:tbl>
      <w:tblPr>
        <w:tblStyle w:val="GridTable1Light-Accent12"/>
        <w:tblW w:w="9767" w:type="dxa"/>
        <w:jc w:val="center"/>
        <w:tblLook w:val="04A0" w:firstRow="1" w:lastRow="0" w:firstColumn="1" w:lastColumn="0" w:noHBand="0" w:noVBand="1"/>
      </w:tblPr>
      <w:tblGrid>
        <w:gridCol w:w="1400"/>
        <w:gridCol w:w="2723"/>
        <w:gridCol w:w="1909"/>
        <w:gridCol w:w="1487"/>
        <w:gridCol w:w="1124"/>
        <w:gridCol w:w="1124"/>
      </w:tblGrid>
      <w:tr w:rsidR="00326E44" w:rsidRPr="008D09D1" w:rsidTr="007E215E">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400" w:type="dxa"/>
            <w:shd w:val="clear" w:color="auto" w:fill="8DB3E2" w:themeFill="text2" w:themeFillTint="66"/>
            <w:hideMark/>
          </w:tcPr>
          <w:p w:rsidR="00326E44" w:rsidRPr="008D09D1" w:rsidRDefault="00326E44" w:rsidP="008D09D1">
            <w:pPr>
              <w:jc w:val="center"/>
              <w:rPr>
                <w:rFonts w:ascii="Calibri" w:hAnsi="Calibri"/>
                <w:sz w:val="18"/>
                <w:szCs w:val="22"/>
              </w:rPr>
            </w:pPr>
            <w:r w:rsidRPr="008D09D1">
              <w:rPr>
                <w:rFonts w:ascii="Calibri" w:hAnsi="Calibri"/>
                <w:sz w:val="18"/>
                <w:szCs w:val="22"/>
              </w:rPr>
              <w:t>Llog. Ekonomike</w:t>
            </w:r>
          </w:p>
        </w:tc>
        <w:tc>
          <w:tcPr>
            <w:tcW w:w="2723" w:type="dxa"/>
            <w:shd w:val="clear" w:color="auto" w:fill="8DB3E2" w:themeFill="text2" w:themeFillTint="66"/>
            <w:hideMark/>
          </w:tcPr>
          <w:p w:rsidR="00326E44" w:rsidRPr="008D09D1" w:rsidRDefault="00326E44" w:rsidP="008D09D1">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p>
          <w:p w:rsidR="00326E44" w:rsidRPr="008D09D1" w:rsidRDefault="00326E44" w:rsidP="008D09D1">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8D09D1">
              <w:rPr>
                <w:rFonts w:ascii="Calibri" w:hAnsi="Calibri"/>
                <w:sz w:val="18"/>
                <w:szCs w:val="22"/>
              </w:rPr>
              <w:t>Kategoria</w:t>
            </w:r>
          </w:p>
        </w:tc>
        <w:tc>
          <w:tcPr>
            <w:tcW w:w="1909" w:type="dxa"/>
            <w:shd w:val="clear" w:color="auto" w:fill="8DB3E2" w:themeFill="text2" w:themeFillTint="66"/>
            <w:hideMark/>
          </w:tcPr>
          <w:p w:rsidR="00326E44" w:rsidRPr="008D09D1" w:rsidRDefault="00326E44" w:rsidP="008D09D1">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p>
          <w:p w:rsidR="00326E44" w:rsidRPr="008D09D1" w:rsidRDefault="00326E44" w:rsidP="008D09D1">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8D09D1">
              <w:rPr>
                <w:rFonts w:ascii="Calibri" w:hAnsi="Calibri"/>
                <w:sz w:val="18"/>
                <w:szCs w:val="22"/>
              </w:rPr>
              <w:t>Bashki</w:t>
            </w:r>
          </w:p>
        </w:tc>
        <w:tc>
          <w:tcPr>
            <w:tcW w:w="1487" w:type="dxa"/>
            <w:shd w:val="clear" w:color="auto" w:fill="8DB3E2" w:themeFill="text2" w:themeFillTint="66"/>
            <w:hideMark/>
          </w:tcPr>
          <w:p w:rsidR="00326E44" w:rsidRPr="008D09D1" w:rsidRDefault="00326E44" w:rsidP="008D09D1">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p>
          <w:p w:rsidR="00326E44" w:rsidRPr="008D09D1" w:rsidRDefault="00326E44" w:rsidP="008D09D1">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8D09D1">
              <w:rPr>
                <w:rFonts w:ascii="Calibri" w:hAnsi="Calibri"/>
                <w:sz w:val="18"/>
                <w:szCs w:val="22"/>
              </w:rPr>
              <w:t>Qarqe</w:t>
            </w:r>
          </w:p>
        </w:tc>
        <w:tc>
          <w:tcPr>
            <w:tcW w:w="1124" w:type="dxa"/>
            <w:shd w:val="clear" w:color="auto" w:fill="8DB3E2" w:themeFill="text2" w:themeFillTint="66"/>
            <w:hideMark/>
          </w:tcPr>
          <w:p w:rsidR="00326E44" w:rsidRPr="008D09D1" w:rsidRDefault="00326E44" w:rsidP="008D09D1">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8D09D1">
              <w:rPr>
                <w:rFonts w:ascii="Calibri" w:hAnsi="Calibri"/>
                <w:sz w:val="18"/>
                <w:szCs w:val="22"/>
              </w:rPr>
              <w:t>Pesha në % Bashki</w:t>
            </w:r>
          </w:p>
        </w:tc>
        <w:tc>
          <w:tcPr>
            <w:tcW w:w="1124" w:type="dxa"/>
            <w:shd w:val="clear" w:color="auto" w:fill="8DB3E2" w:themeFill="text2" w:themeFillTint="66"/>
            <w:hideMark/>
          </w:tcPr>
          <w:p w:rsidR="00326E44" w:rsidRPr="008D09D1" w:rsidRDefault="00326E44" w:rsidP="008D09D1">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8D09D1">
              <w:rPr>
                <w:rFonts w:ascii="Calibri" w:hAnsi="Calibri"/>
                <w:sz w:val="18"/>
                <w:szCs w:val="22"/>
              </w:rPr>
              <w:t>Pesha në % Qarqe</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jc w:val="center"/>
              <w:rPr>
                <w:rFonts w:asciiTheme="minorHAnsi" w:hAnsiTheme="minorHAnsi"/>
                <w:sz w:val="18"/>
                <w:szCs w:val="20"/>
              </w:rPr>
            </w:pPr>
            <w:r w:rsidRPr="008D09D1">
              <w:rPr>
                <w:rFonts w:asciiTheme="minorHAnsi" w:hAnsiTheme="minorHAnsi"/>
                <w:sz w:val="18"/>
                <w:szCs w:val="20"/>
              </w:rPr>
              <w:t>4864100</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Vendime Gjyqesore</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701,947,683</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121,527,196</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10.4%</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95.3%</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jc w:val="center"/>
              <w:rPr>
                <w:rFonts w:asciiTheme="minorHAnsi" w:hAnsiTheme="minorHAnsi"/>
                <w:sz w:val="18"/>
                <w:szCs w:val="20"/>
              </w:rPr>
            </w:pPr>
            <w:r w:rsidRPr="008D09D1">
              <w:rPr>
                <w:rFonts w:asciiTheme="minorHAnsi" w:hAnsiTheme="minorHAnsi"/>
                <w:sz w:val="18"/>
                <w:szCs w:val="20"/>
              </w:rPr>
              <w:t>4864200</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Det.Prap. Sherbime</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619,097,206</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2,068,017</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9.2%</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1.6%</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jc w:val="center"/>
              <w:rPr>
                <w:rFonts w:asciiTheme="minorHAnsi" w:hAnsiTheme="minorHAnsi"/>
                <w:sz w:val="18"/>
                <w:szCs w:val="20"/>
              </w:rPr>
            </w:pPr>
            <w:r w:rsidRPr="008D09D1">
              <w:rPr>
                <w:rFonts w:asciiTheme="minorHAnsi" w:hAnsiTheme="minorHAnsi"/>
                <w:sz w:val="18"/>
                <w:szCs w:val="20"/>
              </w:rPr>
              <w:t>4864300</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Det.Prap.Mirembajtje</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227,837,334</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3.4%</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0.0%</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jc w:val="center"/>
              <w:rPr>
                <w:rFonts w:asciiTheme="minorHAnsi" w:hAnsiTheme="minorHAnsi"/>
                <w:sz w:val="18"/>
                <w:szCs w:val="20"/>
              </w:rPr>
            </w:pPr>
            <w:r w:rsidRPr="008D09D1">
              <w:rPr>
                <w:rFonts w:asciiTheme="minorHAnsi" w:hAnsiTheme="minorHAnsi"/>
                <w:sz w:val="18"/>
                <w:szCs w:val="20"/>
              </w:rPr>
              <w:t>4864400</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Det.Prap. Investime</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3,761,955,723</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739,225</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55.7%</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0.6%</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jc w:val="center"/>
              <w:rPr>
                <w:rFonts w:asciiTheme="minorHAnsi" w:hAnsiTheme="minorHAnsi"/>
                <w:sz w:val="18"/>
                <w:szCs w:val="20"/>
              </w:rPr>
            </w:pPr>
            <w:r w:rsidRPr="008D09D1">
              <w:rPr>
                <w:rFonts w:asciiTheme="minorHAnsi" w:hAnsiTheme="minorHAnsi"/>
                <w:sz w:val="18"/>
                <w:szCs w:val="20"/>
              </w:rPr>
              <w:t>4864500</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Det.Prap.Rimbursi.TVSH</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2,532,751</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0.0%</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0.0%</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jc w:val="center"/>
              <w:rPr>
                <w:rFonts w:asciiTheme="minorHAnsi" w:hAnsiTheme="minorHAnsi"/>
                <w:sz w:val="18"/>
                <w:szCs w:val="20"/>
              </w:rPr>
            </w:pPr>
            <w:r w:rsidRPr="008D09D1">
              <w:rPr>
                <w:rFonts w:asciiTheme="minorHAnsi" w:hAnsiTheme="minorHAnsi"/>
                <w:sz w:val="18"/>
                <w:szCs w:val="20"/>
              </w:rPr>
              <w:t>4864600</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Mallra</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353,105,579</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1,415,326</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5.2%</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1.1%</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jc w:val="center"/>
              <w:rPr>
                <w:rFonts w:asciiTheme="minorHAnsi" w:hAnsiTheme="minorHAnsi"/>
                <w:sz w:val="18"/>
                <w:szCs w:val="20"/>
              </w:rPr>
            </w:pPr>
            <w:r w:rsidRPr="008D09D1">
              <w:rPr>
                <w:rFonts w:asciiTheme="minorHAnsi" w:hAnsiTheme="minorHAnsi"/>
                <w:sz w:val="18"/>
                <w:szCs w:val="20"/>
              </w:rPr>
              <w:t>4864900</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Det.Prap.Te Tjera</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1,002,759,692</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1,823,500</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14.9%</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1.4%</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jc w:val="center"/>
              <w:rPr>
                <w:rFonts w:asciiTheme="minorHAnsi" w:hAnsiTheme="minorHAnsi"/>
                <w:sz w:val="18"/>
                <w:szCs w:val="20"/>
              </w:rPr>
            </w:pPr>
            <w:r w:rsidRPr="008D09D1">
              <w:rPr>
                <w:rFonts w:asciiTheme="minorHAnsi" w:hAnsiTheme="minorHAnsi"/>
                <w:sz w:val="18"/>
                <w:szCs w:val="20"/>
              </w:rPr>
              <w:t>4864601</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Det.Prap.Sig.Shoqerore</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46,611,210</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0.7%</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0.0%</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jc w:val="center"/>
              <w:rPr>
                <w:rFonts w:asciiTheme="minorHAnsi" w:hAnsiTheme="minorHAnsi"/>
                <w:sz w:val="18"/>
                <w:szCs w:val="20"/>
              </w:rPr>
            </w:pPr>
            <w:r w:rsidRPr="008D09D1">
              <w:rPr>
                <w:rFonts w:asciiTheme="minorHAnsi" w:hAnsiTheme="minorHAnsi"/>
                <w:sz w:val="18"/>
                <w:szCs w:val="20"/>
              </w:rPr>
              <w:t>4864602</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Det.Prap.Sig.Shendet</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4,346,363</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0.1%</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0.0%</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jc w:val="center"/>
              <w:rPr>
                <w:rFonts w:asciiTheme="minorHAnsi" w:hAnsiTheme="minorHAnsi"/>
                <w:sz w:val="18"/>
                <w:szCs w:val="20"/>
              </w:rPr>
            </w:pPr>
            <w:r w:rsidRPr="008D09D1">
              <w:rPr>
                <w:rFonts w:asciiTheme="minorHAnsi" w:hAnsiTheme="minorHAnsi"/>
                <w:sz w:val="18"/>
                <w:szCs w:val="20"/>
              </w:rPr>
              <w:t>4864603</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Det.Prap.Ardh.Personal</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22,684,309</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0.3%</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0.0%</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jc w:val="center"/>
              <w:rPr>
                <w:rFonts w:asciiTheme="minorHAnsi" w:hAnsiTheme="minorHAnsi"/>
                <w:sz w:val="18"/>
                <w:szCs w:val="20"/>
              </w:rPr>
            </w:pPr>
            <w:r w:rsidRPr="008D09D1">
              <w:rPr>
                <w:rFonts w:asciiTheme="minorHAnsi" w:hAnsiTheme="minorHAnsi"/>
                <w:sz w:val="18"/>
                <w:szCs w:val="20"/>
              </w:rPr>
              <w:t>4864604</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Det.Prap.Tatime Tjera</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8,647,208</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0.1%</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rPr>
            </w:pPr>
            <w:r w:rsidRPr="008D09D1">
              <w:rPr>
                <w:rFonts w:asciiTheme="minorHAnsi" w:hAnsiTheme="minorHAnsi"/>
                <w:sz w:val="18"/>
                <w:szCs w:val="20"/>
              </w:rPr>
              <w:t>0.0%</w:t>
            </w:r>
          </w:p>
        </w:tc>
      </w:tr>
      <w:tr w:rsidR="00326E44" w:rsidRPr="008D09D1" w:rsidTr="007E215E">
        <w:trPr>
          <w:trHeight w:val="234"/>
          <w:jc w:val="center"/>
        </w:trPr>
        <w:tc>
          <w:tcPr>
            <w:cnfStyle w:val="001000000000" w:firstRow="0" w:lastRow="0" w:firstColumn="1" w:lastColumn="0" w:oddVBand="0" w:evenVBand="0" w:oddHBand="0" w:evenHBand="0" w:firstRowFirstColumn="0" w:firstRowLastColumn="0" w:lastRowFirstColumn="0" w:lastRowLastColumn="0"/>
            <w:tcW w:w="1400" w:type="dxa"/>
            <w:noWrap/>
            <w:hideMark/>
          </w:tcPr>
          <w:p w:rsidR="00326E44" w:rsidRPr="008D09D1" w:rsidRDefault="00326E44" w:rsidP="008D09D1">
            <w:pPr>
              <w:rPr>
                <w:rFonts w:asciiTheme="minorHAnsi" w:hAnsiTheme="minorHAnsi"/>
                <w:sz w:val="18"/>
                <w:szCs w:val="20"/>
              </w:rPr>
            </w:pPr>
            <w:r w:rsidRPr="008D09D1">
              <w:rPr>
                <w:rFonts w:asciiTheme="minorHAnsi" w:hAnsiTheme="minorHAnsi"/>
                <w:sz w:val="18"/>
                <w:szCs w:val="20"/>
              </w:rPr>
              <w:t> </w:t>
            </w:r>
          </w:p>
        </w:tc>
        <w:tc>
          <w:tcPr>
            <w:tcW w:w="2723" w:type="dxa"/>
            <w:noWrap/>
            <w:hideMark/>
          </w:tcPr>
          <w:p w:rsidR="00326E44" w:rsidRPr="008D09D1" w:rsidRDefault="00326E44" w:rsidP="008D09D1">
            <w:pP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rPr>
            </w:pPr>
            <w:r w:rsidRPr="008D09D1">
              <w:rPr>
                <w:rFonts w:asciiTheme="minorHAnsi" w:hAnsiTheme="minorHAnsi"/>
                <w:b/>
                <w:bCs/>
                <w:sz w:val="18"/>
                <w:szCs w:val="20"/>
              </w:rPr>
              <w:t>TOTAL</w:t>
            </w:r>
          </w:p>
        </w:tc>
        <w:tc>
          <w:tcPr>
            <w:tcW w:w="1909"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rPr>
            </w:pPr>
            <w:r w:rsidRPr="008D09D1">
              <w:rPr>
                <w:rFonts w:asciiTheme="minorHAnsi" w:hAnsiTheme="minorHAnsi"/>
                <w:b/>
                <w:bCs/>
                <w:sz w:val="18"/>
                <w:szCs w:val="20"/>
              </w:rPr>
              <w:t>6,751,525,058</w:t>
            </w:r>
          </w:p>
        </w:tc>
        <w:tc>
          <w:tcPr>
            <w:tcW w:w="1487"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rPr>
            </w:pPr>
            <w:r w:rsidRPr="008D09D1">
              <w:rPr>
                <w:rFonts w:asciiTheme="minorHAnsi" w:hAnsiTheme="minorHAnsi"/>
                <w:b/>
                <w:bCs/>
                <w:sz w:val="18"/>
                <w:szCs w:val="20"/>
              </w:rPr>
              <w:t>127,573,264</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20"/>
              </w:rPr>
            </w:pPr>
            <w:r w:rsidRPr="008D09D1">
              <w:rPr>
                <w:rFonts w:asciiTheme="minorHAnsi" w:hAnsiTheme="minorHAnsi"/>
                <w:b/>
                <w:sz w:val="18"/>
                <w:szCs w:val="20"/>
              </w:rPr>
              <w:t>100.0%</w:t>
            </w:r>
          </w:p>
        </w:tc>
        <w:tc>
          <w:tcPr>
            <w:tcW w:w="1124" w:type="dxa"/>
            <w:noWrap/>
            <w:hideMark/>
          </w:tcPr>
          <w:p w:rsidR="00326E44" w:rsidRPr="008D09D1" w:rsidRDefault="00326E44" w:rsidP="008D09D1">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20"/>
              </w:rPr>
            </w:pPr>
            <w:r w:rsidRPr="008D09D1">
              <w:rPr>
                <w:rFonts w:asciiTheme="minorHAnsi" w:hAnsiTheme="minorHAnsi"/>
                <w:b/>
                <w:sz w:val="18"/>
                <w:szCs w:val="20"/>
              </w:rPr>
              <w:t>100.0%</w:t>
            </w:r>
          </w:p>
        </w:tc>
      </w:tr>
    </w:tbl>
    <w:p w:rsidR="00326E44" w:rsidRPr="00326E44" w:rsidRDefault="00326E44" w:rsidP="00326E44">
      <w:pPr>
        <w:spacing w:line="276" w:lineRule="auto"/>
        <w:rPr>
          <w:rFonts w:asciiTheme="minorHAnsi" w:hAnsiTheme="minorHAnsi"/>
          <w:i/>
          <w:sz w:val="20"/>
          <w:lang w:val="sq-AL"/>
        </w:rPr>
      </w:pPr>
      <w:r w:rsidRPr="00326E44">
        <w:rPr>
          <w:rFonts w:asciiTheme="minorHAnsi" w:hAnsiTheme="minorHAnsi"/>
          <w:i/>
          <w:sz w:val="20"/>
          <w:lang w:val="sq-AL"/>
        </w:rPr>
        <w:t>Burimi: Ministria e Financave dhe Ekonomisë (2021);</w:t>
      </w:r>
    </w:p>
    <w:p w:rsidR="0065598A" w:rsidRDefault="0065598A" w:rsidP="0065598A">
      <w:pPr>
        <w:spacing w:line="276" w:lineRule="auto"/>
        <w:jc w:val="both"/>
        <w:rPr>
          <w:rFonts w:asciiTheme="minorHAnsi" w:hAnsiTheme="minorHAnsi"/>
          <w:sz w:val="8"/>
          <w:lang w:val="sq-AL"/>
        </w:rPr>
      </w:pPr>
    </w:p>
    <w:p w:rsidR="008D09D1" w:rsidRDefault="008D09D1" w:rsidP="0065598A">
      <w:pPr>
        <w:spacing w:line="276" w:lineRule="auto"/>
        <w:jc w:val="both"/>
        <w:rPr>
          <w:rFonts w:asciiTheme="minorHAnsi" w:hAnsiTheme="minorHAnsi"/>
          <w:sz w:val="8"/>
          <w:lang w:val="sq-AL"/>
        </w:rPr>
      </w:pPr>
    </w:p>
    <w:p w:rsidR="008D09D1" w:rsidRPr="007F224E" w:rsidRDefault="008D09D1" w:rsidP="0065598A">
      <w:pPr>
        <w:spacing w:line="276" w:lineRule="auto"/>
        <w:jc w:val="both"/>
        <w:rPr>
          <w:rFonts w:asciiTheme="minorHAnsi" w:hAnsiTheme="minorHAnsi"/>
          <w:sz w:val="8"/>
          <w:lang w:val="sq-AL"/>
        </w:rPr>
      </w:pPr>
    </w:p>
    <w:p w:rsidR="00B55813" w:rsidRPr="0065598A" w:rsidRDefault="007532D4" w:rsidP="002334F6">
      <w:pPr>
        <w:pStyle w:val="Heading2"/>
        <w:rPr>
          <w:rFonts w:eastAsia="SimSun"/>
          <w:i/>
          <w:sz w:val="27"/>
          <w:szCs w:val="27"/>
        </w:rPr>
      </w:pPr>
      <w:bookmarkStart w:id="39" w:name="_Toc76470022"/>
      <w:r w:rsidRPr="00630D88">
        <w:rPr>
          <w:szCs w:val="28"/>
        </w:rPr>
        <w:t>III.3</w:t>
      </w:r>
      <w:r w:rsidRPr="00630D88">
        <w:rPr>
          <w:szCs w:val="28"/>
        </w:rPr>
        <w:tab/>
      </w:r>
      <w:r w:rsidRPr="007F224E">
        <w:rPr>
          <w:sz w:val="26"/>
          <w:szCs w:val="26"/>
        </w:rPr>
        <w:t xml:space="preserve">Fondi Rezervë, Fondi i Kontigjencës, Fondi i </w:t>
      </w:r>
      <w:r w:rsidR="00DB684D">
        <w:rPr>
          <w:sz w:val="26"/>
          <w:szCs w:val="26"/>
        </w:rPr>
        <w:t>Rindërtimit</w:t>
      </w:r>
      <w:bookmarkEnd w:id="39"/>
      <w:r w:rsidRPr="0065598A">
        <w:rPr>
          <w:sz w:val="27"/>
          <w:szCs w:val="27"/>
        </w:rPr>
        <w:t xml:space="preserve"> </w:t>
      </w:r>
    </w:p>
    <w:p w:rsidR="00630D88" w:rsidRPr="00630D88" w:rsidRDefault="00630D88" w:rsidP="00630D88">
      <w:pPr>
        <w:spacing w:line="276" w:lineRule="auto"/>
        <w:jc w:val="both"/>
        <w:rPr>
          <w:rFonts w:asciiTheme="minorHAnsi" w:hAnsiTheme="minorHAnsi"/>
          <w:sz w:val="8"/>
          <w:szCs w:val="8"/>
          <w:lang w:val="sq-AL"/>
        </w:rPr>
      </w:pPr>
    </w:p>
    <w:p w:rsidR="00E32ADB" w:rsidRPr="00640D2C" w:rsidRDefault="00E32ADB" w:rsidP="00E32ADB">
      <w:pPr>
        <w:spacing w:line="276" w:lineRule="auto"/>
        <w:jc w:val="both"/>
        <w:rPr>
          <w:rFonts w:asciiTheme="minorHAnsi" w:hAnsiTheme="minorHAnsi"/>
          <w:szCs w:val="22"/>
          <w:lang w:val="sq-AL"/>
        </w:rPr>
      </w:pPr>
      <w:r w:rsidRPr="00640D2C">
        <w:rPr>
          <w:rFonts w:asciiTheme="minorHAnsi" w:hAnsiTheme="minorHAnsi"/>
          <w:szCs w:val="22"/>
          <w:lang w:val="sq-AL"/>
        </w:rPr>
        <w:t>Në analizën e shpenzimeve për periudhën janar-qershor 2021, janë përfshirë edhe shpenzimet e realizuara nga përdorimet e fondit rezervë të buxhetit të shtetit, të fondit të rindërtimit dhe të fondit të kontigjencës. Më konkretisht:</w:t>
      </w:r>
    </w:p>
    <w:p w:rsidR="00E32ADB" w:rsidRPr="00CC3FEF" w:rsidRDefault="009A65A9" w:rsidP="00CC3FEF">
      <w:pPr>
        <w:spacing w:before="240" w:line="276" w:lineRule="auto"/>
        <w:jc w:val="both"/>
        <w:rPr>
          <w:rFonts w:asciiTheme="minorHAnsi" w:hAnsiTheme="minorHAnsi"/>
          <w:bCs/>
          <w:szCs w:val="22"/>
          <w:lang w:val="sq-AL"/>
        </w:rPr>
      </w:pPr>
      <w:r w:rsidRPr="00CC3FEF">
        <w:rPr>
          <w:rFonts w:asciiTheme="minorHAnsi" w:hAnsiTheme="minorHAnsi"/>
          <w:b/>
          <w:i/>
          <w:szCs w:val="22"/>
          <w:lang w:val="sq-AL"/>
        </w:rPr>
        <w:t>Fondi Rezervë</w:t>
      </w:r>
      <w:r w:rsidRPr="00CC3FEF">
        <w:rPr>
          <w:rFonts w:asciiTheme="minorHAnsi" w:hAnsiTheme="minorHAnsi"/>
          <w:szCs w:val="22"/>
          <w:lang w:val="sq-AL"/>
        </w:rPr>
        <w:t xml:space="preserve"> </w:t>
      </w:r>
      <w:r w:rsidR="00E32ADB" w:rsidRPr="00CC3FEF">
        <w:rPr>
          <w:rFonts w:asciiTheme="minorHAnsi" w:hAnsiTheme="minorHAnsi"/>
          <w:szCs w:val="22"/>
          <w:lang w:val="sq-AL"/>
        </w:rPr>
        <w:t>– Ligji nr.137/2020 “</w:t>
      </w:r>
      <w:r w:rsidR="00E32ADB" w:rsidRPr="00CC3FEF">
        <w:rPr>
          <w:rFonts w:asciiTheme="minorHAnsi" w:hAnsiTheme="minorHAnsi"/>
          <w:i/>
          <w:szCs w:val="22"/>
          <w:lang w:val="sq-AL"/>
        </w:rPr>
        <w:t>Për buxhetin e vitit 2021</w:t>
      </w:r>
      <w:r w:rsidR="00E32ADB" w:rsidRPr="00CC3FEF">
        <w:rPr>
          <w:rFonts w:asciiTheme="minorHAnsi" w:hAnsiTheme="minorHAnsi"/>
          <w:szCs w:val="22"/>
          <w:lang w:val="sq-AL"/>
        </w:rPr>
        <w:t xml:space="preserve">” miratoi Fondin Rezervë të Buxhetit të Shtetit në masën </w:t>
      </w:r>
      <w:r w:rsidR="00E32ADB" w:rsidRPr="00CC3FEF">
        <w:rPr>
          <w:rFonts w:asciiTheme="minorHAnsi" w:hAnsiTheme="minorHAnsi"/>
          <w:bCs/>
          <w:szCs w:val="22"/>
          <w:lang w:val="sq-AL"/>
        </w:rPr>
        <w:t>4 miliardë lekë,</w:t>
      </w:r>
      <w:r w:rsidR="00E32ADB" w:rsidRPr="00CC3FEF">
        <w:rPr>
          <w:rFonts w:asciiTheme="minorHAnsi" w:hAnsiTheme="minorHAnsi"/>
          <w:szCs w:val="22"/>
          <w:lang w:val="sq-AL"/>
        </w:rPr>
        <w:t xml:space="preserve"> në nivel total vjetor, ndërkohë që Neni 14 përcakton përdorimin e tij </w:t>
      </w:r>
      <w:r w:rsidR="00472294" w:rsidRPr="00CC3FEF">
        <w:rPr>
          <w:rFonts w:asciiTheme="minorHAnsi" w:hAnsiTheme="minorHAnsi"/>
          <w:szCs w:val="22"/>
          <w:lang w:val="sq-AL"/>
        </w:rPr>
        <w:t>nga Këshilli i Ministrave si më</w:t>
      </w:r>
      <w:r w:rsidR="00E32ADB" w:rsidRPr="00CC3FEF">
        <w:rPr>
          <w:rFonts w:asciiTheme="minorHAnsi" w:hAnsiTheme="minorHAnsi"/>
          <w:szCs w:val="22"/>
          <w:lang w:val="sq-AL"/>
        </w:rPr>
        <w:t>poshtë:</w:t>
      </w:r>
    </w:p>
    <w:p w:rsidR="00E32ADB" w:rsidRPr="00640D2C" w:rsidRDefault="00E32ADB" w:rsidP="007F0B61">
      <w:pPr>
        <w:numPr>
          <w:ilvl w:val="0"/>
          <w:numId w:val="34"/>
        </w:numPr>
        <w:spacing w:line="276" w:lineRule="auto"/>
        <w:contextualSpacing/>
        <w:jc w:val="both"/>
        <w:rPr>
          <w:rFonts w:asciiTheme="minorHAnsi" w:eastAsia="MS Mincho" w:hAnsiTheme="minorHAnsi"/>
          <w:i/>
          <w:szCs w:val="22"/>
          <w:lang w:val="sq-AL"/>
        </w:rPr>
      </w:pPr>
      <w:r w:rsidRPr="00640D2C">
        <w:rPr>
          <w:rFonts w:asciiTheme="minorHAnsi" w:eastAsia="MS Mincho" w:hAnsiTheme="minorHAnsi"/>
          <w:i/>
          <w:szCs w:val="22"/>
          <w:lang w:val="sq-AL"/>
        </w:rPr>
        <w:t>Deri në masën 2 miliardë lekë, për raste të paparashikuara të njësive të qeverisjes së përgjithshme, nga të cilat 560 milionë lekë për pagesën e naftëtarëve (VKM tashmë e miratuar);</w:t>
      </w:r>
    </w:p>
    <w:p w:rsidR="00E32ADB" w:rsidRPr="00640D2C" w:rsidRDefault="00E32ADB" w:rsidP="007F0B61">
      <w:pPr>
        <w:numPr>
          <w:ilvl w:val="0"/>
          <w:numId w:val="34"/>
        </w:numPr>
        <w:spacing w:line="276" w:lineRule="auto"/>
        <w:contextualSpacing/>
        <w:jc w:val="both"/>
        <w:rPr>
          <w:rFonts w:asciiTheme="minorHAnsi" w:eastAsia="MS Mincho" w:hAnsiTheme="minorHAnsi"/>
          <w:i/>
          <w:szCs w:val="22"/>
          <w:lang w:val="sq-AL"/>
        </w:rPr>
      </w:pPr>
      <w:r w:rsidRPr="00640D2C">
        <w:rPr>
          <w:rFonts w:asciiTheme="minorHAnsi" w:eastAsia="MS Mincho" w:hAnsiTheme="minorHAnsi"/>
          <w:i/>
          <w:szCs w:val="22"/>
          <w:lang w:val="sq-AL"/>
        </w:rPr>
        <w:t>Deri në masën 1 miliardë lekë, për përballimin e kostos së zgjedhjeve të përgjithshme parlamentare të vitit 2021 (aktualisht në proçes hartimi i pVKM përkatëse);</w:t>
      </w:r>
    </w:p>
    <w:p w:rsidR="00E32ADB" w:rsidRPr="00472294" w:rsidRDefault="00E32ADB" w:rsidP="007F0B61">
      <w:pPr>
        <w:numPr>
          <w:ilvl w:val="0"/>
          <w:numId w:val="34"/>
        </w:numPr>
        <w:spacing w:line="276" w:lineRule="auto"/>
        <w:contextualSpacing/>
        <w:jc w:val="both"/>
        <w:rPr>
          <w:rFonts w:asciiTheme="minorHAnsi" w:eastAsia="MS Mincho" w:hAnsiTheme="minorHAnsi"/>
          <w:i/>
          <w:szCs w:val="22"/>
          <w:lang w:val="sq-AL"/>
        </w:rPr>
      </w:pPr>
      <w:r w:rsidRPr="00472294">
        <w:rPr>
          <w:rFonts w:asciiTheme="minorHAnsi" w:eastAsia="MS Mincho" w:hAnsiTheme="minorHAnsi"/>
          <w:i/>
          <w:szCs w:val="22"/>
          <w:lang w:val="sq-AL"/>
        </w:rPr>
        <w:t>Deri në masën 1 miliardë lekë, për hartimin e studim-projektimeve të investimeve publike strategjike</w:t>
      </w:r>
      <w:r w:rsidR="007E215E">
        <w:rPr>
          <w:rFonts w:asciiTheme="minorHAnsi" w:eastAsia="MS Mincho" w:hAnsiTheme="minorHAnsi"/>
          <w:i/>
          <w:szCs w:val="22"/>
          <w:lang w:val="sq-AL"/>
        </w:rPr>
        <w:t>.</w:t>
      </w:r>
    </w:p>
    <w:p w:rsidR="00E32ADB" w:rsidRPr="00640D2C" w:rsidRDefault="00E32ADB" w:rsidP="00E32ADB">
      <w:pPr>
        <w:spacing w:before="120" w:after="120" w:line="276" w:lineRule="auto"/>
        <w:jc w:val="both"/>
        <w:rPr>
          <w:rFonts w:asciiTheme="minorHAnsi" w:hAnsiTheme="minorHAnsi"/>
          <w:szCs w:val="22"/>
          <w:lang w:val="sq-AL"/>
        </w:rPr>
      </w:pPr>
      <w:r w:rsidRPr="00640D2C">
        <w:rPr>
          <w:rFonts w:asciiTheme="minorHAnsi" w:hAnsiTheme="minorHAnsi"/>
          <w:szCs w:val="22"/>
          <w:lang w:val="sq-AL"/>
        </w:rPr>
        <w:t xml:space="preserve">Masa e Fondit Rezerve si dhe mënyra e përdorimit të tij kanë ndryshuar </w:t>
      </w:r>
      <w:r w:rsidR="00472294">
        <w:rPr>
          <w:rFonts w:asciiTheme="minorHAnsi" w:hAnsiTheme="minorHAnsi"/>
          <w:szCs w:val="22"/>
          <w:lang w:val="sq-AL"/>
        </w:rPr>
        <w:t xml:space="preserve">si rrjedhojë e rishikimit të buxhetit 2021, përmes miratimit të katër </w:t>
      </w:r>
      <w:r w:rsidRPr="00640D2C">
        <w:rPr>
          <w:rFonts w:asciiTheme="minorHAnsi" w:hAnsiTheme="minorHAnsi"/>
          <w:szCs w:val="22"/>
          <w:lang w:val="sq-AL"/>
        </w:rPr>
        <w:t>Akteve Normative</w:t>
      </w:r>
      <w:r w:rsidR="00472294">
        <w:rPr>
          <w:rFonts w:asciiTheme="minorHAnsi" w:hAnsiTheme="minorHAnsi"/>
          <w:szCs w:val="22"/>
          <w:lang w:val="sq-AL"/>
        </w:rPr>
        <w:t xml:space="preserve"> (deri në këtë moment)</w:t>
      </w:r>
      <w:r w:rsidRPr="00640D2C">
        <w:rPr>
          <w:rFonts w:asciiTheme="minorHAnsi" w:hAnsiTheme="minorHAnsi"/>
          <w:szCs w:val="22"/>
          <w:lang w:val="sq-AL"/>
        </w:rPr>
        <w:t xml:space="preserve">, dhe konkretisht: </w:t>
      </w:r>
    </w:p>
    <w:p w:rsidR="00E32ADB" w:rsidRPr="00640D2C" w:rsidRDefault="00E32ADB" w:rsidP="00E32ADB">
      <w:pPr>
        <w:spacing w:line="276" w:lineRule="auto"/>
        <w:jc w:val="both"/>
        <w:rPr>
          <w:rFonts w:asciiTheme="minorHAnsi" w:hAnsiTheme="minorHAnsi"/>
          <w:szCs w:val="22"/>
          <w:lang w:val="sq-AL"/>
        </w:rPr>
      </w:pPr>
      <w:r w:rsidRPr="00CC3FEF">
        <w:rPr>
          <w:rFonts w:asciiTheme="minorHAnsi" w:hAnsiTheme="minorHAnsi"/>
          <w:szCs w:val="22"/>
          <w:lang w:val="sq-AL"/>
        </w:rPr>
        <w:t>Me AN nr.4 datë 05.02.2021 “</w:t>
      </w:r>
      <w:r w:rsidRPr="00CC3FEF">
        <w:rPr>
          <w:rFonts w:asciiTheme="minorHAnsi" w:hAnsiTheme="minorHAnsi"/>
          <w:i/>
          <w:szCs w:val="22"/>
          <w:lang w:val="sq-AL"/>
        </w:rPr>
        <w:t>Për disa ndryshime në Ligjin nr. 137/2020 “Për buxhetin e vitit 2021</w:t>
      </w:r>
      <w:r w:rsidRPr="00CC3FEF">
        <w:rPr>
          <w:rFonts w:asciiTheme="minorHAnsi" w:hAnsiTheme="minorHAnsi"/>
          <w:szCs w:val="22"/>
          <w:lang w:val="sq-AL"/>
        </w:rPr>
        <w:t>”,</w:t>
      </w:r>
      <w:r w:rsidRPr="00640D2C">
        <w:rPr>
          <w:rFonts w:asciiTheme="minorHAnsi" w:hAnsiTheme="minorHAnsi"/>
          <w:szCs w:val="22"/>
          <w:lang w:val="sq-AL"/>
        </w:rPr>
        <w:t xml:space="preserve"> Fondi Rezerve ndryshoi në masën </w:t>
      </w:r>
      <w:r w:rsidRPr="00472294">
        <w:rPr>
          <w:rFonts w:asciiTheme="minorHAnsi" w:hAnsiTheme="minorHAnsi"/>
          <w:szCs w:val="22"/>
          <w:lang w:val="sq-AL"/>
        </w:rPr>
        <w:t xml:space="preserve">5 miliard lekë, </w:t>
      </w:r>
      <w:r w:rsidR="00DB684D">
        <w:rPr>
          <w:rFonts w:asciiTheme="minorHAnsi" w:hAnsiTheme="minorHAnsi"/>
          <w:szCs w:val="22"/>
          <w:lang w:val="sq-AL"/>
        </w:rPr>
        <w:t>ku</w:t>
      </w:r>
      <w:r w:rsidRPr="00640D2C">
        <w:rPr>
          <w:rFonts w:asciiTheme="minorHAnsi" w:hAnsiTheme="minorHAnsi"/>
          <w:szCs w:val="22"/>
          <w:lang w:val="sq-AL"/>
        </w:rPr>
        <w:t xml:space="preserve"> Neni 3 përcakton përdorimin e tij, për:</w:t>
      </w:r>
    </w:p>
    <w:p w:rsidR="00E32ADB" w:rsidRPr="00640D2C" w:rsidRDefault="00E32ADB" w:rsidP="007F0B61">
      <w:pPr>
        <w:numPr>
          <w:ilvl w:val="0"/>
          <w:numId w:val="60"/>
        </w:numPr>
        <w:spacing w:line="276" w:lineRule="auto"/>
        <w:contextualSpacing/>
        <w:jc w:val="both"/>
        <w:rPr>
          <w:rFonts w:asciiTheme="minorHAnsi" w:eastAsia="MS Mincho" w:hAnsiTheme="minorHAnsi"/>
          <w:i/>
          <w:szCs w:val="22"/>
          <w:lang w:val="sq-AL"/>
        </w:rPr>
      </w:pPr>
      <w:r w:rsidRPr="00640D2C">
        <w:rPr>
          <w:rFonts w:asciiTheme="minorHAnsi" w:eastAsia="MS Mincho" w:hAnsiTheme="minorHAnsi"/>
          <w:i/>
          <w:szCs w:val="22"/>
          <w:lang w:val="sq-AL"/>
        </w:rPr>
        <w:t>Raste të paparashikuara të njësive të qeverisjes së përgjithshme në masën 3 miliardë lekë;</w:t>
      </w:r>
    </w:p>
    <w:p w:rsidR="00E32ADB" w:rsidRPr="00640D2C" w:rsidRDefault="00E32ADB" w:rsidP="007F0B61">
      <w:pPr>
        <w:numPr>
          <w:ilvl w:val="0"/>
          <w:numId w:val="60"/>
        </w:numPr>
        <w:spacing w:line="276" w:lineRule="auto"/>
        <w:ind w:left="450" w:hanging="270"/>
        <w:contextualSpacing/>
        <w:jc w:val="both"/>
        <w:rPr>
          <w:rFonts w:asciiTheme="minorHAnsi" w:eastAsia="MS Mincho" w:hAnsiTheme="minorHAnsi"/>
          <w:i/>
          <w:szCs w:val="22"/>
          <w:lang w:val="sq-AL"/>
        </w:rPr>
      </w:pPr>
      <w:r w:rsidRPr="00640D2C">
        <w:rPr>
          <w:rFonts w:asciiTheme="minorHAnsi" w:eastAsia="MS Mincho" w:hAnsiTheme="minorHAnsi"/>
          <w:i/>
          <w:szCs w:val="22"/>
          <w:lang w:val="sq-AL"/>
        </w:rPr>
        <w:t>Përballimin e kostos së zgjedhjeve për Kuvendin të vitit 2021 në masën 1 miliardë lekë;</w:t>
      </w:r>
    </w:p>
    <w:p w:rsidR="00E32ADB" w:rsidRPr="00FC3C87" w:rsidRDefault="00E32ADB" w:rsidP="007F0B61">
      <w:pPr>
        <w:numPr>
          <w:ilvl w:val="0"/>
          <w:numId w:val="60"/>
        </w:numPr>
        <w:spacing w:before="240" w:line="276" w:lineRule="auto"/>
        <w:ind w:left="450" w:hanging="270"/>
        <w:contextualSpacing/>
        <w:jc w:val="both"/>
        <w:rPr>
          <w:rFonts w:asciiTheme="minorHAnsi" w:eastAsia="MS Mincho" w:hAnsiTheme="minorHAnsi"/>
          <w:szCs w:val="22"/>
          <w:lang w:val="sq-AL"/>
        </w:rPr>
      </w:pPr>
      <w:r w:rsidRPr="00640D2C">
        <w:rPr>
          <w:rFonts w:asciiTheme="minorHAnsi" w:eastAsia="MS Mincho" w:hAnsiTheme="minorHAnsi"/>
          <w:i/>
          <w:szCs w:val="22"/>
          <w:lang w:val="sq-AL"/>
        </w:rPr>
        <w:t>Për hartimin e studimeve-projektime të investimeve publike strategjike 1 miliardë lekë</w:t>
      </w:r>
      <w:r w:rsidR="00FC3C87">
        <w:rPr>
          <w:rFonts w:asciiTheme="minorHAnsi" w:eastAsia="MS Mincho" w:hAnsiTheme="minorHAnsi"/>
          <w:i/>
          <w:szCs w:val="22"/>
          <w:lang w:val="sq-AL"/>
        </w:rPr>
        <w:t>.</w:t>
      </w:r>
    </w:p>
    <w:p w:rsidR="00E32ADB" w:rsidRPr="00640D2C" w:rsidRDefault="00E32ADB" w:rsidP="007E215E">
      <w:pPr>
        <w:spacing w:before="240" w:line="276" w:lineRule="auto"/>
        <w:jc w:val="both"/>
        <w:rPr>
          <w:rFonts w:asciiTheme="minorHAnsi" w:hAnsiTheme="minorHAnsi"/>
          <w:szCs w:val="22"/>
          <w:lang w:val="sq-AL"/>
        </w:rPr>
      </w:pPr>
      <w:r w:rsidRPr="00CC3FEF">
        <w:rPr>
          <w:rFonts w:asciiTheme="minorHAnsi" w:hAnsiTheme="minorHAnsi"/>
          <w:szCs w:val="22"/>
          <w:lang w:val="sq-AL"/>
        </w:rPr>
        <w:t>Me AN nr.8 datë 22.03.2021 “</w:t>
      </w:r>
      <w:r w:rsidRPr="00CC3FEF">
        <w:rPr>
          <w:rFonts w:asciiTheme="minorHAnsi" w:hAnsiTheme="minorHAnsi"/>
          <w:i/>
          <w:szCs w:val="22"/>
          <w:lang w:val="sq-AL" w:eastAsia="x-none"/>
        </w:rPr>
        <w:t>Për disa ndryshime në ligjin nr.137/2020, “Për buxhetin e vitit 2021, i</w:t>
      </w:r>
      <w:r w:rsidRPr="00640D2C">
        <w:rPr>
          <w:rFonts w:asciiTheme="minorHAnsi" w:hAnsiTheme="minorHAnsi"/>
          <w:i/>
          <w:szCs w:val="22"/>
          <w:lang w:val="sq-AL" w:eastAsia="x-none"/>
        </w:rPr>
        <w:t xml:space="preserve"> ndryshuar</w:t>
      </w:r>
      <w:r w:rsidRPr="00640D2C">
        <w:rPr>
          <w:rFonts w:asciiTheme="minorHAnsi" w:hAnsiTheme="minorHAnsi"/>
          <w:szCs w:val="22"/>
          <w:lang w:val="sq-AL" w:eastAsia="x-none"/>
        </w:rPr>
        <w:t xml:space="preserve">”, </w:t>
      </w:r>
      <w:r w:rsidRPr="00640D2C">
        <w:rPr>
          <w:rFonts w:asciiTheme="minorHAnsi" w:hAnsiTheme="minorHAnsi"/>
          <w:szCs w:val="22"/>
          <w:lang w:val="sq-AL"/>
        </w:rPr>
        <w:t xml:space="preserve">Fondi Rezerve </w:t>
      </w:r>
      <w:r w:rsidRPr="00FC3C87">
        <w:rPr>
          <w:rFonts w:asciiTheme="minorHAnsi" w:hAnsiTheme="minorHAnsi"/>
          <w:szCs w:val="22"/>
          <w:lang w:val="sq-AL"/>
        </w:rPr>
        <w:t>mbetet 5 miliard lekë,</w:t>
      </w:r>
      <w:r w:rsidRPr="00640D2C">
        <w:rPr>
          <w:rFonts w:asciiTheme="minorHAnsi" w:hAnsiTheme="minorHAnsi"/>
          <w:szCs w:val="22"/>
          <w:lang w:val="sq-AL"/>
        </w:rPr>
        <w:t xml:space="preserve"> por vetëm rishpërndahet sipas Nenit 1:</w:t>
      </w:r>
    </w:p>
    <w:p w:rsidR="00E32ADB" w:rsidRPr="00640D2C" w:rsidRDefault="00E32ADB" w:rsidP="007F0B61">
      <w:pPr>
        <w:numPr>
          <w:ilvl w:val="0"/>
          <w:numId w:val="61"/>
        </w:numPr>
        <w:spacing w:line="276" w:lineRule="auto"/>
        <w:contextualSpacing/>
        <w:jc w:val="both"/>
        <w:rPr>
          <w:rFonts w:asciiTheme="minorHAnsi" w:eastAsia="MS Mincho" w:hAnsiTheme="minorHAnsi"/>
          <w:i/>
          <w:szCs w:val="22"/>
          <w:lang w:val="sq-AL"/>
        </w:rPr>
      </w:pPr>
      <w:r w:rsidRPr="00640D2C">
        <w:rPr>
          <w:rFonts w:asciiTheme="minorHAnsi" w:eastAsia="MS Mincho" w:hAnsiTheme="minorHAnsi"/>
          <w:i/>
          <w:szCs w:val="22"/>
          <w:lang w:val="sq-AL"/>
        </w:rPr>
        <w:t>Raste të paparashikuara të njësive të qeverisjes së përgjithshme, në masën 4 miliardë lekë;</w:t>
      </w:r>
    </w:p>
    <w:p w:rsidR="00E32ADB" w:rsidRPr="00640D2C" w:rsidRDefault="00E32ADB" w:rsidP="007F0B61">
      <w:pPr>
        <w:numPr>
          <w:ilvl w:val="0"/>
          <w:numId w:val="61"/>
        </w:numPr>
        <w:spacing w:line="276" w:lineRule="auto"/>
        <w:contextualSpacing/>
        <w:jc w:val="both"/>
        <w:rPr>
          <w:rFonts w:asciiTheme="minorHAnsi" w:eastAsia="MS Mincho" w:hAnsiTheme="minorHAnsi"/>
          <w:i/>
          <w:szCs w:val="22"/>
          <w:lang w:val="sq-AL"/>
        </w:rPr>
      </w:pPr>
      <w:r w:rsidRPr="00640D2C">
        <w:rPr>
          <w:rFonts w:asciiTheme="minorHAnsi" w:eastAsia="MS Mincho" w:hAnsiTheme="minorHAnsi"/>
          <w:i/>
          <w:szCs w:val="22"/>
          <w:lang w:val="sq-AL"/>
        </w:rPr>
        <w:t>Përballimin e kostos së zgjedhjeve për Kuvendin të vitit 2021 në masën 1 miliardë lekë;</w:t>
      </w:r>
    </w:p>
    <w:p w:rsidR="00E32ADB" w:rsidRPr="00640D2C" w:rsidRDefault="00E32ADB" w:rsidP="007F0B61">
      <w:pPr>
        <w:numPr>
          <w:ilvl w:val="0"/>
          <w:numId w:val="61"/>
        </w:numPr>
        <w:spacing w:line="276" w:lineRule="auto"/>
        <w:contextualSpacing/>
        <w:jc w:val="both"/>
        <w:rPr>
          <w:rFonts w:asciiTheme="minorHAnsi" w:eastAsia="MS Mincho" w:hAnsiTheme="minorHAnsi"/>
          <w:i/>
          <w:szCs w:val="22"/>
          <w:lang w:val="sq-AL"/>
        </w:rPr>
      </w:pPr>
      <w:r w:rsidRPr="00640D2C">
        <w:rPr>
          <w:rFonts w:asciiTheme="minorHAnsi" w:eastAsia="MS Mincho" w:hAnsiTheme="minorHAnsi"/>
          <w:i/>
          <w:szCs w:val="22"/>
          <w:lang w:val="sq-AL"/>
        </w:rPr>
        <w:t>Rezerva për studime-projektime, hiqet.</w:t>
      </w:r>
    </w:p>
    <w:p w:rsidR="00E32ADB" w:rsidRPr="00640D2C" w:rsidRDefault="00FC3C87" w:rsidP="00E32ADB">
      <w:pPr>
        <w:spacing w:line="276" w:lineRule="auto"/>
        <w:jc w:val="both"/>
        <w:rPr>
          <w:rFonts w:asciiTheme="minorHAnsi" w:hAnsiTheme="minorHAnsi"/>
          <w:szCs w:val="22"/>
          <w:lang w:val="sq-AL" w:eastAsia="x-none"/>
        </w:rPr>
      </w:pPr>
      <w:r w:rsidRPr="00CC3FEF">
        <w:rPr>
          <w:rFonts w:asciiTheme="minorHAnsi" w:hAnsiTheme="minorHAnsi"/>
          <w:szCs w:val="22"/>
          <w:lang w:val="sq-AL"/>
        </w:rPr>
        <w:lastRenderedPageBreak/>
        <w:t>Me AN nr.</w:t>
      </w:r>
      <w:r w:rsidR="00E32ADB" w:rsidRPr="00CC3FEF">
        <w:rPr>
          <w:rFonts w:asciiTheme="minorHAnsi" w:hAnsiTheme="minorHAnsi"/>
          <w:szCs w:val="22"/>
          <w:lang w:val="sq-AL"/>
        </w:rPr>
        <w:t xml:space="preserve">18 datë 14.04.2021 </w:t>
      </w:r>
      <w:r w:rsidR="00E32ADB" w:rsidRPr="00CC3FEF">
        <w:rPr>
          <w:rFonts w:asciiTheme="minorHAnsi" w:hAnsiTheme="minorHAnsi"/>
          <w:i/>
          <w:szCs w:val="22"/>
          <w:lang w:val="sq-AL"/>
        </w:rPr>
        <w:t>“</w:t>
      </w:r>
      <w:r w:rsidR="00E32ADB" w:rsidRPr="00CC3FEF">
        <w:rPr>
          <w:rFonts w:asciiTheme="minorHAnsi" w:hAnsiTheme="minorHAnsi"/>
          <w:i/>
          <w:szCs w:val="22"/>
          <w:lang w:val="sq-AL" w:eastAsia="x-none"/>
        </w:rPr>
        <w:t>Për disa ndryshime në ligjin nr.137/2020, “Për buxhetin e vitit 2021,</w:t>
      </w:r>
      <w:r w:rsidR="00E32ADB" w:rsidRPr="00640D2C">
        <w:rPr>
          <w:rFonts w:asciiTheme="minorHAnsi" w:hAnsiTheme="minorHAnsi"/>
          <w:i/>
          <w:szCs w:val="22"/>
          <w:lang w:val="sq-AL" w:eastAsia="x-none"/>
        </w:rPr>
        <w:t xml:space="preserve"> i ndryshuar</w:t>
      </w:r>
      <w:r w:rsidR="00E32ADB" w:rsidRPr="00640D2C">
        <w:rPr>
          <w:rFonts w:asciiTheme="minorHAnsi" w:hAnsiTheme="minorHAnsi"/>
          <w:szCs w:val="22"/>
          <w:lang w:val="sq-AL" w:eastAsia="x-none"/>
        </w:rPr>
        <w:t>”, Fondi Rezervë ndryshoi në masën 7 miliardë lekë, ndërkohë që Neni 14 përcakton përdorimin e tij, për:</w:t>
      </w:r>
    </w:p>
    <w:p w:rsidR="00E32ADB" w:rsidRPr="00FC3C87" w:rsidRDefault="00E32ADB" w:rsidP="007F0B61">
      <w:pPr>
        <w:numPr>
          <w:ilvl w:val="0"/>
          <w:numId w:val="62"/>
        </w:numPr>
        <w:spacing w:line="276" w:lineRule="auto"/>
        <w:contextualSpacing/>
        <w:jc w:val="both"/>
        <w:rPr>
          <w:rFonts w:asciiTheme="minorHAnsi" w:eastAsia="MS Mincho" w:hAnsiTheme="minorHAnsi"/>
          <w:i/>
          <w:szCs w:val="22"/>
          <w:lang w:val="sq-AL"/>
        </w:rPr>
      </w:pPr>
      <w:r w:rsidRPr="00FC3C87">
        <w:rPr>
          <w:rFonts w:asciiTheme="minorHAnsi" w:eastAsia="MS Mincho" w:hAnsiTheme="minorHAnsi"/>
          <w:i/>
          <w:szCs w:val="22"/>
          <w:lang w:val="sq-AL"/>
        </w:rPr>
        <w:t>Raste të paparashikuara të njësive të qeverisjes së përgjithshme, në masën 6 000 milionë lekë;</w:t>
      </w:r>
    </w:p>
    <w:p w:rsidR="00E32ADB" w:rsidRPr="00FC3C87" w:rsidRDefault="00E32ADB" w:rsidP="007F0B61">
      <w:pPr>
        <w:numPr>
          <w:ilvl w:val="0"/>
          <w:numId w:val="62"/>
        </w:numPr>
        <w:spacing w:line="276" w:lineRule="auto"/>
        <w:contextualSpacing/>
        <w:jc w:val="both"/>
        <w:rPr>
          <w:rFonts w:asciiTheme="minorHAnsi" w:eastAsia="MS Mincho" w:hAnsiTheme="minorHAnsi"/>
          <w:i/>
          <w:szCs w:val="22"/>
          <w:lang w:val="sq-AL"/>
        </w:rPr>
      </w:pPr>
      <w:r w:rsidRPr="00FC3C87">
        <w:rPr>
          <w:rFonts w:asciiTheme="minorHAnsi" w:eastAsia="MS Mincho" w:hAnsiTheme="minorHAnsi"/>
          <w:i/>
          <w:szCs w:val="22"/>
          <w:lang w:val="sq-AL"/>
        </w:rPr>
        <w:t>Përballimin e kostos së zgjedhjeve për Kuvendin të vitit 2021, në masën   1 000 milionë lekë;</w:t>
      </w:r>
    </w:p>
    <w:p w:rsidR="00FC3C87" w:rsidRPr="00DB684D" w:rsidRDefault="00FC3C87" w:rsidP="00E32ADB">
      <w:pPr>
        <w:spacing w:line="276" w:lineRule="auto"/>
        <w:jc w:val="both"/>
        <w:rPr>
          <w:rFonts w:asciiTheme="minorHAnsi" w:hAnsiTheme="minorHAnsi"/>
          <w:sz w:val="16"/>
          <w:szCs w:val="22"/>
          <w:lang w:val="sq-AL" w:eastAsia="x-none"/>
        </w:rPr>
      </w:pPr>
    </w:p>
    <w:p w:rsidR="00E32ADB" w:rsidRPr="00640D2C" w:rsidRDefault="00E32ADB" w:rsidP="00E32ADB">
      <w:pPr>
        <w:spacing w:line="276" w:lineRule="auto"/>
        <w:jc w:val="both"/>
        <w:rPr>
          <w:rFonts w:asciiTheme="minorHAnsi" w:hAnsiTheme="minorHAnsi"/>
          <w:szCs w:val="22"/>
          <w:lang w:val="sq-AL" w:eastAsia="x-none"/>
        </w:rPr>
      </w:pPr>
      <w:r w:rsidRPr="00CC3FEF">
        <w:rPr>
          <w:rFonts w:asciiTheme="minorHAnsi" w:hAnsiTheme="minorHAnsi"/>
          <w:szCs w:val="22"/>
          <w:lang w:val="sq-AL"/>
        </w:rPr>
        <w:t>Me AN nr.26 datë 22.06.2021</w:t>
      </w:r>
      <w:r w:rsidRPr="00CC3FEF">
        <w:rPr>
          <w:rFonts w:asciiTheme="minorHAnsi" w:hAnsiTheme="minorHAnsi"/>
          <w:i/>
          <w:szCs w:val="22"/>
          <w:lang w:val="sq-AL"/>
        </w:rPr>
        <w:t xml:space="preserve"> “</w:t>
      </w:r>
      <w:r w:rsidRPr="00CC3FEF">
        <w:rPr>
          <w:rFonts w:asciiTheme="minorHAnsi" w:hAnsiTheme="minorHAnsi"/>
          <w:i/>
          <w:szCs w:val="22"/>
          <w:lang w:val="sq-AL" w:eastAsia="x-none"/>
        </w:rPr>
        <w:t>Për disa ndryshime në ligjin nr.137/2020, “Për buxhetin e vitit 2021,</w:t>
      </w:r>
      <w:r w:rsidRPr="00640D2C">
        <w:rPr>
          <w:rFonts w:asciiTheme="minorHAnsi" w:hAnsiTheme="minorHAnsi"/>
          <w:i/>
          <w:szCs w:val="22"/>
          <w:lang w:val="sq-AL" w:eastAsia="x-none"/>
        </w:rPr>
        <w:t xml:space="preserve"> i ndryshuar</w:t>
      </w:r>
      <w:r w:rsidRPr="00640D2C">
        <w:rPr>
          <w:rFonts w:asciiTheme="minorHAnsi" w:hAnsiTheme="minorHAnsi"/>
          <w:szCs w:val="22"/>
          <w:lang w:val="sq-AL" w:eastAsia="x-none"/>
        </w:rPr>
        <w:t>”, Fondi Rezervë ndryshoi në masën 9 miliardë lekë, ndërkohë që Neni 14 përcakton përdorimin e tij, për:</w:t>
      </w:r>
    </w:p>
    <w:p w:rsidR="00E32ADB" w:rsidRPr="00FC3C87" w:rsidRDefault="00E32ADB" w:rsidP="007F0B61">
      <w:pPr>
        <w:numPr>
          <w:ilvl w:val="0"/>
          <w:numId w:val="63"/>
        </w:numPr>
        <w:spacing w:line="276" w:lineRule="auto"/>
        <w:contextualSpacing/>
        <w:jc w:val="both"/>
        <w:rPr>
          <w:rFonts w:asciiTheme="minorHAnsi" w:eastAsia="MS Mincho" w:hAnsiTheme="minorHAnsi"/>
          <w:i/>
          <w:szCs w:val="22"/>
          <w:lang w:val="sq-AL"/>
        </w:rPr>
      </w:pPr>
      <w:r w:rsidRPr="00FC3C87">
        <w:rPr>
          <w:rFonts w:asciiTheme="minorHAnsi" w:eastAsia="MS Mincho" w:hAnsiTheme="minorHAnsi"/>
          <w:i/>
          <w:szCs w:val="22"/>
          <w:lang w:val="sq-AL"/>
        </w:rPr>
        <w:t>Raste të paparashikuara të njësive të qeverisjes së përgjithshme, në masën 8 000 milionë lekë;</w:t>
      </w:r>
    </w:p>
    <w:p w:rsidR="00E32ADB" w:rsidRPr="00FC3C87" w:rsidRDefault="00E32ADB" w:rsidP="007F0B61">
      <w:pPr>
        <w:numPr>
          <w:ilvl w:val="0"/>
          <w:numId w:val="63"/>
        </w:numPr>
        <w:spacing w:line="276" w:lineRule="auto"/>
        <w:contextualSpacing/>
        <w:jc w:val="both"/>
        <w:rPr>
          <w:rFonts w:asciiTheme="minorHAnsi" w:eastAsia="MS Mincho" w:hAnsiTheme="minorHAnsi"/>
          <w:i/>
          <w:szCs w:val="22"/>
          <w:lang w:val="sq-AL"/>
        </w:rPr>
      </w:pPr>
      <w:r w:rsidRPr="00FC3C87">
        <w:rPr>
          <w:rFonts w:asciiTheme="minorHAnsi" w:eastAsia="MS Mincho" w:hAnsiTheme="minorHAnsi"/>
          <w:i/>
          <w:szCs w:val="22"/>
          <w:lang w:val="sq-AL"/>
        </w:rPr>
        <w:t>Përballimin e kostos së zgjedhjeve për Kuvendin të vitit 2021, në masën 1 000 milionë lekë;</w:t>
      </w:r>
    </w:p>
    <w:p w:rsidR="00E32ADB" w:rsidRPr="00640D2C" w:rsidRDefault="00E32ADB" w:rsidP="00E32ADB">
      <w:pPr>
        <w:widowControl w:val="0"/>
        <w:autoSpaceDE w:val="0"/>
        <w:autoSpaceDN w:val="0"/>
        <w:adjustRightInd w:val="0"/>
        <w:spacing w:line="276" w:lineRule="auto"/>
        <w:jc w:val="both"/>
        <w:rPr>
          <w:rFonts w:asciiTheme="minorHAnsi" w:hAnsiTheme="minorHAnsi"/>
          <w:sz w:val="14"/>
          <w:szCs w:val="22"/>
          <w:u w:val="single"/>
          <w:lang w:val="sq-AL"/>
        </w:rPr>
      </w:pPr>
    </w:p>
    <w:p w:rsidR="00E32ADB" w:rsidRPr="00CC3FEF" w:rsidRDefault="00E32ADB" w:rsidP="00E32ADB">
      <w:pPr>
        <w:widowControl w:val="0"/>
        <w:autoSpaceDE w:val="0"/>
        <w:autoSpaceDN w:val="0"/>
        <w:adjustRightInd w:val="0"/>
        <w:spacing w:line="276" w:lineRule="auto"/>
        <w:jc w:val="both"/>
        <w:rPr>
          <w:rFonts w:asciiTheme="minorHAnsi" w:hAnsiTheme="minorHAnsi"/>
          <w:i/>
          <w:szCs w:val="22"/>
          <w:u w:val="single"/>
          <w:lang w:val="sq-AL"/>
        </w:rPr>
      </w:pPr>
      <w:r w:rsidRPr="00CC3FEF">
        <w:rPr>
          <w:rFonts w:asciiTheme="minorHAnsi" w:hAnsiTheme="minorHAnsi"/>
          <w:i/>
          <w:szCs w:val="22"/>
          <w:u w:val="single"/>
          <w:lang w:val="sq-AL"/>
        </w:rPr>
        <w:t>Deri në datën 30 Qershor 202</w:t>
      </w:r>
      <w:r w:rsidR="00FC3C87" w:rsidRPr="00CC3FEF">
        <w:rPr>
          <w:rFonts w:asciiTheme="minorHAnsi" w:hAnsiTheme="minorHAnsi"/>
          <w:i/>
          <w:szCs w:val="22"/>
          <w:u w:val="single"/>
          <w:lang w:val="sq-AL"/>
        </w:rPr>
        <w:t>1,</w:t>
      </w:r>
      <w:r w:rsidRPr="00CC3FEF">
        <w:rPr>
          <w:rFonts w:asciiTheme="minorHAnsi" w:hAnsiTheme="minorHAnsi"/>
          <w:i/>
          <w:szCs w:val="22"/>
          <w:u w:val="single"/>
          <w:lang w:val="sq-AL"/>
        </w:rPr>
        <w:t xml:space="preserve"> përdor</w:t>
      </w:r>
      <w:r w:rsidR="00FC3C87" w:rsidRPr="00CC3FEF">
        <w:rPr>
          <w:rFonts w:asciiTheme="minorHAnsi" w:hAnsiTheme="minorHAnsi"/>
          <w:i/>
          <w:szCs w:val="22"/>
          <w:u w:val="single"/>
          <w:lang w:val="sq-AL"/>
        </w:rPr>
        <w:t>imi ka qenë si mëposhtë</w:t>
      </w:r>
      <w:r w:rsidR="00CE3F50">
        <w:rPr>
          <w:rFonts w:asciiTheme="minorHAnsi" w:hAnsiTheme="minorHAnsi"/>
          <w:i/>
          <w:szCs w:val="22"/>
          <w:u w:val="single"/>
          <w:lang w:val="sq-AL"/>
        </w:rPr>
        <w:t xml:space="preserve"> (tabela analitike bashkëlidhur)</w:t>
      </w:r>
      <w:r w:rsidRPr="00CC3FEF">
        <w:rPr>
          <w:rFonts w:asciiTheme="minorHAnsi" w:hAnsiTheme="minorHAnsi"/>
          <w:i/>
          <w:szCs w:val="22"/>
          <w:u w:val="single"/>
          <w:lang w:val="sq-AL"/>
        </w:rPr>
        <w:t>:</w:t>
      </w:r>
    </w:p>
    <w:p w:rsidR="00E32ADB" w:rsidRPr="00DB684D" w:rsidRDefault="00E32ADB" w:rsidP="007F0B61">
      <w:pPr>
        <w:pStyle w:val="ListParagraph"/>
        <w:numPr>
          <w:ilvl w:val="0"/>
          <w:numId w:val="64"/>
        </w:numPr>
        <w:spacing w:line="276" w:lineRule="auto"/>
        <w:ind w:left="360"/>
        <w:jc w:val="both"/>
        <w:rPr>
          <w:rFonts w:asciiTheme="minorHAnsi" w:hAnsiTheme="minorHAnsi"/>
          <w:szCs w:val="22"/>
          <w:lang w:val="sq-AL"/>
        </w:rPr>
      </w:pPr>
      <w:r w:rsidRPr="00DB684D">
        <w:rPr>
          <w:rFonts w:asciiTheme="minorHAnsi" w:hAnsiTheme="minorHAnsi"/>
          <w:i/>
          <w:szCs w:val="22"/>
          <w:lang w:val="sq-AL"/>
        </w:rPr>
        <w:t>Fondi Rezervë për raste të paparashikuara</w:t>
      </w:r>
      <w:r w:rsidRPr="00DB684D">
        <w:rPr>
          <w:rFonts w:asciiTheme="minorHAnsi" w:hAnsiTheme="minorHAnsi"/>
          <w:szCs w:val="22"/>
          <w:lang w:val="sq-AL"/>
        </w:rPr>
        <w:t xml:space="preserve"> të njësive të qeverisjes së përgjithshme është përdorur nëpërmjet 17 V</w:t>
      </w:r>
      <w:r w:rsidRPr="00DB684D">
        <w:rPr>
          <w:rFonts w:asciiTheme="minorHAnsi" w:hAnsiTheme="minorHAnsi"/>
          <w:spacing w:val="-1"/>
          <w:szCs w:val="22"/>
          <w:lang w:val="sq-AL"/>
        </w:rPr>
        <w:t xml:space="preserve">endimeve të Këshillit të </w:t>
      </w:r>
      <w:r w:rsidRPr="00DB684D">
        <w:rPr>
          <w:rFonts w:asciiTheme="minorHAnsi" w:hAnsiTheme="minorHAnsi"/>
          <w:spacing w:val="7"/>
          <w:szCs w:val="22"/>
          <w:lang w:val="sq-AL"/>
        </w:rPr>
        <w:t>Ministrave (VKM) me vlerë totale prej 4 594.4 milionë</w:t>
      </w:r>
      <w:r w:rsidRPr="00DB684D">
        <w:rPr>
          <w:rFonts w:asciiTheme="minorHAnsi" w:hAnsiTheme="minorHAnsi"/>
          <w:szCs w:val="22"/>
          <w:lang w:val="sq-AL"/>
        </w:rPr>
        <w:t xml:space="preserve"> lekësh, nga 8 miliard lekë të planifikuara ose në rreth 57.4% përqind të planit. Nga këto: </w:t>
      </w:r>
    </w:p>
    <w:p w:rsidR="00E32ADB" w:rsidRPr="00640D2C" w:rsidRDefault="00E32ADB" w:rsidP="007F0B61">
      <w:pPr>
        <w:pStyle w:val="ListParagraph"/>
        <w:widowControl w:val="0"/>
        <w:numPr>
          <w:ilvl w:val="1"/>
          <w:numId w:val="13"/>
        </w:numPr>
        <w:tabs>
          <w:tab w:val="left" w:pos="810"/>
          <w:tab w:val="left" w:pos="1170"/>
        </w:tabs>
        <w:autoSpaceDE w:val="0"/>
        <w:autoSpaceDN w:val="0"/>
        <w:adjustRightInd w:val="0"/>
        <w:spacing w:line="276" w:lineRule="auto"/>
        <w:ind w:left="810"/>
        <w:jc w:val="both"/>
        <w:rPr>
          <w:rFonts w:asciiTheme="minorHAnsi" w:hAnsiTheme="minorHAnsi"/>
          <w:i/>
          <w:szCs w:val="22"/>
          <w:lang w:val="sq-AL"/>
        </w:rPr>
      </w:pPr>
      <w:r w:rsidRPr="00640D2C">
        <w:rPr>
          <w:rFonts w:asciiTheme="minorHAnsi" w:hAnsiTheme="minorHAnsi"/>
          <w:i/>
          <w:szCs w:val="22"/>
          <w:lang w:val="sq-AL"/>
        </w:rPr>
        <w:t xml:space="preserve">3 891.6 milion lekë ose 48.6 përqind e planit janë përdorur për shpenzime korente (shpenzime operative dhe transferta të brendshme), </w:t>
      </w:r>
    </w:p>
    <w:p w:rsidR="00E32ADB" w:rsidRPr="00640D2C" w:rsidRDefault="00E32ADB" w:rsidP="007F0B61">
      <w:pPr>
        <w:pStyle w:val="ListParagraph"/>
        <w:widowControl w:val="0"/>
        <w:numPr>
          <w:ilvl w:val="1"/>
          <w:numId w:val="13"/>
        </w:numPr>
        <w:tabs>
          <w:tab w:val="left" w:pos="990"/>
        </w:tabs>
        <w:autoSpaceDE w:val="0"/>
        <w:autoSpaceDN w:val="0"/>
        <w:adjustRightInd w:val="0"/>
        <w:spacing w:line="276" w:lineRule="auto"/>
        <w:ind w:left="810"/>
        <w:jc w:val="both"/>
        <w:rPr>
          <w:rFonts w:asciiTheme="minorHAnsi" w:hAnsiTheme="minorHAnsi"/>
          <w:i/>
          <w:szCs w:val="22"/>
          <w:lang w:val="sq-AL"/>
        </w:rPr>
      </w:pPr>
      <w:r w:rsidRPr="00640D2C">
        <w:rPr>
          <w:rFonts w:asciiTheme="minorHAnsi" w:hAnsiTheme="minorHAnsi"/>
          <w:i/>
          <w:szCs w:val="22"/>
          <w:lang w:val="sq-AL"/>
        </w:rPr>
        <w:t xml:space="preserve">rreth 702.7 milionë lekë ose 8.7  përqind e planit, janë akorduar për </w:t>
      </w:r>
      <w:r w:rsidRPr="00640D2C">
        <w:rPr>
          <w:rFonts w:asciiTheme="minorHAnsi" w:hAnsiTheme="minorHAnsi"/>
          <w:i/>
          <w:szCs w:val="22"/>
          <w:u w:val="single"/>
          <w:lang w:val="sq-AL"/>
        </w:rPr>
        <w:t>investime</w:t>
      </w:r>
      <w:r w:rsidRPr="00640D2C">
        <w:rPr>
          <w:rFonts w:asciiTheme="minorHAnsi" w:hAnsiTheme="minorHAnsi"/>
          <w:i/>
          <w:szCs w:val="22"/>
          <w:lang w:val="sq-AL"/>
        </w:rPr>
        <w:t>.</w:t>
      </w:r>
    </w:p>
    <w:p w:rsidR="00E32ADB" w:rsidRPr="00A209F7" w:rsidRDefault="00E32ADB" w:rsidP="00DB684D">
      <w:pPr>
        <w:widowControl w:val="0"/>
        <w:autoSpaceDE w:val="0"/>
        <w:autoSpaceDN w:val="0"/>
        <w:adjustRightInd w:val="0"/>
        <w:spacing w:line="276" w:lineRule="auto"/>
        <w:ind w:left="360"/>
        <w:jc w:val="both"/>
        <w:rPr>
          <w:rFonts w:asciiTheme="minorHAnsi" w:hAnsiTheme="minorHAnsi"/>
          <w:szCs w:val="22"/>
          <w:lang w:val="sq-AL"/>
        </w:rPr>
      </w:pPr>
      <w:r w:rsidRPr="00A209F7">
        <w:rPr>
          <w:rFonts w:asciiTheme="minorHAnsi" w:hAnsiTheme="minorHAnsi"/>
          <w:szCs w:val="22"/>
          <w:lang w:val="sq-AL"/>
        </w:rPr>
        <w:t xml:space="preserve">Gjendja e papërdorur e fondit rezervë të buxhetit të shtetit, në datën 30 </w:t>
      </w:r>
      <w:r w:rsidR="007E215E" w:rsidRPr="00A209F7">
        <w:rPr>
          <w:rFonts w:asciiTheme="minorHAnsi" w:hAnsiTheme="minorHAnsi"/>
          <w:szCs w:val="22"/>
          <w:lang w:val="sq-AL"/>
        </w:rPr>
        <w:t>Q</w:t>
      </w:r>
      <w:r w:rsidRPr="00A209F7">
        <w:rPr>
          <w:rFonts w:asciiTheme="minorHAnsi" w:hAnsiTheme="minorHAnsi"/>
          <w:szCs w:val="22"/>
          <w:lang w:val="sq-AL"/>
        </w:rPr>
        <w:t xml:space="preserve">ershor 2021, rezulton 3 405.5 milionë lekë. </w:t>
      </w:r>
    </w:p>
    <w:p w:rsidR="00E32ADB" w:rsidRPr="00DB684D" w:rsidRDefault="00E32ADB" w:rsidP="007F0B61">
      <w:pPr>
        <w:pStyle w:val="ListParagraph"/>
        <w:widowControl w:val="0"/>
        <w:numPr>
          <w:ilvl w:val="0"/>
          <w:numId w:val="64"/>
        </w:numPr>
        <w:autoSpaceDE w:val="0"/>
        <w:autoSpaceDN w:val="0"/>
        <w:adjustRightInd w:val="0"/>
        <w:spacing w:before="240" w:after="120" w:line="276" w:lineRule="auto"/>
        <w:ind w:left="360"/>
        <w:jc w:val="both"/>
        <w:rPr>
          <w:rFonts w:asciiTheme="minorHAnsi" w:hAnsiTheme="minorHAnsi"/>
          <w:i/>
          <w:szCs w:val="22"/>
          <w:lang w:val="sq-AL"/>
        </w:rPr>
      </w:pPr>
      <w:r w:rsidRPr="00DB684D">
        <w:rPr>
          <w:rFonts w:asciiTheme="minorHAnsi" w:hAnsiTheme="minorHAnsi"/>
          <w:i/>
          <w:szCs w:val="22"/>
          <w:lang w:val="sq-AL"/>
        </w:rPr>
        <w:t xml:space="preserve">Fondi Rezervë </w:t>
      </w:r>
      <w:r w:rsidR="00DB684D" w:rsidRPr="00DB684D">
        <w:rPr>
          <w:rFonts w:asciiTheme="minorHAnsi" w:hAnsiTheme="minorHAnsi"/>
          <w:spacing w:val="-1"/>
          <w:szCs w:val="22"/>
          <w:lang w:val="sq-AL"/>
        </w:rPr>
        <w:t>i planifikuar për</w:t>
      </w:r>
      <w:r w:rsidR="00DB684D" w:rsidRPr="00DB684D">
        <w:rPr>
          <w:rFonts w:asciiTheme="minorHAnsi" w:hAnsiTheme="minorHAnsi"/>
          <w:b/>
          <w:spacing w:val="-1"/>
          <w:szCs w:val="22"/>
          <w:lang w:val="sq-AL"/>
        </w:rPr>
        <w:t xml:space="preserve"> </w:t>
      </w:r>
      <w:r w:rsidR="00DB684D" w:rsidRPr="00DB684D">
        <w:rPr>
          <w:rFonts w:asciiTheme="minorHAnsi" w:hAnsiTheme="minorHAnsi"/>
          <w:spacing w:val="-1"/>
          <w:szCs w:val="22"/>
          <w:lang w:val="sq-AL"/>
        </w:rPr>
        <w:t>p</w:t>
      </w:r>
      <w:r w:rsidR="00DB684D" w:rsidRPr="00DB684D">
        <w:rPr>
          <w:rFonts w:asciiTheme="minorHAnsi" w:hAnsiTheme="minorHAnsi"/>
          <w:szCs w:val="22"/>
          <w:lang w:val="sq-AL" w:eastAsia="x-none"/>
        </w:rPr>
        <w:t>ërballimin e kostos së zgjedhjeve për Kuvendin e Shqipërisë të vitit 2021</w:t>
      </w:r>
      <w:r w:rsidR="00DB684D">
        <w:rPr>
          <w:rFonts w:asciiTheme="minorHAnsi" w:hAnsiTheme="minorHAnsi"/>
          <w:szCs w:val="22"/>
          <w:lang w:val="sq-AL" w:eastAsia="x-none"/>
        </w:rPr>
        <w:t xml:space="preserve">, </w:t>
      </w:r>
      <w:r w:rsidRPr="00DB684D">
        <w:rPr>
          <w:rFonts w:asciiTheme="minorHAnsi" w:hAnsiTheme="minorHAnsi"/>
          <w:szCs w:val="22"/>
          <w:lang w:val="sq-AL"/>
        </w:rPr>
        <w:t xml:space="preserve">prej </w:t>
      </w:r>
      <w:r w:rsidRPr="00DB684D">
        <w:rPr>
          <w:rFonts w:asciiTheme="minorHAnsi" w:hAnsiTheme="minorHAnsi"/>
          <w:spacing w:val="-1"/>
          <w:szCs w:val="22"/>
          <w:lang w:val="sq-AL"/>
        </w:rPr>
        <w:t>1 miliardë lekë</w:t>
      </w:r>
      <w:r w:rsidRPr="00DB684D">
        <w:rPr>
          <w:rFonts w:asciiTheme="minorHAnsi" w:hAnsiTheme="minorHAnsi"/>
          <w:szCs w:val="22"/>
          <w:lang w:val="sq-AL" w:eastAsia="x-none"/>
        </w:rPr>
        <w:t xml:space="preserve">, është akorduar </w:t>
      </w:r>
      <w:r w:rsidR="00FC3C87" w:rsidRPr="00DB684D">
        <w:rPr>
          <w:rFonts w:asciiTheme="minorHAnsi" w:hAnsiTheme="minorHAnsi"/>
          <w:szCs w:val="22"/>
          <w:lang w:val="sq-AL" w:eastAsia="x-none"/>
        </w:rPr>
        <w:t xml:space="preserve">tërësisht </w:t>
      </w:r>
      <w:r w:rsidRPr="00DB684D">
        <w:rPr>
          <w:rFonts w:asciiTheme="minorHAnsi" w:hAnsiTheme="minorHAnsi"/>
          <w:szCs w:val="22"/>
          <w:lang w:val="sq-AL" w:eastAsia="x-none"/>
        </w:rPr>
        <w:t xml:space="preserve">sipas </w:t>
      </w:r>
      <w:r w:rsidRPr="00DB684D">
        <w:rPr>
          <w:rFonts w:asciiTheme="minorHAnsi" w:hAnsiTheme="minorHAnsi"/>
          <w:i/>
          <w:szCs w:val="22"/>
          <w:lang w:val="sq-AL"/>
        </w:rPr>
        <w:t>VKM-së përkatëse.</w:t>
      </w:r>
    </w:p>
    <w:p w:rsidR="00CC3FEF" w:rsidRPr="00CC3FEF" w:rsidRDefault="00CC3FEF" w:rsidP="00CC3FEF">
      <w:pPr>
        <w:pStyle w:val="ListParagraph"/>
        <w:widowControl w:val="0"/>
        <w:autoSpaceDE w:val="0"/>
        <w:autoSpaceDN w:val="0"/>
        <w:adjustRightInd w:val="0"/>
        <w:spacing w:after="120" w:line="276" w:lineRule="auto"/>
        <w:ind w:left="360"/>
        <w:jc w:val="both"/>
        <w:rPr>
          <w:rFonts w:asciiTheme="minorHAnsi" w:hAnsiTheme="minorHAnsi"/>
          <w:szCs w:val="22"/>
          <w:lang w:val="sq-AL"/>
        </w:rPr>
      </w:pPr>
    </w:p>
    <w:p w:rsidR="00CC3FEF" w:rsidRPr="00CC3FEF" w:rsidRDefault="00CC3FEF" w:rsidP="007F0B61">
      <w:pPr>
        <w:pStyle w:val="ListParagraph"/>
        <w:widowControl w:val="0"/>
        <w:numPr>
          <w:ilvl w:val="0"/>
          <w:numId w:val="64"/>
        </w:numPr>
        <w:autoSpaceDE w:val="0"/>
        <w:autoSpaceDN w:val="0"/>
        <w:adjustRightInd w:val="0"/>
        <w:spacing w:after="120" w:line="276" w:lineRule="auto"/>
        <w:ind w:left="360"/>
        <w:jc w:val="both"/>
        <w:rPr>
          <w:rFonts w:asciiTheme="minorHAnsi" w:hAnsiTheme="minorHAnsi"/>
          <w:szCs w:val="22"/>
          <w:lang w:val="sq-AL"/>
        </w:rPr>
      </w:pPr>
      <w:r w:rsidRPr="00CC3FEF">
        <w:rPr>
          <w:rFonts w:asciiTheme="minorHAnsi" w:hAnsiTheme="minorHAnsi"/>
          <w:i/>
          <w:szCs w:val="22"/>
          <w:lang w:val="sq-AL"/>
        </w:rPr>
        <w:t>Kontingjenca për Risqet e Borxhit</w:t>
      </w:r>
      <w:r w:rsidRPr="00CC3FEF">
        <w:rPr>
          <w:rFonts w:asciiTheme="minorHAnsi" w:hAnsiTheme="minorHAnsi"/>
          <w:szCs w:val="22"/>
          <w:lang w:val="sq-AL"/>
        </w:rPr>
        <w:t xml:space="preserve"> – Ky fond prej 4 500 milionë lekë përdoret nga ministri përgjegjës për financat për të kompensuar rreziqe potenciale nga luhatjet në kurset e këmbimit ose normat e interesit, me ndikim në shpenzimet për interesa. Deri në 30.06.2021, ai rezulton i papërdorur.</w:t>
      </w:r>
    </w:p>
    <w:p w:rsidR="00AF5502" w:rsidRPr="00CC3FEF" w:rsidRDefault="00FC3C87" w:rsidP="00CC3FEF">
      <w:pPr>
        <w:widowControl w:val="0"/>
        <w:autoSpaceDE w:val="0"/>
        <w:autoSpaceDN w:val="0"/>
        <w:adjustRightInd w:val="0"/>
        <w:spacing w:before="240" w:after="120" w:line="276" w:lineRule="auto"/>
        <w:jc w:val="both"/>
        <w:rPr>
          <w:rFonts w:asciiTheme="minorHAnsi" w:hAnsiTheme="minorHAnsi"/>
          <w:szCs w:val="22"/>
          <w:lang w:val="sq-AL"/>
        </w:rPr>
      </w:pPr>
      <w:r w:rsidRPr="00CC3FEF">
        <w:rPr>
          <w:rFonts w:asciiTheme="minorHAnsi" w:hAnsiTheme="minorHAnsi"/>
          <w:b/>
          <w:i/>
          <w:szCs w:val="22"/>
          <w:lang w:val="sq-AL"/>
        </w:rPr>
        <w:t>Fondi i Rindërtimit</w:t>
      </w:r>
      <w:r w:rsidRPr="00CC3FEF">
        <w:rPr>
          <w:rFonts w:asciiTheme="minorHAnsi" w:hAnsiTheme="minorHAnsi"/>
          <w:i/>
          <w:szCs w:val="22"/>
          <w:lang w:val="sq-AL"/>
        </w:rPr>
        <w:t xml:space="preserve"> </w:t>
      </w:r>
      <w:r w:rsidR="00E32ADB" w:rsidRPr="00CC3FEF">
        <w:rPr>
          <w:rFonts w:asciiTheme="minorHAnsi" w:hAnsiTheme="minorHAnsi"/>
          <w:szCs w:val="22"/>
          <w:lang w:val="sq-AL"/>
        </w:rPr>
        <w:t xml:space="preserve">– </w:t>
      </w:r>
      <w:r w:rsidR="00AF5502" w:rsidRPr="00CC3FEF">
        <w:rPr>
          <w:rFonts w:asciiTheme="minorHAnsi" w:hAnsiTheme="minorHAnsi"/>
          <w:szCs w:val="22"/>
          <w:lang w:val="sq-AL"/>
        </w:rPr>
        <w:t>Në ligjin e buxhetit 137/2020 “</w:t>
      </w:r>
      <w:r w:rsidR="00AF5502" w:rsidRPr="00CC3FEF">
        <w:rPr>
          <w:rFonts w:asciiTheme="minorHAnsi" w:hAnsiTheme="minorHAnsi"/>
          <w:i/>
          <w:szCs w:val="22"/>
          <w:lang w:val="sq-AL"/>
        </w:rPr>
        <w:t>Për buxhetin e vitit 2021</w:t>
      </w:r>
      <w:r w:rsidR="00AF5502" w:rsidRPr="00CC3FEF">
        <w:rPr>
          <w:rFonts w:asciiTheme="minorHAnsi" w:hAnsiTheme="minorHAnsi"/>
          <w:szCs w:val="22"/>
          <w:lang w:val="sq-AL"/>
        </w:rPr>
        <w:t>”, në nenin 7 të tij është përcaktuar:</w:t>
      </w:r>
    </w:p>
    <w:p w:rsidR="00AF5502" w:rsidRPr="00107F6D" w:rsidRDefault="00AF5502" w:rsidP="00AF5502">
      <w:pPr>
        <w:spacing w:line="276" w:lineRule="auto"/>
        <w:ind w:left="720"/>
        <w:jc w:val="both"/>
        <w:rPr>
          <w:rFonts w:asciiTheme="minorHAnsi" w:eastAsia="Calibri" w:hAnsiTheme="minorHAnsi"/>
          <w:bCs/>
          <w:i/>
        </w:rPr>
      </w:pPr>
      <w:r w:rsidRPr="00107F6D">
        <w:rPr>
          <w:rFonts w:asciiTheme="minorHAnsi" w:eastAsia="Calibri" w:hAnsiTheme="minorHAnsi"/>
          <w:bCs/>
          <w:i/>
        </w:rPr>
        <w:t xml:space="preserve">“Fondi i rindërtimit për përballimin e pasojave të tërmetit të vitit 2019 prej </w:t>
      </w:r>
      <w:r w:rsidRPr="00AF5502">
        <w:rPr>
          <w:rFonts w:asciiTheme="minorHAnsi" w:eastAsia="Calibri" w:hAnsiTheme="minorHAnsi"/>
          <w:bCs/>
          <w:i/>
        </w:rPr>
        <w:t>28 000 milionë lekësh përdoret për të përballuar kostot për projektet e miratuara dhe të pafinancuara në</w:t>
      </w:r>
      <w:r w:rsidRPr="00107F6D">
        <w:rPr>
          <w:rFonts w:asciiTheme="minorHAnsi" w:eastAsia="Calibri" w:hAnsiTheme="minorHAnsi"/>
          <w:bCs/>
          <w:i/>
        </w:rPr>
        <w:t xml:space="preserve"> vitin 2020, si dhe për projektet e reja.</w:t>
      </w:r>
    </w:p>
    <w:p w:rsidR="00AF5502" w:rsidRPr="00107F6D" w:rsidRDefault="00AF5502" w:rsidP="00AF5502">
      <w:pPr>
        <w:spacing w:line="276" w:lineRule="auto"/>
        <w:ind w:left="720"/>
        <w:jc w:val="both"/>
        <w:rPr>
          <w:rFonts w:asciiTheme="minorHAnsi" w:eastAsia="Calibri" w:hAnsiTheme="minorHAnsi"/>
          <w:bCs/>
          <w:i/>
        </w:rPr>
      </w:pPr>
      <w:r w:rsidRPr="00107F6D">
        <w:rPr>
          <w:rFonts w:asciiTheme="minorHAnsi" w:eastAsia="Calibri" w:hAnsiTheme="minorHAnsi"/>
          <w:bCs/>
          <w:i/>
        </w:rPr>
        <w:t>Ky fond shton kufijtë e shpenzimeve për çdo ministri dhe institucion në nivel programi dhe kufijtë e transfertës së pakushtëzuar, të miratuar në tabelat 1 dhe 3, të përmendura në nenet 11 dhe 15 të këtij ligji.</w:t>
      </w:r>
    </w:p>
    <w:p w:rsidR="00AF5502" w:rsidRPr="00107F6D" w:rsidRDefault="00AF5502" w:rsidP="00AF5502">
      <w:pPr>
        <w:tabs>
          <w:tab w:val="left" w:pos="270"/>
        </w:tabs>
        <w:spacing w:line="276" w:lineRule="auto"/>
        <w:ind w:left="720" w:hanging="20"/>
        <w:jc w:val="both"/>
        <w:rPr>
          <w:rFonts w:asciiTheme="minorHAnsi" w:eastAsia="Calibri" w:hAnsiTheme="minorHAnsi"/>
          <w:bCs/>
          <w:i/>
        </w:rPr>
      </w:pPr>
      <w:r>
        <w:rPr>
          <w:rFonts w:asciiTheme="minorHAnsi" w:eastAsia="Calibri" w:hAnsiTheme="minorHAnsi"/>
          <w:bCs/>
          <w:i/>
        </w:rPr>
        <w:tab/>
      </w:r>
      <w:r w:rsidRPr="00107F6D">
        <w:rPr>
          <w:rFonts w:asciiTheme="minorHAnsi" w:eastAsia="Calibri" w:hAnsiTheme="minorHAnsi"/>
          <w:bCs/>
          <w:i/>
        </w:rPr>
        <w:t>Çdo e ardhur në formë granti me destinacion përballimin e pasojave të tërmetit rrit në të njëjtën masë të ardhurat dhe shpenzimet e fondit të rindërtimit, duke shtuar kufijtë e përcaktuar në nenet 1, 2, 3 dhe 11, si dhe kufijtë e miratuar në tabelat 1, 3 dhe 4 të përmendura në nenet 11 dhe 15 të këtij ligji.</w:t>
      </w:r>
    </w:p>
    <w:p w:rsidR="00AF5502" w:rsidRPr="00107F6D" w:rsidRDefault="00AF5502" w:rsidP="00AF5502">
      <w:pPr>
        <w:spacing w:line="276" w:lineRule="auto"/>
        <w:ind w:left="700"/>
        <w:jc w:val="both"/>
        <w:rPr>
          <w:rFonts w:asciiTheme="minorHAnsi" w:eastAsia="Calibri" w:hAnsiTheme="minorHAnsi"/>
          <w:bCs/>
          <w:i/>
        </w:rPr>
      </w:pPr>
      <w:r w:rsidRPr="00107F6D">
        <w:rPr>
          <w:rFonts w:asciiTheme="minorHAnsi" w:eastAsia="Calibri" w:hAnsiTheme="minorHAnsi"/>
          <w:bCs/>
          <w:i/>
        </w:rPr>
        <w:lastRenderedPageBreak/>
        <w:t>Në fund të vitit buxhetor, fondet e pashpenzuara trashëgohen në vitin pasardhës dhe përdoren për të njëjtin qëllim.”</w:t>
      </w:r>
    </w:p>
    <w:p w:rsidR="00AF5502" w:rsidRPr="00AF5502" w:rsidRDefault="00AF5502" w:rsidP="00AF5502">
      <w:pPr>
        <w:pStyle w:val="ListParagraph"/>
        <w:rPr>
          <w:rFonts w:asciiTheme="minorHAnsi" w:hAnsiTheme="minorHAnsi"/>
          <w:sz w:val="16"/>
          <w:szCs w:val="22"/>
          <w:lang w:val="sq-AL"/>
        </w:rPr>
      </w:pPr>
    </w:p>
    <w:p w:rsidR="00CC3FEF" w:rsidRPr="00CC3FEF" w:rsidRDefault="00CC3FEF" w:rsidP="00CC3FEF">
      <w:pPr>
        <w:widowControl w:val="0"/>
        <w:autoSpaceDE w:val="0"/>
        <w:autoSpaceDN w:val="0"/>
        <w:adjustRightInd w:val="0"/>
        <w:spacing w:line="276" w:lineRule="auto"/>
        <w:jc w:val="both"/>
        <w:rPr>
          <w:rFonts w:asciiTheme="minorHAnsi" w:hAnsiTheme="minorHAnsi"/>
          <w:i/>
          <w:szCs w:val="22"/>
          <w:u w:val="single"/>
          <w:lang w:val="sq-AL"/>
        </w:rPr>
      </w:pPr>
      <w:r w:rsidRPr="00CC3FEF">
        <w:rPr>
          <w:rFonts w:asciiTheme="minorHAnsi" w:hAnsiTheme="minorHAnsi"/>
          <w:i/>
          <w:szCs w:val="22"/>
          <w:u w:val="single"/>
          <w:lang w:val="sq-AL"/>
        </w:rPr>
        <w:t>Deri në datën 30 Qershor 2021, përdorimi ka qenë si mëposhtë</w:t>
      </w:r>
      <w:r>
        <w:rPr>
          <w:rFonts w:asciiTheme="minorHAnsi" w:hAnsiTheme="minorHAnsi"/>
          <w:i/>
          <w:szCs w:val="22"/>
          <w:u w:val="single"/>
          <w:lang w:val="sq-AL"/>
        </w:rPr>
        <w:t xml:space="preserve"> (tabela analitike bashkëlidhur)</w:t>
      </w:r>
      <w:r w:rsidRPr="00CC3FEF">
        <w:rPr>
          <w:rFonts w:asciiTheme="minorHAnsi" w:hAnsiTheme="minorHAnsi"/>
          <w:i/>
          <w:szCs w:val="22"/>
          <w:u w:val="single"/>
          <w:lang w:val="sq-AL"/>
        </w:rPr>
        <w:t>:</w:t>
      </w:r>
    </w:p>
    <w:p w:rsidR="00CC3FEF" w:rsidRPr="00CC3FEF" w:rsidRDefault="00CC3FEF" w:rsidP="00AF5502">
      <w:pPr>
        <w:spacing w:line="276" w:lineRule="auto"/>
        <w:jc w:val="both"/>
        <w:rPr>
          <w:rFonts w:asciiTheme="minorHAnsi" w:hAnsiTheme="minorHAnsi"/>
          <w:sz w:val="8"/>
          <w:szCs w:val="22"/>
          <w:lang w:val="sq-AL"/>
        </w:rPr>
      </w:pPr>
    </w:p>
    <w:p w:rsidR="00E32ADB" w:rsidRPr="00AF5502" w:rsidRDefault="00E32ADB" w:rsidP="00AF5502">
      <w:pPr>
        <w:spacing w:line="276" w:lineRule="auto"/>
        <w:jc w:val="both"/>
        <w:rPr>
          <w:rFonts w:asciiTheme="minorHAnsi" w:eastAsia="Calibri" w:hAnsiTheme="minorHAnsi"/>
          <w:bCs/>
          <w:i/>
          <w:szCs w:val="22"/>
          <w:lang w:val="sq-AL"/>
        </w:rPr>
      </w:pPr>
      <w:r w:rsidRPr="00AF5502">
        <w:rPr>
          <w:rFonts w:asciiTheme="minorHAnsi" w:hAnsiTheme="minorHAnsi"/>
          <w:szCs w:val="22"/>
          <w:lang w:val="sq-AL"/>
        </w:rPr>
        <w:t xml:space="preserve">Nga </w:t>
      </w:r>
      <w:r w:rsidR="00FC3C87" w:rsidRPr="00AF5502">
        <w:rPr>
          <w:rFonts w:asciiTheme="minorHAnsi" w:hAnsiTheme="minorHAnsi"/>
          <w:szCs w:val="22"/>
          <w:lang w:val="sq-AL"/>
        </w:rPr>
        <w:t xml:space="preserve">shpenzimet e planifikuara për </w:t>
      </w:r>
      <w:r w:rsidRPr="00AF5502">
        <w:rPr>
          <w:rFonts w:asciiTheme="minorHAnsi" w:hAnsiTheme="minorHAnsi"/>
          <w:szCs w:val="22"/>
          <w:lang w:val="sq-AL"/>
        </w:rPr>
        <w:t>Rindërtimi</w:t>
      </w:r>
      <w:r w:rsidR="00FC3C87" w:rsidRPr="00AF5502">
        <w:rPr>
          <w:rFonts w:asciiTheme="minorHAnsi" w:hAnsiTheme="minorHAnsi"/>
          <w:szCs w:val="22"/>
          <w:lang w:val="sq-AL"/>
        </w:rPr>
        <w:t>n</w:t>
      </w:r>
      <w:r w:rsidRPr="00AF5502">
        <w:rPr>
          <w:rFonts w:asciiTheme="minorHAnsi" w:hAnsiTheme="minorHAnsi"/>
          <w:szCs w:val="22"/>
          <w:lang w:val="sq-AL"/>
        </w:rPr>
        <w:t xml:space="preserve"> prej 28 miliardë lekë, deri tani janë akorduar fonde për projekte të reja gjithsej në masën 18 116 milion leke</w:t>
      </w:r>
      <w:r w:rsidR="00FC3C87" w:rsidRPr="00AF5502">
        <w:rPr>
          <w:rFonts w:asciiTheme="minorHAnsi" w:hAnsiTheme="minorHAnsi"/>
          <w:szCs w:val="22"/>
          <w:lang w:val="sq-AL"/>
        </w:rPr>
        <w:t xml:space="preserve"> ose 64.6 përqind</w:t>
      </w:r>
      <w:r w:rsidRPr="00AF5502">
        <w:rPr>
          <w:rFonts w:asciiTheme="minorHAnsi" w:hAnsiTheme="minorHAnsi"/>
          <w:szCs w:val="22"/>
          <w:lang w:val="sq-AL"/>
        </w:rPr>
        <w:t>, i ndarë si më poshtë:</w:t>
      </w:r>
    </w:p>
    <w:p w:rsidR="00E32ADB" w:rsidRPr="00640D2C" w:rsidRDefault="00E32ADB" w:rsidP="00E32ADB">
      <w:pPr>
        <w:spacing w:line="276" w:lineRule="auto"/>
        <w:jc w:val="both"/>
        <w:rPr>
          <w:rFonts w:asciiTheme="minorHAnsi" w:hAnsiTheme="minorHAnsi"/>
          <w:sz w:val="8"/>
          <w:szCs w:val="22"/>
          <w:lang w:val="sq-AL"/>
        </w:rPr>
      </w:pPr>
    </w:p>
    <w:p w:rsidR="00FC3C87" w:rsidRPr="00FC3C87" w:rsidRDefault="00FC3C87" w:rsidP="007F0B61">
      <w:pPr>
        <w:pStyle w:val="ListParagraph"/>
        <w:widowControl w:val="0"/>
        <w:numPr>
          <w:ilvl w:val="1"/>
          <w:numId w:val="13"/>
        </w:numPr>
        <w:tabs>
          <w:tab w:val="left" w:pos="810"/>
          <w:tab w:val="left" w:pos="1170"/>
        </w:tabs>
        <w:autoSpaceDE w:val="0"/>
        <w:autoSpaceDN w:val="0"/>
        <w:adjustRightInd w:val="0"/>
        <w:spacing w:line="276" w:lineRule="auto"/>
        <w:ind w:left="810"/>
        <w:jc w:val="both"/>
        <w:rPr>
          <w:rFonts w:asciiTheme="minorHAnsi" w:hAnsiTheme="minorHAnsi"/>
          <w:i/>
          <w:szCs w:val="22"/>
          <w:lang w:val="sq-AL"/>
        </w:rPr>
      </w:pPr>
      <w:r w:rsidRPr="00FC3C87">
        <w:rPr>
          <w:rFonts w:asciiTheme="minorHAnsi" w:hAnsiTheme="minorHAnsi"/>
          <w:i/>
          <w:szCs w:val="22"/>
          <w:lang w:val="sq-AL"/>
        </w:rPr>
        <w:t>Për Njësitë e Qeverisjes Qendrore janë akorduar 1 311.5 milion lekë</w:t>
      </w:r>
      <w:r>
        <w:rPr>
          <w:rFonts w:asciiTheme="minorHAnsi" w:hAnsiTheme="minorHAnsi"/>
          <w:i/>
          <w:szCs w:val="22"/>
          <w:lang w:val="sq-AL"/>
        </w:rPr>
        <w:t xml:space="preserve"> ose </w:t>
      </w:r>
      <w:r w:rsidR="007674ED">
        <w:rPr>
          <w:rFonts w:asciiTheme="minorHAnsi" w:hAnsiTheme="minorHAnsi"/>
          <w:i/>
          <w:szCs w:val="22"/>
          <w:lang w:val="sq-AL"/>
        </w:rPr>
        <w:t>7.2 përqind</w:t>
      </w:r>
      <w:r w:rsidRPr="00FC3C87">
        <w:rPr>
          <w:rFonts w:asciiTheme="minorHAnsi" w:hAnsiTheme="minorHAnsi"/>
          <w:i/>
          <w:szCs w:val="22"/>
          <w:lang w:val="sq-AL"/>
        </w:rPr>
        <w:t xml:space="preserve">. </w:t>
      </w:r>
    </w:p>
    <w:p w:rsidR="00E32ADB" w:rsidRPr="00FC3C87" w:rsidRDefault="00E32ADB" w:rsidP="007F0B61">
      <w:pPr>
        <w:pStyle w:val="ListParagraph"/>
        <w:widowControl w:val="0"/>
        <w:numPr>
          <w:ilvl w:val="1"/>
          <w:numId w:val="13"/>
        </w:numPr>
        <w:tabs>
          <w:tab w:val="left" w:pos="810"/>
          <w:tab w:val="left" w:pos="1170"/>
        </w:tabs>
        <w:autoSpaceDE w:val="0"/>
        <w:autoSpaceDN w:val="0"/>
        <w:adjustRightInd w:val="0"/>
        <w:spacing w:line="276" w:lineRule="auto"/>
        <w:ind w:left="810"/>
        <w:jc w:val="both"/>
        <w:rPr>
          <w:rFonts w:asciiTheme="minorHAnsi" w:hAnsiTheme="minorHAnsi"/>
          <w:i/>
          <w:szCs w:val="22"/>
          <w:lang w:val="sq-AL"/>
        </w:rPr>
      </w:pPr>
      <w:r w:rsidRPr="00FC3C87">
        <w:rPr>
          <w:rFonts w:asciiTheme="minorHAnsi" w:hAnsiTheme="minorHAnsi"/>
          <w:i/>
          <w:szCs w:val="22"/>
          <w:lang w:val="sq-AL"/>
        </w:rPr>
        <w:t xml:space="preserve">Për Njësitë e </w:t>
      </w:r>
      <w:r w:rsidR="00FC3C87">
        <w:rPr>
          <w:rFonts w:asciiTheme="minorHAnsi" w:hAnsiTheme="minorHAnsi"/>
          <w:i/>
          <w:szCs w:val="22"/>
          <w:lang w:val="sq-AL"/>
        </w:rPr>
        <w:t>Vetëq</w:t>
      </w:r>
      <w:r w:rsidR="00FC3C87" w:rsidRPr="00FC3C87">
        <w:rPr>
          <w:rFonts w:asciiTheme="minorHAnsi" w:hAnsiTheme="minorHAnsi"/>
          <w:i/>
          <w:szCs w:val="22"/>
          <w:lang w:val="sq-AL"/>
        </w:rPr>
        <w:t>everisjes</w:t>
      </w:r>
      <w:r w:rsidRPr="00FC3C87">
        <w:rPr>
          <w:rFonts w:asciiTheme="minorHAnsi" w:hAnsiTheme="minorHAnsi"/>
          <w:i/>
          <w:szCs w:val="22"/>
          <w:lang w:val="sq-AL"/>
        </w:rPr>
        <w:t xml:space="preserve"> Vendore janë akorduar 16 804 milion lekë</w:t>
      </w:r>
      <w:r w:rsidR="007674ED">
        <w:rPr>
          <w:rFonts w:asciiTheme="minorHAnsi" w:hAnsiTheme="minorHAnsi"/>
          <w:i/>
          <w:szCs w:val="22"/>
          <w:lang w:val="sq-AL"/>
        </w:rPr>
        <w:t xml:space="preserve"> ose 92.8 përqind</w:t>
      </w:r>
      <w:r w:rsidRPr="00FC3C87">
        <w:rPr>
          <w:rFonts w:asciiTheme="minorHAnsi" w:hAnsiTheme="minorHAnsi"/>
          <w:i/>
          <w:szCs w:val="22"/>
          <w:lang w:val="sq-AL"/>
        </w:rPr>
        <w:t>.</w:t>
      </w:r>
    </w:p>
    <w:p w:rsidR="00CC3FEF" w:rsidRPr="00F12701" w:rsidRDefault="00CC3FEF" w:rsidP="00CC3FEF">
      <w:pPr>
        <w:spacing w:line="276" w:lineRule="auto"/>
        <w:jc w:val="both"/>
        <w:rPr>
          <w:rFonts w:asciiTheme="minorHAnsi" w:hAnsiTheme="minorHAnsi"/>
          <w:sz w:val="8"/>
          <w:szCs w:val="22"/>
          <w:lang w:val="sq-AL"/>
        </w:rPr>
      </w:pPr>
    </w:p>
    <w:p w:rsidR="00E32ADB" w:rsidRPr="00CC3FEF" w:rsidRDefault="00E32ADB" w:rsidP="00CC3FEF">
      <w:pPr>
        <w:spacing w:line="276" w:lineRule="auto"/>
        <w:jc w:val="both"/>
        <w:rPr>
          <w:rFonts w:asciiTheme="minorHAnsi" w:hAnsiTheme="minorHAnsi"/>
          <w:szCs w:val="22"/>
          <w:lang w:val="sq-AL"/>
        </w:rPr>
      </w:pPr>
      <w:r w:rsidRPr="00CC3FEF">
        <w:rPr>
          <w:rFonts w:asciiTheme="minorHAnsi" w:hAnsiTheme="minorHAnsi"/>
          <w:szCs w:val="22"/>
          <w:lang w:val="sq-AL"/>
        </w:rPr>
        <w:t xml:space="preserve">Për financimin e projekteve të </w:t>
      </w:r>
      <w:r w:rsidR="007674ED" w:rsidRPr="00CC3FEF">
        <w:rPr>
          <w:rFonts w:asciiTheme="minorHAnsi" w:hAnsiTheme="minorHAnsi"/>
          <w:szCs w:val="22"/>
          <w:lang w:val="sq-AL"/>
        </w:rPr>
        <w:t>mbartuara (</w:t>
      </w:r>
      <w:r w:rsidRPr="00CC3FEF">
        <w:rPr>
          <w:rFonts w:asciiTheme="minorHAnsi" w:hAnsiTheme="minorHAnsi"/>
          <w:szCs w:val="22"/>
          <w:lang w:val="sq-AL"/>
        </w:rPr>
        <w:t>pafinancuara</w:t>
      </w:r>
      <w:r w:rsidR="007674ED" w:rsidRPr="00CC3FEF">
        <w:rPr>
          <w:rFonts w:asciiTheme="minorHAnsi" w:hAnsiTheme="minorHAnsi"/>
          <w:szCs w:val="22"/>
          <w:lang w:val="sq-AL"/>
        </w:rPr>
        <w:t>)</w:t>
      </w:r>
      <w:r w:rsidRPr="00CC3FEF">
        <w:rPr>
          <w:rFonts w:asciiTheme="minorHAnsi" w:hAnsiTheme="minorHAnsi"/>
          <w:szCs w:val="22"/>
          <w:lang w:val="sq-AL"/>
        </w:rPr>
        <w:t xml:space="preserve"> </w:t>
      </w:r>
      <w:r w:rsidR="007674ED" w:rsidRPr="00CC3FEF">
        <w:rPr>
          <w:rFonts w:asciiTheme="minorHAnsi" w:hAnsiTheme="minorHAnsi"/>
          <w:szCs w:val="22"/>
          <w:lang w:val="sq-AL"/>
        </w:rPr>
        <w:t>nga</w:t>
      </w:r>
      <w:r w:rsidRPr="00CC3FEF">
        <w:rPr>
          <w:rFonts w:asciiTheme="minorHAnsi" w:hAnsiTheme="minorHAnsi"/>
          <w:szCs w:val="22"/>
          <w:lang w:val="sq-AL"/>
        </w:rPr>
        <w:t xml:space="preserve"> viti 2020, në vitin 2021 janë akorduar rreth 9.9 miliard lekë, të ndarë si më poshtë:</w:t>
      </w:r>
    </w:p>
    <w:p w:rsidR="00E32ADB" w:rsidRPr="00FC3C87" w:rsidRDefault="00E32ADB" w:rsidP="00E32ADB">
      <w:pPr>
        <w:spacing w:line="276" w:lineRule="auto"/>
        <w:jc w:val="both"/>
        <w:rPr>
          <w:rFonts w:asciiTheme="minorHAnsi" w:hAnsiTheme="minorHAnsi"/>
          <w:sz w:val="8"/>
          <w:szCs w:val="22"/>
          <w:lang w:val="sq-AL"/>
        </w:rPr>
      </w:pPr>
    </w:p>
    <w:p w:rsidR="00FC3C87" w:rsidRPr="00FC3C87" w:rsidRDefault="00FC3C87" w:rsidP="007F0B61">
      <w:pPr>
        <w:pStyle w:val="ListParagraph"/>
        <w:widowControl w:val="0"/>
        <w:numPr>
          <w:ilvl w:val="1"/>
          <w:numId w:val="13"/>
        </w:numPr>
        <w:tabs>
          <w:tab w:val="left" w:pos="810"/>
          <w:tab w:val="left" w:pos="1170"/>
        </w:tabs>
        <w:autoSpaceDE w:val="0"/>
        <w:autoSpaceDN w:val="0"/>
        <w:adjustRightInd w:val="0"/>
        <w:spacing w:line="276" w:lineRule="auto"/>
        <w:ind w:left="810"/>
        <w:jc w:val="both"/>
        <w:rPr>
          <w:rFonts w:asciiTheme="minorHAnsi" w:hAnsiTheme="minorHAnsi"/>
          <w:i/>
          <w:szCs w:val="22"/>
          <w:lang w:val="sq-AL"/>
        </w:rPr>
      </w:pPr>
      <w:r w:rsidRPr="00FC3C87">
        <w:rPr>
          <w:rFonts w:asciiTheme="minorHAnsi" w:hAnsiTheme="minorHAnsi"/>
          <w:i/>
          <w:szCs w:val="22"/>
          <w:lang w:val="sq-AL"/>
        </w:rPr>
        <w:t xml:space="preserve">Për Njësitë e </w:t>
      </w:r>
      <w:r>
        <w:rPr>
          <w:rFonts w:asciiTheme="minorHAnsi" w:hAnsiTheme="minorHAnsi"/>
          <w:i/>
          <w:szCs w:val="22"/>
          <w:lang w:val="sq-AL"/>
        </w:rPr>
        <w:t>Vetëq</w:t>
      </w:r>
      <w:r w:rsidRPr="00FC3C87">
        <w:rPr>
          <w:rFonts w:asciiTheme="minorHAnsi" w:hAnsiTheme="minorHAnsi"/>
          <w:i/>
          <w:szCs w:val="22"/>
          <w:lang w:val="sq-AL"/>
        </w:rPr>
        <w:t>everisjes Qendrore janë akorduar 3 358.3 milion lekë</w:t>
      </w:r>
      <w:r w:rsidR="007674ED">
        <w:rPr>
          <w:rFonts w:asciiTheme="minorHAnsi" w:hAnsiTheme="minorHAnsi"/>
          <w:i/>
          <w:szCs w:val="22"/>
          <w:lang w:val="sq-AL"/>
        </w:rPr>
        <w:t xml:space="preserve"> ose 34.3 përqind</w:t>
      </w:r>
      <w:r w:rsidRPr="00FC3C87">
        <w:rPr>
          <w:rFonts w:asciiTheme="minorHAnsi" w:hAnsiTheme="minorHAnsi"/>
          <w:i/>
          <w:szCs w:val="22"/>
          <w:lang w:val="sq-AL"/>
        </w:rPr>
        <w:t xml:space="preserve">. </w:t>
      </w:r>
    </w:p>
    <w:p w:rsidR="00E32ADB" w:rsidRPr="00FC3C87" w:rsidRDefault="00E32ADB" w:rsidP="007F0B61">
      <w:pPr>
        <w:pStyle w:val="ListParagraph"/>
        <w:widowControl w:val="0"/>
        <w:numPr>
          <w:ilvl w:val="1"/>
          <w:numId w:val="13"/>
        </w:numPr>
        <w:tabs>
          <w:tab w:val="left" w:pos="810"/>
          <w:tab w:val="left" w:pos="1170"/>
        </w:tabs>
        <w:autoSpaceDE w:val="0"/>
        <w:autoSpaceDN w:val="0"/>
        <w:adjustRightInd w:val="0"/>
        <w:spacing w:line="276" w:lineRule="auto"/>
        <w:ind w:left="810"/>
        <w:jc w:val="both"/>
        <w:rPr>
          <w:rFonts w:asciiTheme="minorHAnsi" w:hAnsiTheme="minorHAnsi"/>
          <w:i/>
          <w:szCs w:val="22"/>
          <w:lang w:val="sq-AL"/>
        </w:rPr>
      </w:pPr>
      <w:r w:rsidRPr="00FC3C87">
        <w:rPr>
          <w:rFonts w:asciiTheme="minorHAnsi" w:hAnsiTheme="minorHAnsi"/>
          <w:i/>
          <w:szCs w:val="22"/>
          <w:lang w:val="sq-AL"/>
        </w:rPr>
        <w:t>Për Njësitë e Qeverisjes Vendore janë akorduar 6 523.5 milion lekë</w:t>
      </w:r>
      <w:r w:rsidR="007674ED">
        <w:rPr>
          <w:rFonts w:asciiTheme="minorHAnsi" w:hAnsiTheme="minorHAnsi"/>
          <w:i/>
          <w:szCs w:val="22"/>
          <w:lang w:val="sq-AL"/>
        </w:rPr>
        <w:t xml:space="preserve"> ose 65.7 përqind</w:t>
      </w:r>
      <w:r w:rsidRPr="00FC3C87">
        <w:rPr>
          <w:rFonts w:asciiTheme="minorHAnsi" w:hAnsiTheme="minorHAnsi"/>
          <w:i/>
          <w:szCs w:val="22"/>
          <w:lang w:val="sq-AL"/>
        </w:rPr>
        <w:t>.</w:t>
      </w:r>
    </w:p>
    <w:p w:rsidR="00E32ADB" w:rsidRPr="00F12701" w:rsidRDefault="00E32ADB" w:rsidP="00E32ADB">
      <w:pPr>
        <w:pStyle w:val="ListParagraph"/>
        <w:spacing w:line="276" w:lineRule="auto"/>
        <w:ind w:left="90"/>
        <w:jc w:val="both"/>
        <w:rPr>
          <w:rFonts w:asciiTheme="minorHAnsi" w:hAnsiTheme="minorHAnsi"/>
          <w:sz w:val="8"/>
          <w:szCs w:val="22"/>
          <w:lang w:val="sq-AL"/>
        </w:rPr>
      </w:pPr>
    </w:p>
    <w:p w:rsidR="00E32ADB" w:rsidRPr="007674ED" w:rsidRDefault="00E32ADB" w:rsidP="007674ED">
      <w:pPr>
        <w:spacing w:line="276" w:lineRule="auto"/>
        <w:jc w:val="both"/>
        <w:rPr>
          <w:rFonts w:asciiTheme="minorHAnsi" w:hAnsiTheme="minorHAnsi"/>
          <w:szCs w:val="22"/>
          <w:lang w:val="sq-AL"/>
        </w:rPr>
      </w:pPr>
      <w:r w:rsidRPr="007674ED">
        <w:rPr>
          <w:rFonts w:asciiTheme="minorHAnsi" w:hAnsiTheme="minorHAnsi"/>
          <w:szCs w:val="22"/>
          <w:lang w:val="sq-AL"/>
        </w:rPr>
        <w:t xml:space="preserve">Pra nga Fondi </w:t>
      </w:r>
      <w:r w:rsidR="00FC3C87" w:rsidRPr="007674ED">
        <w:rPr>
          <w:rFonts w:asciiTheme="minorHAnsi" w:hAnsiTheme="minorHAnsi"/>
          <w:szCs w:val="22"/>
          <w:lang w:val="sq-AL"/>
        </w:rPr>
        <w:t xml:space="preserve">i Rindërtimit </w:t>
      </w:r>
      <w:r w:rsidRPr="007674ED">
        <w:rPr>
          <w:rFonts w:asciiTheme="minorHAnsi" w:hAnsiTheme="minorHAnsi"/>
          <w:szCs w:val="22"/>
          <w:lang w:val="sq-AL"/>
        </w:rPr>
        <w:t xml:space="preserve">prej 28 miliard lekësh i planifikuar për vitin 2021, ne </w:t>
      </w:r>
      <w:r w:rsidR="00FC3C87" w:rsidRPr="007674ED">
        <w:rPr>
          <w:rFonts w:asciiTheme="minorHAnsi" w:hAnsiTheme="minorHAnsi"/>
          <w:szCs w:val="22"/>
          <w:lang w:val="sq-AL"/>
        </w:rPr>
        <w:t>t</w:t>
      </w:r>
      <w:r w:rsidRPr="007674ED">
        <w:rPr>
          <w:rFonts w:asciiTheme="minorHAnsi" w:hAnsiTheme="minorHAnsi"/>
          <w:szCs w:val="22"/>
          <w:lang w:val="sq-AL"/>
        </w:rPr>
        <w:t xml:space="preserve">otal janë akorduar </w:t>
      </w:r>
      <w:r w:rsidR="00FC3C87" w:rsidRPr="007674ED">
        <w:rPr>
          <w:rFonts w:asciiTheme="minorHAnsi" w:hAnsiTheme="minorHAnsi"/>
          <w:szCs w:val="22"/>
          <w:lang w:val="sq-AL"/>
        </w:rPr>
        <w:t>deri tani rreth 27.9 miliard lekë ose 99.6 përqind e planit vjetor 2021.</w:t>
      </w:r>
    </w:p>
    <w:p w:rsidR="00E32ADB" w:rsidRPr="00F12701" w:rsidRDefault="00E32ADB" w:rsidP="00E32ADB">
      <w:pPr>
        <w:pStyle w:val="ListParagraph"/>
        <w:spacing w:line="276" w:lineRule="auto"/>
        <w:ind w:left="90"/>
        <w:jc w:val="both"/>
        <w:rPr>
          <w:rFonts w:asciiTheme="minorHAnsi" w:hAnsiTheme="minorHAnsi"/>
          <w:sz w:val="8"/>
          <w:szCs w:val="22"/>
          <w:lang w:val="sq-AL"/>
        </w:rPr>
      </w:pPr>
    </w:p>
    <w:p w:rsidR="00E32ADB" w:rsidRPr="007674ED" w:rsidRDefault="00DB684D" w:rsidP="007674ED">
      <w:pPr>
        <w:spacing w:line="276" w:lineRule="auto"/>
        <w:jc w:val="both"/>
        <w:rPr>
          <w:rFonts w:asciiTheme="minorHAnsi" w:hAnsiTheme="minorHAnsi"/>
          <w:szCs w:val="22"/>
          <w:lang w:val="sq-AL"/>
        </w:rPr>
      </w:pPr>
      <w:r>
        <w:rPr>
          <w:rFonts w:asciiTheme="minorHAnsi" w:hAnsiTheme="minorHAnsi"/>
          <w:szCs w:val="22"/>
          <w:lang w:val="sq-AL"/>
        </w:rPr>
        <w:t>Ndërkohë, m</w:t>
      </w:r>
      <w:r w:rsidR="00E32ADB" w:rsidRPr="007674ED">
        <w:rPr>
          <w:rFonts w:asciiTheme="minorHAnsi" w:hAnsiTheme="minorHAnsi"/>
          <w:szCs w:val="22"/>
          <w:lang w:val="sq-AL"/>
        </w:rPr>
        <w:t xml:space="preserve">e një </w:t>
      </w:r>
      <w:r w:rsidR="00FC3C87" w:rsidRPr="007674ED">
        <w:rPr>
          <w:rFonts w:asciiTheme="minorHAnsi" w:hAnsiTheme="minorHAnsi"/>
          <w:szCs w:val="22"/>
          <w:lang w:val="sq-AL"/>
        </w:rPr>
        <w:t>VKM të veçantë</w:t>
      </w:r>
      <w:r w:rsidR="00E32ADB" w:rsidRPr="007674ED">
        <w:rPr>
          <w:rFonts w:asciiTheme="minorHAnsi" w:hAnsiTheme="minorHAnsi"/>
          <w:szCs w:val="22"/>
          <w:lang w:val="sq-AL"/>
        </w:rPr>
        <w:t xml:space="preserve"> është aprovuar përdorimi i shumës prej 300 milion lekë nga “Grantet”.</w:t>
      </w:r>
    </w:p>
    <w:p w:rsidR="00E32ADB" w:rsidRDefault="00E32ADB" w:rsidP="007674ED">
      <w:pPr>
        <w:spacing w:line="276" w:lineRule="auto"/>
        <w:jc w:val="both"/>
        <w:rPr>
          <w:rFonts w:asciiTheme="minorHAnsi" w:hAnsiTheme="minorHAnsi"/>
          <w:szCs w:val="22"/>
          <w:lang w:val="sq-AL"/>
        </w:rPr>
      </w:pPr>
    </w:p>
    <w:p w:rsidR="007E215E" w:rsidRPr="00AF5502" w:rsidRDefault="007E215E" w:rsidP="007674ED">
      <w:pPr>
        <w:spacing w:line="276" w:lineRule="auto"/>
        <w:jc w:val="both"/>
        <w:rPr>
          <w:rFonts w:asciiTheme="minorHAnsi" w:hAnsiTheme="minorHAnsi"/>
          <w:szCs w:val="22"/>
          <w:lang w:val="sq-AL"/>
        </w:rPr>
      </w:pPr>
    </w:p>
    <w:p w:rsidR="00956F90" w:rsidRPr="0065598A" w:rsidRDefault="00956F90" w:rsidP="002334F6">
      <w:pPr>
        <w:pStyle w:val="Heading2"/>
      </w:pPr>
      <w:bookmarkStart w:id="40" w:name="_Toc76470023"/>
      <w:r w:rsidRPr="00D16E4B">
        <w:t>III.</w:t>
      </w:r>
      <w:r w:rsidR="00F30431" w:rsidRPr="00D16E4B">
        <w:t>4</w:t>
      </w:r>
      <w:r w:rsidRPr="00D16E4B">
        <w:tab/>
        <w:t>Pritshm</w:t>
      </w:r>
      <w:r w:rsidR="007E20C2" w:rsidRPr="00D16E4B">
        <w:t>ë</w:t>
      </w:r>
      <w:r w:rsidRPr="00D16E4B">
        <w:t>ri</w:t>
      </w:r>
      <w:r w:rsidR="00FC337D" w:rsidRPr="00D16E4B">
        <w:t>a</w:t>
      </w:r>
      <w:r w:rsidRPr="00D16E4B">
        <w:t xml:space="preserve"> e Shpenzimeve Buxhetore </w:t>
      </w:r>
      <w:r w:rsidR="00FC337D" w:rsidRPr="00D16E4B">
        <w:t>deri n</w:t>
      </w:r>
      <w:r w:rsidR="000960BA" w:rsidRPr="00D16E4B">
        <w:t>ë</w:t>
      </w:r>
      <w:r w:rsidR="00FC337D" w:rsidRPr="00D16E4B">
        <w:t xml:space="preserve"> fund t</w:t>
      </w:r>
      <w:r w:rsidR="000960BA" w:rsidRPr="00D16E4B">
        <w:t>ë</w:t>
      </w:r>
      <w:r w:rsidR="00FC337D" w:rsidRPr="00D16E4B">
        <w:t xml:space="preserve"> vitit</w:t>
      </w:r>
      <w:r w:rsidRPr="00D16E4B">
        <w:t xml:space="preserve"> 20</w:t>
      </w:r>
      <w:r w:rsidR="008E422C" w:rsidRPr="00D16E4B">
        <w:t>2</w:t>
      </w:r>
      <w:r w:rsidR="00F12701">
        <w:t>1</w:t>
      </w:r>
      <w:bookmarkEnd w:id="40"/>
      <w:r w:rsidR="00FB4DB9">
        <w:t xml:space="preserve"> </w:t>
      </w:r>
    </w:p>
    <w:p w:rsidR="0092452B" w:rsidRPr="0092452B" w:rsidRDefault="0092452B" w:rsidP="0092452B">
      <w:pPr>
        <w:spacing w:line="276" w:lineRule="auto"/>
        <w:jc w:val="both"/>
        <w:rPr>
          <w:rFonts w:asciiTheme="minorHAnsi" w:hAnsiTheme="minorHAnsi"/>
          <w:sz w:val="8"/>
          <w:szCs w:val="8"/>
          <w:lang w:val="sq-AL"/>
        </w:rPr>
      </w:pPr>
    </w:p>
    <w:p w:rsidR="00A209F7" w:rsidRDefault="00FC337D" w:rsidP="006C6319">
      <w:pPr>
        <w:spacing w:line="276" w:lineRule="auto"/>
        <w:jc w:val="both"/>
        <w:rPr>
          <w:rFonts w:asciiTheme="minorHAnsi" w:hAnsiTheme="minorHAnsi"/>
          <w:noProof/>
          <w:lang w:val="sq-AL"/>
        </w:rPr>
      </w:pPr>
      <w:r w:rsidRPr="0065598A">
        <w:rPr>
          <w:rFonts w:asciiTheme="minorHAnsi" w:hAnsiTheme="minorHAnsi"/>
          <w:lang w:val="sq-AL"/>
        </w:rPr>
        <w:t>Shpenzimet</w:t>
      </w:r>
      <w:r w:rsidRPr="0065598A">
        <w:rPr>
          <w:rFonts w:asciiTheme="minorHAnsi" w:hAnsiTheme="minorHAnsi"/>
          <w:noProof/>
          <w:lang w:val="sq-AL"/>
        </w:rPr>
        <w:t xml:space="preserve"> e p</w:t>
      </w:r>
      <w:r w:rsidR="000960BA" w:rsidRPr="0065598A">
        <w:rPr>
          <w:rFonts w:asciiTheme="minorHAnsi" w:hAnsiTheme="minorHAnsi"/>
          <w:noProof/>
          <w:lang w:val="sq-AL"/>
        </w:rPr>
        <w:t>ë</w:t>
      </w:r>
      <w:r w:rsidRPr="0065598A">
        <w:rPr>
          <w:rFonts w:asciiTheme="minorHAnsi" w:hAnsiTheme="minorHAnsi"/>
          <w:noProof/>
          <w:lang w:val="sq-AL"/>
        </w:rPr>
        <w:t>rgjithshme për vitin 20</w:t>
      </w:r>
      <w:r w:rsidR="00D16E4B">
        <w:rPr>
          <w:rFonts w:asciiTheme="minorHAnsi" w:hAnsiTheme="minorHAnsi"/>
          <w:noProof/>
          <w:lang w:val="sq-AL"/>
        </w:rPr>
        <w:t>2</w:t>
      </w:r>
      <w:r w:rsidR="00946661">
        <w:rPr>
          <w:rFonts w:asciiTheme="minorHAnsi" w:hAnsiTheme="minorHAnsi"/>
          <w:noProof/>
          <w:lang w:val="sq-AL"/>
        </w:rPr>
        <w:t>1</w:t>
      </w:r>
      <w:r w:rsidRPr="0065598A">
        <w:rPr>
          <w:rFonts w:asciiTheme="minorHAnsi" w:hAnsiTheme="minorHAnsi"/>
          <w:noProof/>
          <w:lang w:val="sq-AL"/>
        </w:rPr>
        <w:t>, vlerësuar mbi bazën e ecuris</w:t>
      </w:r>
      <w:r w:rsidR="000960BA" w:rsidRPr="0065598A">
        <w:rPr>
          <w:rFonts w:asciiTheme="minorHAnsi" w:hAnsiTheme="minorHAnsi"/>
          <w:noProof/>
          <w:lang w:val="sq-AL"/>
        </w:rPr>
        <w:t>ë</w:t>
      </w:r>
      <w:r w:rsidRPr="0065598A">
        <w:rPr>
          <w:rFonts w:asciiTheme="minorHAnsi" w:hAnsiTheme="minorHAnsi"/>
          <w:noProof/>
          <w:lang w:val="sq-AL"/>
        </w:rPr>
        <w:t xml:space="preserve"> dhe performancës së tyre gjat</w:t>
      </w:r>
      <w:r w:rsidR="000960BA" w:rsidRPr="0065598A">
        <w:rPr>
          <w:rFonts w:asciiTheme="minorHAnsi" w:hAnsiTheme="minorHAnsi"/>
          <w:noProof/>
          <w:lang w:val="sq-AL"/>
        </w:rPr>
        <w:t>ë</w:t>
      </w:r>
      <w:r w:rsidRPr="0065598A">
        <w:rPr>
          <w:rFonts w:asciiTheme="minorHAnsi" w:hAnsiTheme="minorHAnsi"/>
          <w:noProof/>
          <w:lang w:val="sq-AL"/>
        </w:rPr>
        <w:t xml:space="preserve"> periudhës Janar-Maj 20</w:t>
      </w:r>
      <w:r w:rsidR="00D16E4B">
        <w:rPr>
          <w:rFonts w:asciiTheme="minorHAnsi" w:hAnsiTheme="minorHAnsi"/>
          <w:noProof/>
          <w:lang w:val="sq-AL"/>
        </w:rPr>
        <w:t>2</w:t>
      </w:r>
      <w:r w:rsidR="00946661">
        <w:rPr>
          <w:rFonts w:asciiTheme="minorHAnsi" w:hAnsiTheme="minorHAnsi"/>
          <w:noProof/>
          <w:lang w:val="sq-AL"/>
        </w:rPr>
        <w:t>1</w:t>
      </w:r>
      <w:r w:rsidRPr="0065598A">
        <w:rPr>
          <w:rFonts w:asciiTheme="minorHAnsi" w:hAnsiTheme="minorHAnsi"/>
          <w:noProof/>
          <w:lang w:val="sq-AL"/>
        </w:rPr>
        <w:t>, paraqesin nj</w:t>
      </w:r>
      <w:r w:rsidR="000960BA" w:rsidRPr="0065598A">
        <w:rPr>
          <w:rFonts w:asciiTheme="minorHAnsi" w:hAnsiTheme="minorHAnsi"/>
          <w:noProof/>
          <w:lang w:val="sq-AL"/>
        </w:rPr>
        <w:t>ë</w:t>
      </w:r>
      <w:r w:rsidRPr="0065598A">
        <w:rPr>
          <w:rFonts w:asciiTheme="minorHAnsi" w:hAnsiTheme="minorHAnsi"/>
          <w:noProof/>
          <w:lang w:val="sq-AL"/>
        </w:rPr>
        <w:t xml:space="preserve"> pritshm</w:t>
      </w:r>
      <w:r w:rsidR="000960BA" w:rsidRPr="0065598A">
        <w:rPr>
          <w:rFonts w:asciiTheme="minorHAnsi" w:hAnsiTheme="minorHAnsi"/>
          <w:noProof/>
          <w:lang w:val="sq-AL"/>
        </w:rPr>
        <w:t>ë</w:t>
      </w:r>
      <w:r w:rsidRPr="0065598A">
        <w:rPr>
          <w:rFonts w:asciiTheme="minorHAnsi" w:hAnsiTheme="minorHAnsi"/>
          <w:noProof/>
          <w:lang w:val="sq-AL"/>
        </w:rPr>
        <w:t>ri p</w:t>
      </w:r>
      <w:r w:rsidR="000960BA" w:rsidRPr="0065598A">
        <w:rPr>
          <w:rFonts w:asciiTheme="minorHAnsi" w:hAnsiTheme="minorHAnsi"/>
          <w:noProof/>
          <w:lang w:val="sq-AL"/>
        </w:rPr>
        <w:t>ë</w:t>
      </w:r>
      <w:r w:rsidRPr="0065598A">
        <w:rPr>
          <w:rFonts w:asciiTheme="minorHAnsi" w:hAnsiTheme="minorHAnsi"/>
          <w:noProof/>
          <w:lang w:val="sq-AL"/>
        </w:rPr>
        <w:t>rgjith</w:t>
      </w:r>
      <w:r w:rsidR="000960BA" w:rsidRPr="0065598A">
        <w:rPr>
          <w:rFonts w:asciiTheme="minorHAnsi" w:hAnsiTheme="minorHAnsi"/>
          <w:noProof/>
          <w:lang w:val="sq-AL"/>
        </w:rPr>
        <w:t>ë</w:t>
      </w:r>
      <w:r w:rsidRPr="0065598A">
        <w:rPr>
          <w:rFonts w:asciiTheme="minorHAnsi" w:hAnsiTheme="minorHAnsi"/>
          <w:noProof/>
          <w:lang w:val="sq-AL"/>
        </w:rPr>
        <w:t>sisht n</w:t>
      </w:r>
      <w:r w:rsidR="000960BA" w:rsidRPr="0065598A">
        <w:rPr>
          <w:rFonts w:asciiTheme="minorHAnsi" w:hAnsiTheme="minorHAnsi"/>
          <w:noProof/>
          <w:lang w:val="sq-AL"/>
        </w:rPr>
        <w:t>ë</w:t>
      </w:r>
      <w:r w:rsidRPr="0065598A">
        <w:rPr>
          <w:rFonts w:asciiTheme="minorHAnsi" w:hAnsiTheme="minorHAnsi"/>
          <w:noProof/>
          <w:lang w:val="sq-AL"/>
        </w:rPr>
        <w:t xml:space="preserve"> linj</w:t>
      </w:r>
      <w:r w:rsidR="000960BA" w:rsidRPr="0065598A">
        <w:rPr>
          <w:rFonts w:asciiTheme="minorHAnsi" w:hAnsiTheme="minorHAnsi"/>
          <w:noProof/>
          <w:lang w:val="sq-AL"/>
        </w:rPr>
        <w:t>ë</w:t>
      </w:r>
      <w:r w:rsidRPr="0065598A">
        <w:rPr>
          <w:rFonts w:asciiTheme="minorHAnsi" w:hAnsiTheme="minorHAnsi"/>
          <w:noProof/>
          <w:lang w:val="sq-AL"/>
        </w:rPr>
        <w:t xml:space="preserve"> me parashik</w:t>
      </w:r>
      <w:r w:rsidR="00FA7107" w:rsidRPr="0065598A">
        <w:rPr>
          <w:rFonts w:asciiTheme="minorHAnsi" w:hAnsiTheme="minorHAnsi"/>
          <w:noProof/>
          <w:lang w:val="sq-AL"/>
        </w:rPr>
        <w:t>i</w:t>
      </w:r>
      <w:r w:rsidRPr="0065598A">
        <w:rPr>
          <w:rFonts w:asciiTheme="minorHAnsi" w:hAnsiTheme="minorHAnsi"/>
          <w:noProof/>
          <w:lang w:val="sq-AL"/>
        </w:rPr>
        <w:t xml:space="preserve">met ligjit </w:t>
      </w:r>
      <w:r w:rsidRPr="006C6319">
        <w:rPr>
          <w:rFonts w:asciiTheme="minorHAnsi" w:hAnsiTheme="minorHAnsi"/>
          <w:noProof/>
          <w:u w:val="single"/>
          <w:lang w:val="sq-AL"/>
        </w:rPr>
        <w:t>t</w:t>
      </w:r>
      <w:r w:rsidR="000960BA" w:rsidRPr="006C6319">
        <w:rPr>
          <w:rFonts w:asciiTheme="minorHAnsi" w:hAnsiTheme="minorHAnsi"/>
          <w:noProof/>
          <w:u w:val="single"/>
          <w:lang w:val="sq-AL"/>
        </w:rPr>
        <w:t>ë</w:t>
      </w:r>
      <w:r w:rsidRPr="006C6319">
        <w:rPr>
          <w:rFonts w:asciiTheme="minorHAnsi" w:hAnsiTheme="minorHAnsi"/>
          <w:noProof/>
          <w:u w:val="single"/>
          <w:lang w:val="sq-AL"/>
        </w:rPr>
        <w:t xml:space="preserve"> </w:t>
      </w:r>
      <w:r w:rsidR="00D16E4B" w:rsidRPr="006C6319">
        <w:rPr>
          <w:rFonts w:asciiTheme="minorHAnsi" w:hAnsiTheme="minorHAnsi"/>
          <w:noProof/>
          <w:u w:val="single"/>
          <w:lang w:val="sq-AL"/>
        </w:rPr>
        <w:t>rishikuar</w:t>
      </w:r>
      <w:r w:rsidR="00D16E4B">
        <w:rPr>
          <w:rFonts w:asciiTheme="minorHAnsi" w:hAnsiTheme="minorHAnsi"/>
          <w:noProof/>
          <w:lang w:val="sq-AL"/>
        </w:rPr>
        <w:t xml:space="preserve"> t</w:t>
      </w:r>
      <w:r w:rsidR="006C6319">
        <w:rPr>
          <w:rFonts w:asciiTheme="minorHAnsi" w:hAnsiTheme="minorHAnsi"/>
          <w:noProof/>
          <w:lang w:val="sq-AL"/>
        </w:rPr>
        <w:t>ë</w:t>
      </w:r>
      <w:r w:rsidR="00D16E4B">
        <w:rPr>
          <w:rFonts w:asciiTheme="minorHAnsi" w:hAnsiTheme="minorHAnsi"/>
          <w:noProof/>
          <w:lang w:val="sq-AL"/>
        </w:rPr>
        <w:t xml:space="preserve"> </w:t>
      </w:r>
      <w:r w:rsidRPr="0065598A">
        <w:rPr>
          <w:rFonts w:asciiTheme="minorHAnsi" w:hAnsiTheme="minorHAnsi"/>
          <w:noProof/>
          <w:lang w:val="sq-AL"/>
        </w:rPr>
        <w:t>buxhetit 20</w:t>
      </w:r>
      <w:r w:rsidR="00D16E4B">
        <w:rPr>
          <w:rFonts w:asciiTheme="minorHAnsi" w:hAnsiTheme="minorHAnsi"/>
          <w:noProof/>
          <w:lang w:val="sq-AL"/>
        </w:rPr>
        <w:t>2</w:t>
      </w:r>
      <w:r w:rsidR="00946661">
        <w:rPr>
          <w:rFonts w:asciiTheme="minorHAnsi" w:hAnsiTheme="minorHAnsi"/>
          <w:noProof/>
          <w:lang w:val="sq-AL"/>
        </w:rPr>
        <w:t>1</w:t>
      </w:r>
      <w:r w:rsidR="00DB5C58">
        <w:rPr>
          <w:rFonts w:asciiTheme="minorHAnsi" w:hAnsiTheme="minorHAnsi"/>
          <w:noProof/>
          <w:lang w:val="sq-AL"/>
        </w:rPr>
        <w:t>.</w:t>
      </w:r>
      <w:r w:rsidR="007E571D" w:rsidRPr="007E571D">
        <w:rPr>
          <w:rFonts w:asciiTheme="minorHAnsi" w:hAnsiTheme="minorHAnsi"/>
          <w:noProof/>
          <w:lang w:val="sq-AL"/>
        </w:rPr>
        <w:t xml:space="preserve"> </w:t>
      </w:r>
    </w:p>
    <w:p w:rsidR="007E215E" w:rsidRDefault="007E571D" w:rsidP="00A209F7">
      <w:pPr>
        <w:spacing w:before="240" w:line="276" w:lineRule="auto"/>
        <w:jc w:val="both"/>
        <w:rPr>
          <w:rFonts w:asciiTheme="minorHAnsi" w:hAnsiTheme="minorHAnsi"/>
          <w:noProof/>
          <w:lang w:val="sq-AL"/>
        </w:rPr>
      </w:pPr>
      <w:r w:rsidRPr="007E571D">
        <w:rPr>
          <w:rFonts w:asciiTheme="minorHAnsi" w:hAnsiTheme="minorHAnsi"/>
          <w:noProof/>
          <w:lang w:val="sq-AL"/>
        </w:rPr>
        <w:t xml:space="preserve">Sidoqoftë, një parashikim më i saktë lidhur me pritshmërinë </w:t>
      </w:r>
      <w:r w:rsidR="00946661" w:rsidRPr="007E571D">
        <w:rPr>
          <w:rFonts w:asciiTheme="minorHAnsi" w:hAnsiTheme="minorHAnsi"/>
          <w:noProof/>
          <w:lang w:val="sq-AL"/>
        </w:rPr>
        <w:t>deri në fund të vitit 20</w:t>
      </w:r>
      <w:r w:rsidR="00946661">
        <w:rPr>
          <w:rFonts w:asciiTheme="minorHAnsi" w:hAnsiTheme="minorHAnsi"/>
          <w:noProof/>
          <w:lang w:val="sq-AL"/>
        </w:rPr>
        <w:t>21</w:t>
      </w:r>
      <w:r w:rsidR="00946661" w:rsidRPr="007E571D">
        <w:rPr>
          <w:rFonts w:asciiTheme="minorHAnsi" w:hAnsiTheme="minorHAnsi"/>
          <w:noProof/>
          <w:lang w:val="sq-AL"/>
        </w:rPr>
        <w:t xml:space="preserve"> </w:t>
      </w:r>
      <w:r w:rsidR="00946661">
        <w:rPr>
          <w:rFonts w:asciiTheme="minorHAnsi" w:hAnsiTheme="minorHAnsi"/>
          <w:noProof/>
          <w:lang w:val="sq-AL"/>
        </w:rPr>
        <w:t>të</w:t>
      </w:r>
      <w:r w:rsidRPr="007E571D">
        <w:rPr>
          <w:rFonts w:asciiTheme="minorHAnsi" w:hAnsiTheme="minorHAnsi"/>
          <w:noProof/>
          <w:lang w:val="sq-AL"/>
        </w:rPr>
        <w:t xml:space="preserve"> realizmit të </w:t>
      </w:r>
      <w:r w:rsidR="00946661">
        <w:rPr>
          <w:rFonts w:asciiTheme="minorHAnsi" w:hAnsiTheme="minorHAnsi"/>
          <w:noProof/>
          <w:lang w:val="sq-AL"/>
        </w:rPr>
        <w:t xml:space="preserve">shpenzimeve, sidomos </w:t>
      </w:r>
      <w:r w:rsidR="004529D6">
        <w:rPr>
          <w:rFonts w:asciiTheme="minorHAnsi" w:hAnsiTheme="minorHAnsi"/>
          <w:noProof/>
          <w:lang w:val="sq-AL"/>
        </w:rPr>
        <w:t>investimeve publike</w:t>
      </w:r>
      <w:r w:rsidR="00946661">
        <w:rPr>
          <w:rFonts w:asciiTheme="minorHAnsi" w:hAnsiTheme="minorHAnsi"/>
          <w:noProof/>
          <w:lang w:val="sq-AL"/>
        </w:rPr>
        <w:t>,</w:t>
      </w:r>
      <w:r w:rsidRPr="007E571D">
        <w:rPr>
          <w:rFonts w:asciiTheme="minorHAnsi" w:hAnsiTheme="minorHAnsi"/>
          <w:noProof/>
          <w:lang w:val="sq-AL"/>
        </w:rPr>
        <w:t xml:space="preserve"> do të jetë i mundur vetëm pas analizës së ecurisë 9 mujore të tyre. Kjo, duke konsideruar tremujorin e fundit të çdo viti buxhetor, si periudhën me performancë më të lartë përsa i përket investimeve publike në tërësi dhe atyre në infrastrukturë në veçanti.</w:t>
      </w:r>
      <w:r w:rsidR="00F12701">
        <w:rPr>
          <w:rFonts w:asciiTheme="minorHAnsi" w:hAnsiTheme="minorHAnsi"/>
          <w:noProof/>
          <w:lang w:val="sq-AL"/>
        </w:rPr>
        <w:t xml:space="preserve"> </w:t>
      </w:r>
    </w:p>
    <w:p w:rsidR="00DB5C58" w:rsidRDefault="00DB5C58" w:rsidP="007E215E">
      <w:pPr>
        <w:spacing w:before="240" w:line="276" w:lineRule="auto"/>
        <w:jc w:val="both"/>
        <w:rPr>
          <w:rFonts w:asciiTheme="minorHAnsi" w:hAnsiTheme="minorHAnsi"/>
          <w:lang w:val="sq-AL"/>
        </w:rPr>
      </w:pPr>
      <w:r w:rsidRPr="006C6319">
        <w:rPr>
          <w:rFonts w:asciiTheme="minorHAnsi" w:hAnsiTheme="minorHAnsi"/>
          <w:noProof/>
          <w:lang w:val="sq-AL"/>
        </w:rPr>
        <w:t>Sjellim n</w:t>
      </w:r>
      <w:r w:rsidR="006C6319">
        <w:rPr>
          <w:rFonts w:asciiTheme="minorHAnsi" w:hAnsiTheme="minorHAnsi"/>
          <w:noProof/>
          <w:lang w:val="sq-AL"/>
        </w:rPr>
        <w:t>ë</w:t>
      </w:r>
      <w:r w:rsidRPr="006C6319">
        <w:rPr>
          <w:rFonts w:asciiTheme="minorHAnsi" w:hAnsiTheme="minorHAnsi"/>
          <w:noProof/>
          <w:lang w:val="sq-AL"/>
        </w:rPr>
        <w:t xml:space="preserve"> v</w:t>
      </w:r>
      <w:r w:rsidR="006C6319">
        <w:rPr>
          <w:rFonts w:asciiTheme="minorHAnsi" w:hAnsiTheme="minorHAnsi"/>
          <w:noProof/>
          <w:lang w:val="sq-AL"/>
        </w:rPr>
        <w:t>ë</w:t>
      </w:r>
      <w:r w:rsidRPr="006C6319">
        <w:rPr>
          <w:rFonts w:asciiTheme="minorHAnsi" w:hAnsiTheme="minorHAnsi"/>
          <w:noProof/>
          <w:lang w:val="sq-AL"/>
        </w:rPr>
        <w:t xml:space="preserve">mendje se </w:t>
      </w:r>
      <w:r w:rsidR="000E55F7">
        <w:rPr>
          <w:rFonts w:asciiTheme="minorHAnsi" w:hAnsiTheme="minorHAnsi"/>
          <w:noProof/>
          <w:lang w:val="sq-AL"/>
        </w:rPr>
        <w:t xml:space="preserve">vetëm </w:t>
      </w:r>
      <w:r w:rsidR="004529D6">
        <w:rPr>
          <w:rFonts w:asciiTheme="minorHAnsi" w:hAnsiTheme="minorHAnsi"/>
          <w:noProof/>
          <w:lang w:val="sq-AL"/>
        </w:rPr>
        <w:t>p</w:t>
      </w:r>
      <w:r w:rsidR="004A254F">
        <w:rPr>
          <w:rFonts w:asciiTheme="minorHAnsi" w:hAnsiTheme="minorHAnsi"/>
          <w:noProof/>
          <w:lang w:val="sq-AL"/>
        </w:rPr>
        <w:t>ë</w:t>
      </w:r>
      <w:r w:rsidR="004529D6">
        <w:rPr>
          <w:rFonts w:asciiTheme="minorHAnsi" w:hAnsiTheme="minorHAnsi"/>
          <w:noProof/>
          <w:lang w:val="sq-AL"/>
        </w:rPr>
        <w:t>rgjat</w:t>
      </w:r>
      <w:r w:rsidR="004A254F">
        <w:rPr>
          <w:rFonts w:asciiTheme="minorHAnsi" w:hAnsiTheme="minorHAnsi"/>
          <w:noProof/>
          <w:lang w:val="sq-AL"/>
        </w:rPr>
        <w:t>ë</w:t>
      </w:r>
      <w:r w:rsidRPr="006C6319">
        <w:rPr>
          <w:rFonts w:asciiTheme="minorHAnsi" w:hAnsiTheme="minorHAnsi"/>
          <w:noProof/>
          <w:lang w:val="sq-AL"/>
        </w:rPr>
        <w:t xml:space="preserve"> </w:t>
      </w:r>
      <w:r w:rsidR="004529D6">
        <w:rPr>
          <w:rFonts w:asciiTheme="minorHAnsi" w:hAnsiTheme="minorHAnsi"/>
          <w:noProof/>
          <w:lang w:val="sq-AL"/>
        </w:rPr>
        <w:t>6-</w:t>
      </w:r>
      <w:r w:rsidRPr="006C6319">
        <w:rPr>
          <w:rFonts w:asciiTheme="minorHAnsi" w:hAnsiTheme="minorHAnsi"/>
          <w:noProof/>
          <w:lang w:val="sq-AL"/>
        </w:rPr>
        <w:t>mujori</w:t>
      </w:r>
      <w:r w:rsidR="004529D6">
        <w:rPr>
          <w:rFonts w:asciiTheme="minorHAnsi" w:hAnsiTheme="minorHAnsi"/>
          <w:noProof/>
          <w:lang w:val="sq-AL"/>
        </w:rPr>
        <w:t>t t</w:t>
      </w:r>
      <w:r w:rsidR="004A254F">
        <w:rPr>
          <w:rFonts w:asciiTheme="minorHAnsi" w:hAnsiTheme="minorHAnsi"/>
          <w:noProof/>
          <w:lang w:val="sq-AL"/>
        </w:rPr>
        <w:t>ë</w:t>
      </w:r>
      <w:r w:rsidR="004529D6">
        <w:rPr>
          <w:rFonts w:asciiTheme="minorHAnsi" w:hAnsiTheme="minorHAnsi"/>
          <w:noProof/>
          <w:lang w:val="sq-AL"/>
        </w:rPr>
        <w:t xml:space="preserve"> par</w:t>
      </w:r>
      <w:r w:rsidR="004A254F">
        <w:rPr>
          <w:rFonts w:asciiTheme="minorHAnsi" w:hAnsiTheme="minorHAnsi"/>
          <w:noProof/>
          <w:lang w:val="sq-AL"/>
        </w:rPr>
        <w:t>ë</w:t>
      </w:r>
      <w:r w:rsidR="004529D6">
        <w:rPr>
          <w:rFonts w:asciiTheme="minorHAnsi" w:hAnsiTheme="minorHAnsi"/>
          <w:noProof/>
          <w:lang w:val="sq-AL"/>
        </w:rPr>
        <w:t xml:space="preserve"> Janar</w:t>
      </w:r>
      <w:r w:rsidRPr="006C6319">
        <w:rPr>
          <w:rFonts w:asciiTheme="minorHAnsi" w:hAnsiTheme="minorHAnsi"/>
          <w:noProof/>
          <w:lang w:val="sq-AL"/>
        </w:rPr>
        <w:t>-</w:t>
      </w:r>
      <w:r w:rsidR="004529D6">
        <w:rPr>
          <w:rFonts w:asciiTheme="minorHAnsi" w:hAnsiTheme="minorHAnsi"/>
          <w:noProof/>
          <w:lang w:val="sq-AL"/>
        </w:rPr>
        <w:t>qershor</w:t>
      </w:r>
      <w:r w:rsidRPr="006C6319">
        <w:rPr>
          <w:rFonts w:asciiTheme="minorHAnsi" w:hAnsiTheme="minorHAnsi"/>
          <w:noProof/>
          <w:lang w:val="sq-AL"/>
        </w:rPr>
        <w:t xml:space="preserve"> 202</w:t>
      </w:r>
      <w:r w:rsidR="004529D6">
        <w:rPr>
          <w:rFonts w:asciiTheme="minorHAnsi" w:hAnsiTheme="minorHAnsi"/>
          <w:noProof/>
          <w:lang w:val="sq-AL"/>
        </w:rPr>
        <w:t>1</w:t>
      </w:r>
      <w:r w:rsidRPr="006C6319">
        <w:rPr>
          <w:rFonts w:asciiTheme="minorHAnsi" w:hAnsiTheme="minorHAnsi"/>
          <w:noProof/>
          <w:lang w:val="sq-AL"/>
        </w:rPr>
        <w:t xml:space="preserve">, </w:t>
      </w:r>
      <w:r w:rsidRPr="006C6319">
        <w:rPr>
          <w:rFonts w:asciiTheme="minorHAnsi" w:hAnsiTheme="minorHAnsi"/>
          <w:lang w:val="sq-AL"/>
        </w:rPr>
        <w:t xml:space="preserve">ligji i buxhetit </w:t>
      </w:r>
      <w:r w:rsidR="00EB3166">
        <w:rPr>
          <w:rFonts w:asciiTheme="minorHAnsi" w:hAnsiTheme="minorHAnsi"/>
          <w:lang w:val="sq-AL"/>
        </w:rPr>
        <w:t xml:space="preserve">është rishikuar </w:t>
      </w:r>
      <w:r w:rsidR="007E215E">
        <w:rPr>
          <w:rFonts w:asciiTheme="minorHAnsi" w:hAnsiTheme="minorHAnsi"/>
          <w:lang w:val="sq-AL"/>
        </w:rPr>
        <w:t xml:space="preserve">tashmë </w:t>
      </w:r>
      <w:r w:rsidR="004529D6">
        <w:rPr>
          <w:rFonts w:asciiTheme="minorHAnsi" w:hAnsiTheme="minorHAnsi"/>
          <w:lang w:val="sq-AL"/>
        </w:rPr>
        <w:t>kat</w:t>
      </w:r>
      <w:r w:rsidR="004A254F">
        <w:rPr>
          <w:rFonts w:asciiTheme="minorHAnsi" w:hAnsiTheme="minorHAnsi"/>
          <w:lang w:val="sq-AL"/>
        </w:rPr>
        <w:t>ë</w:t>
      </w:r>
      <w:r w:rsidR="004529D6">
        <w:rPr>
          <w:rFonts w:asciiTheme="minorHAnsi" w:hAnsiTheme="minorHAnsi"/>
          <w:lang w:val="sq-AL"/>
        </w:rPr>
        <w:t xml:space="preserve">r </w:t>
      </w:r>
      <w:r w:rsidR="00D16E4B" w:rsidRPr="006C6319">
        <w:rPr>
          <w:rFonts w:asciiTheme="minorHAnsi" w:hAnsiTheme="minorHAnsi"/>
          <w:lang w:val="sq-AL"/>
        </w:rPr>
        <w:t>her</w:t>
      </w:r>
      <w:r w:rsidR="006C6319">
        <w:rPr>
          <w:rFonts w:asciiTheme="minorHAnsi" w:hAnsiTheme="minorHAnsi"/>
          <w:lang w:val="sq-AL"/>
        </w:rPr>
        <w:t>ë</w:t>
      </w:r>
      <w:r w:rsidRPr="006C6319">
        <w:rPr>
          <w:rFonts w:asciiTheme="minorHAnsi" w:hAnsiTheme="minorHAnsi"/>
          <w:lang w:val="sq-AL"/>
        </w:rPr>
        <w:t>, p</w:t>
      </w:r>
      <w:r w:rsidR="006C6319">
        <w:rPr>
          <w:rFonts w:asciiTheme="minorHAnsi" w:hAnsiTheme="minorHAnsi"/>
          <w:lang w:val="sq-AL"/>
        </w:rPr>
        <w:t>ë</w:t>
      </w:r>
      <w:r w:rsidRPr="006C6319">
        <w:rPr>
          <w:rFonts w:asciiTheme="minorHAnsi" w:hAnsiTheme="minorHAnsi"/>
          <w:lang w:val="sq-AL"/>
        </w:rPr>
        <w:t xml:space="preserve">rmes </w:t>
      </w:r>
      <w:r w:rsidR="004529D6">
        <w:rPr>
          <w:rFonts w:asciiTheme="minorHAnsi" w:hAnsiTheme="minorHAnsi"/>
          <w:lang w:val="sq-AL"/>
        </w:rPr>
        <w:t>procedures s</w:t>
      </w:r>
      <w:r w:rsidR="004A254F">
        <w:rPr>
          <w:rFonts w:asciiTheme="minorHAnsi" w:hAnsiTheme="minorHAnsi"/>
          <w:lang w:val="sq-AL"/>
        </w:rPr>
        <w:t>ë</w:t>
      </w:r>
      <w:r w:rsidR="004529D6">
        <w:rPr>
          <w:rFonts w:asciiTheme="minorHAnsi" w:hAnsiTheme="minorHAnsi"/>
          <w:lang w:val="sq-AL"/>
        </w:rPr>
        <w:t xml:space="preserve"> Akt</w:t>
      </w:r>
      <w:r w:rsidR="007E215E">
        <w:rPr>
          <w:rFonts w:asciiTheme="minorHAnsi" w:hAnsiTheme="minorHAnsi"/>
          <w:lang w:val="sq-AL"/>
        </w:rPr>
        <w:t>it</w:t>
      </w:r>
      <w:r w:rsidRPr="006C6319">
        <w:rPr>
          <w:rFonts w:asciiTheme="minorHAnsi" w:hAnsiTheme="minorHAnsi"/>
          <w:lang w:val="sq-AL"/>
        </w:rPr>
        <w:t xml:space="preserve"> Normativ. M</w:t>
      </w:r>
      <w:r w:rsidR="006C6319">
        <w:rPr>
          <w:rFonts w:asciiTheme="minorHAnsi" w:hAnsiTheme="minorHAnsi"/>
          <w:lang w:val="sq-AL"/>
        </w:rPr>
        <w:t>ë</w:t>
      </w:r>
      <w:r w:rsidRPr="006C6319">
        <w:rPr>
          <w:rFonts w:asciiTheme="minorHAnsi" w:hAnsiTheme="minorHAnsi"/>
          <w:lang w:val="sq-AL"/>
        </w:rPr>
        <w:t xml:space="preserve"> konkretisht:</w:t>
      </w:r>
    </w:p>
    <w:p w:rsidR="00A209F7" w:rsidRPr="00A209F7" w:rsidRDefault="00A209F7" w:rsidP="007E215E">
      <w:pPr>
        <w:spacing w:before="240" w:line="276" w:lineRule="auto"/>
        <w:jc w:val="both"/>
        <w:rPr>
          <w:rFonts w:asciiTheme="minorHAnsi" w:hAnsiTheme="minorHAnsi"/>
          <w:noProof/>
          <w:sz w:val="8"/>
          <w:szCs w:val="8"/>
          <w:lang w:val="sq-AL"/>
        </w:rPr>
      </w:pPr>
    </w:p>
    <w:p w:rsidR="00DB5C58" w:rsidRPr="006C6319" w:rsidRDefault="00DB5C58" w:rsidP="007E215E">
      <w:pPr>
        <w:spacing w:before="240" w:line="276" w:lineRule="auto"/>
        <w:jc w:val="both"/>
        <w:rPr>
          <w:rFonts w:asciiTheme="minorHAnsi" w:hAnsiTheme="minorHAnsi"/>
          <w:u w:val="single"/>
          <w:lang w:val="sq-AL"/>
        </w:rPr>
      </w:pPr>
      <w:r w:rsidRPr="006C6319">
        <w:rPr>
          <w:rFonts w:asciiTheme="minorHAnsi" w:hAnsiTheme="minorHAnsi"/>
          <w:u w:val="single"/>
          <w:lang w:val="sq-AL"/>
        </w:rPr>
        <w:t>Akti Normativ nr.</w:t>
      </w:r>
      <w:r w:rsidR="00CB678B">
        <w:rPr>
          <w:rFonts w:asciiTheme="minorHAnsi" w:hAnsiTheme="minorHAnsi"/>
          <w:u w:val="single"/>
          <w:lang w:val="sq-AL"/>
        </w:rPr>
        <w:t>4</w:t>
      </w:r>
      <w:r w:rsidRPr="006C6319">
        <w:rPr>
          <w:rFonts w:asciiTheme="minorHAnsi" w:hAnsiTheme="minorHAnsi"/>
          <w:u w:val="single"/>
          <w:lang w:val="sq-AL"/>
        </w:rPr>
        <w:t xml:space="preserve"> dat</w:t>
      </w:r>
      <w:r w:rsidR="006C6319">
        <w:rPr>
          <w:rFonts w:asciiTheme="minorHAnsi" w:hAnsiTheme="minorHAnsi"/>
          <w:u w:val="single"/>
          <w:lang w:val="sq-AL"/>
        </w:rPr>
        <w:t>ë</w:t>
      </w:r>
      <w:r w:rsidRPr="006C6319">
        <w:rPr>
          <w:rFonts w:asciiTheme="minorHAnsi" w:hAnsiTheme="minorHAnsi"/>
          <w:u w:val="single"/>
          <w:lang w:val="sq-AL"/>
        </w:rPr>
        <w:t xml:space="preserve"> </w:t>
      </w:r>
      <w:r w:rsidR="00CB678B">
        <w:rPr>
          <w:rFonts w:asciiTheme="minorHAnsi" w:hAnsiTheme="minorHAnsi"/>
          <w:u w:val="single"/>
          <w:lang w:val="sq-AL"/>
        </w:rPr>
        <w:t>05</w:t>
      </w:r>
      <w:r w:rsidRPr="006C6319">
        <w:rPr>
          <w:rFonts w:asciiTheme="minorHAnsi" w:hAnsiTheme="minorHAnsi"/>
          <w:u w:val="single"/>
          <w:lang w:val="sq-AL"/>
        </w:rPr>
        <w:t>.0</w:t>
      </w:r>
      <w:r w:rsidR="00CB678B">
        <w:rPr>
          <w:rFonts w:asciiTheme="minorHAnsi" w:hAnsiTheme="minorHAnsi"/>
          <w:u w:val="single"/>
          <w:lang w:val="sq-AL"/>
        </w:rPr>
        <w:t>2</w:t>
      </w:r>
      <w:r w:rsidRPr="006C6319">
        <w:rPr>
          <w:rFonts w:asciiTheme="minorHAnsi" w:hAnsiTheme="minorHAnsi"/>
          <w:u w:val="single"/>
          <w:lang w:val="sq-AL"/>
        </w:rPr>
        <w:t>.202</w:t>
      </w:r>
      <w:r w:rsidR="00CB678B">
        <w:rPr>
          <w:rFonts w:asciiTheme="minorHAnsi" w:hAnsiTheme="minorHAnsi"/>
          <w:u w:val="single"/>
          <w:lang w:val="sq-AL"/>
        </w:rPr>
        <w:t>1</w:t>
      </w:r>
      <w:r w:rsidRPr="006C6319">
        <w:rPr>
          <w:rFonts w:asciiTheme="minorHAnsi" w:hAnsiTheme="minorHAnsi"/>
          <w:u w:val="single"/>
          <w:lang w:val="sq-AL"/>
        </w:rPr>
        <w:t>:</w:t>
      </w:r>
    </w:p>
    <w:p w:rsidR="005040AD" w:rsidRDefault="005040AD" w:rsidP="005040AD">
      <w:pPr>
        <w:spacing w:before="240" w:line="276" w:lineRule="auto"/>
        <w:jc w:val="both"/>
        <w:rPr>
          <w:rFonts w:asciiTheme="minorHAnsi" w:hAnsiTheme="minorHAnsi"/>
          <w:lang w:val="sq-AL"/>
        </w:rPr>
      </w:pPr>
      <w:r w:rsidRPr="00DB1190">
        <w:rPr>
          <w:rFonts w:asciiTheme="minorHAnsi" w:hAnsiTheme="minorHAnsi"/>
          <w:lang w:val="sq-AL"/>
        </w:rPr>
        <w:t>Këshilli i Ministrave, me propozim të Ministrisë së Financave dhe Ekonomisë, në rrethana aspak tipike për një vit buxhetor të sapo startuar, ndërmori ndryshimin e parë të ligjit të buxhetit 2021, përmes hartimit dhe miratimit të Aktit Normativ Nr.4 datë 05.02.2021 “</w:t>
      </w:r>
      <w:r w:rsidRPr="00DB1190">
        <w:rPr>
          <w:rFonts w:asciiTheme="minorHAnsi" w:hAnsiTheme="minorHAnsi"/>
          <w:i/>
          <w:lang w:val="sq-AL"/>
        </w:rPr>
        <w:t>Për disa shtesa dhe ndryshime në Ligjin nr.137/2020 “Për buxhetin e vitit 2021</w:t>
      </w:r>
      <w:r w:rsidRPr="00DB1190">
        <w:rPr>
          <w:rFonts w:asciiTheme="minorHAnsi" w:hAnsiTheme="minorHAnsi"/>
          <w:lang w:val="sq-AL"/>
        </w:rPr>
        <w:t xml:space="preserve">”. Arsyet për këtë ndryshim, </w:t>
      </w:r>
      <w:r>
        <w:rPr>
          <w:rFonts w:asciiTheme="minorHAnsi" w:hAnsiTheme="minorHAnsi"/>
          <w:lang w:val="sq-AL"/>
        </w:rPr>
        <w:t>qen</w:t>
      </w:r>
      <w:r w:rsidRPr="00DB1190">
        <w:rPr>
          <w:rFonts w:asciiTheme="minorHAnsi" w:hAnsiTheme="minorHAnsi"/>
          <w:lang w:val="sq-AL"/>
        </w:rPr>
        <w:t xml:space="preserve">ë të lidhura ngushtë me procesin e zgjedhjeve të përgjithshme për Kuvend të datës 25 Prill 2021, dhe </w:t>
      </w:r>
      <w:r w:rsidRPr="00DB1190">
        <w:rPr>
          <w:rFonts w:asciiTheme="minorHAnsi" w:hAnsiTheme="minorHAnsi"/>
          <w:lang w:val="sq-AL"/>
        </w:rPr>
        <w:lastRenderedPageBreak/>
        <w:t>rrjedhimisht me angazhimet dhe shpenzimet që burojnë në zbatim të Kodit të ri Zgjedhor.</w:t>
      </w:r>
      <w:r>
        <w:rPr>
          <w:rFonts w:asciiTheme="minorHAnsi" w:hAnsiTheme="minorHAnsi"/>
          <w:lang w:val="sq-AL"/>
        </w:rPr>
        <w:t xml:space="preserve"> Për këtë qëllim, AN nr.4/2021, miratoi konkretisht:</w:t>
      </w:r>
    </w:p>
    <w:p w:rsidR="005040AD" w:rsidRPr="00EE5138" w:rsidRDefault="005040AD" w:rsidP="005040AD">
      <w:pPr>
        <w:pStyle w:val="ListParagraph"/>
        <w:widowControl w:val="0"/>
        <w:tabs>
          <w:tab w:val="left" w:pos="360"/>
          <w:tab w:val="left" w:pos="1170"/>
        </w:tabs>
        <w:autoSpaceDE w:val="0"/>
        <w:autoSpaceDN w:val="0"/>
        <w:adjustRightInd w:val="0"/>
        <w:spacing w:line="276" w:lineRule="auto"/>
        <w:ind w:left="360"/>
        <w:jc w:val="both"/>
        <w:rPr>
          <w:rFonts w:asciiTheme="minorHAnsi" w:hAnsiTheme="minorHAnsi"/>
          <w:i/>
          <w:sz w:val="8"/>
          <w:szCs w:val="8"/>
          <w:lang w:val="sq-AL"/>
        </w:rPr>
      </w:pPr>
    </w:p>
    <w:p w:rsidR="005040AD" w:rsidRDefault="005040AD" w:rsidP="007F0B61">
      <w:pPr>
        <w:pStyle w:val="ListParagraph"/>
        <w:widowControl w:val="0"/>
        <w:numPr>
          <w:ilvl w:val="1"/>
          <w:numId w:val="13"/>
        </w:numPr>
        <w:tabs>
          <w:tab w:val="left" w:pos="360"/>
          <w:tab w:val="left" w:pos="1170"/>
        </w:tabs>
        <w:autoSpaceDE w:val="0"/>
        <w:autoSpaceDN w:val="0"/>
        <w:adjustRightInd w:val="0"/>
        <w:spacing w:line="276" w:lineRule="auto"/>
        <w:ind w:left="360"/>
        <w:jc w:val="both"/>
        <w:rPr>
          <w:rFonts w:asciiTheme="minorHAnsi" w:hAnsiTheme="minorHAnsi"/>
          <w:i/>
          <w:szCs w:val="22"/>
          <w:lang w:val="sq-AL"/>
        </w:rPr>
      </w:pPr>
      <w:r w:rsidRPr="004C285B">
        <w:rPr>
          <w:rFonts w:asciiTheme="minorHAnsi" w:hAnsiTheme="minorHAnsi"/>
          <w:i/>
          <w:szCs w:val="22"/>
          <w:lang w:val="sq-AL"/>
        </w:rPr>
        <w:t>Nj</w:t>
      </w:r>
      <w:r>
        <w:rPr>
          <w:rFonts w:asciiTheme="minorHAnsi" w:hAnsiTheme="minorHAnsi"/>
          <w:i/>
          <w:szCs w:val="22"/>
          <w:lang w:val="sq-AL"/>
        </w:rPr>
        <w:t>ë</w:t>
      </w:r>
      <w:r w:rsidRPr="004C285B">
        <w:rPr>
          <w:rFonts w:asciiTheme="minorHAnsi" w:hAnsiTheme="minorHAnsi"/>
          <w:i/>
          <w:szCs w:val="22"/>
          <w:lang w:val="sq-AL"/>
        </w:rPr>
        <w:t xml:space="preserve"> shtes</w:t>
      </w:r>
      <w:r>
        <w:rPr>
          <w:rFonts w:asciiTheme="minorHAnsi" w:hAnsiTheme="minorHAnsi"/>
          <w:i/>
          <w:szCs w:val="22"/>
          <w:lang w:val="sq-AL"/>
        </w:rPr>
        <w:t>ë</w:t>
      </w:r>
      <w:r w:rsidRPr="004C285B">
        <w:rPr>
          <w:rFonts w:asciiTheme="minorHAnsi" w:hAnsiTheme="minorHAnsi"/>
          <w:i/>
          <w:szCs w:val="22"/>
          <w:lang w:val="sq-AL"/>
        </w:rPr>
        <w:t xml:space="preserve"> fondi prej 2.42 miliardë lekë në programin përkatës të KQZ-së, për financimin e projektit madhor të KQZ-së “Identifikimi elektronik i zgjedhësve”, si </w:t>
      </w:r>
      <w:r w:rsidRPr="004C285B">
        <w:rPr>
          <w:rFonts w:asciiTheme="minorHAnsi" w:hAnsiTheme="minorHAnsi"/>
          <w:i/>
          <w:lang w:val="sq-AL"/>
        </w:rPr>
        <w:t>një nga shtyllat kryesore të reformës zgjedhore në terma të mirëmenaxhimit të procesit të votimit</w:t>
      </w:r>
      <w:r w:rsidRPr="004C285B">
        <w:rPr>
          <w:rFonts w:asciiTheme="minorHAnsi" w:hAnsiTheme="minorHAnsi"/>
          <w:i/>
          <w:szCs w:val="22"/>
          <w:lang w:val="sq-AL"/>
        </w:rPr>
        <w:t xml:space="preserve"> </w:t>
      </w:r>
      <w:r>
        <w:rPr>
          <w:rFonts w:asciiTheme="minorHAnsi" w:hAnsiTheme="minorHAnsi"/>
          <w:i/>
          <w:szCs w:val="22"/>
          <w:lang w:val="sq-AL"/>
        </w:rPr>
        <w:t xml:space="preserve">dhe </w:t>
      </w:r>
      <w:r w:rsidRPr="004C285B">
        <w:rPr>
          <w:rFonts w:asciiTheme="minorHAnsi" w:hAnsiTheme="minorHAnsi"/>
          <w:i/>
          <w:szCs w:val="22"/>
          <w:lang w:val="sq-AL"/>
        </w:rPr>
        <w:t xml:space="preserve">në kuadër të angazhimit të ndërmarrë për implementimin e tij në zgjedhjet për Kuvend të 25 </w:t>
      </w:r>
      <w:r>
        <w:rPr>
          <w:rFonts w:asciiTheme="minorHAnsi" w:hAnsiTheme="minorHAnsi"/>
          <w:i/>
          <w:szCs w:val="22"/>
          <w:lang w:val="sq-AL"/>
        </w:rPr>
        <w:t>P</w:t>
      </w:r>
      <w:r w:rsidRPr="004C285B">
        <w:rPr>
          <w:rFonts w:asciiTheme="minorHAnsi" w:hAnsiTheme="minorHAnsi"/>
          <w:i/>
          <w:szCs w:val="22"/>
          <w:lang w:val="sq-AL"/>
        </w:rPr>
        <w:t>rill 2021</w:t>
      </w:r>
      <w:r>
        <w:rPr>
          <w:rFonts w:asciiTheme="minorHAnsi" w:hAnsiTheme="minorHAnsi"/>
          <w:i/>
          <w:szCs w:val="22"/>
          <w:lang w:val="sq-AL"/>
        </w:rPr>
        <w:t>.</w:t>
      </w:r>
    </w:p>
    <w:p w:rsidR="005040AD" w:rsidRPr="00E978F0" w:rsidRDefault="005040AD" w:rsidP="005040AD">
      <w:pPr>
        <w:pStyle w:val="ListParagraph"/>
        <w:widowControl w:val="0"/>
        <w:tabs>
          <w:tab w:val="left" w:pos="360"/>
          <w:tab w:val="left" w:pos="1170"/>
        </w:tabs>
        <w:autoSpaceDE w:val="0"/>
        <w:autoSpaceDN w:val="0"/>
        <w:adjustRightInd w:val="0"/>
        <w:spacing w:line="276" w:lineRule="auto"/>
        <w:ind w:left="360"/>
        <w:jc w:val="both"/>
        <w:rPr>
          <w:rFonts w:asciiTheme="minorHAnsi" w:hAnsiTheme="minorHAnsi"/>
          <w:i/>
          <w:sz w:val="8"/>
          <w:szCs w:val="22"/>
          <w:lang w:val="sq-AL"/>
        </w:rPr>
      </w:pPr>
    </w:p>
    <w:p w:rsidR="005040AD" w:rsidRDefault="005040AD" w:rsidP="007F0B61">
      <w:pPr>
        <w:pStyle w:val="ListParagraph"/>
        <w:widowControl w:val="0"/>
        <w:numPr>
          <w:ilvl w:val="1"/>
          <w:numId w:val="13"/>
        </w:numPr>
        <w:tabs>
          <w:tab w:val="left" w:pos="360"/>
          <w:tab w:val="left" w:pos="1170"/>
        </w:tabs>
        <w:autoSpaceDE w:val="0"/>
        <w:autoSpaceDN w:val="0"/>
        <w:adjustRightInd w:val="0"/>
        <w:spacing w:line="276" w:lineRule="auto"/>
        <w:ind w:left="360"/>
        <w:jc w:val="both"/>
        <w:rPr>
          <w:rFonts w:asciiTheme="minorHAnsi" w:hAnsiTheme="minorHAnsi"/>
          <w:i/>
          <w:szCs w:val="22"/>
          <w:lang w:val="sq-AL"/>
        </w:rPr>
      </w:pPr>
      <w:r>
        <w:rPr>
          <w:rFonts w:asciiTheme="minorHAnsi" w:hAnsiTheme="minorHAnsi"/>
          <w:i/>
          <w:szCs w:val="22"/>
          <w:lang w:val="sq-AL"/>
        </w:rPr>
        <w:t>N</w:t>
      </w:r>
      <w:r w:rsidRPr="0070722E">
        <w:rPr>
          <w:rFonts w:asciiTheme="minorHAnsi" w:hAnsiTheme="minorHAnsi"/>
          <w:i/>
          <w:szCs w:val="22"/>
          <w:lang w:val="sq-AL"/>
        </w:rPr>
        <w:t xml:space="preserve">jë rritje </w:t>
      </w:r>
      <w:r>
        <w:rPr>
          <w:rFonts w:asciiTheme="minorHAnsi" w:hAnsiTheme="minorHAnsi"/>
          <w:i/>
          <w:szCs w:val="22"/>
          <w:lang w:val="sq-AL"/>
        </w:rPr>
        <w:t xml:space="preserve">të Fondit Rezervë të buxhetit të shtetit </w:t>
      </w:r>
      <w:r w:rsidRPr="0070722E">
        <w:rPr>
          <w:rFonts w:asciiTheme="minorHAnsi" w:hAnsiTheme="minorHAnsi"/>
          <w:i/>
          <w:szCs w:val="22"/>
          <w:lang w:val="sq-AL"/>
        </w:rPr>
        <w:t>prej 1 miliardë lekë, në kuadër të shpenzimeve eventuale shtesë që mund të buro</w:t>
      </w:r>
      <w:r>
        <w:rPr>
          <w:rFonts w:asciiTheme="minorHAnsi" w:hAnsiTheme="minorHAnsi"/>
          <w:i/>
          <w:szCs w:val="22"/>
          <w:lang w:val="sq-AL"/>
        </w:rPr>
        <w:t>nin</w:t>
      </w:r>
      <w:r w:rsidRPr="0070722E">
        <w:rPr>
          <w:rFonts w:asciiTheme="minorHAnsi" w:hAnsiTheme="minorHAnsi"/>
          <w:i/>
          <w:szCs w:val="22"/>
          <w:lang w:val="sq-AL"/>
        </w:rPr>
        <w:t xml:space="preserve"> nga implementimi i përcaktimeve të Kodit të Ri Zgjedhor (</w:t>
      </w:r>
      <w:r w:rsidRPr="00E978F0">
        <w:rPr>
          <w:rFonts w:asciiTheme="minorHAnsi" w:hAnsiTheme="minorHAnsi"/>
          <w:szCs w:val="22"/>
          <w:lang w:val="sq-AL"/>
        </w:rPr>
        <w:t>shpenzime shtesë të natyrës organizative, financimi i partive, etj</w:t>
      </w:r>
      <w:r w:rsidRPr="0070722E">
        <w:rPr>
          <w:rFonts w:asciiTheme="minorHAnsi" w:hAnsiTheme="minorHAnsi"/>
          <w:i/>
          <w:szCs w:val="22"/>
          <w:lang w:val="sq-AL"/>
        </w:rPr>
        <w:t xml:space="preserve">), si edhe për përballimin e shpenzimeve të tjera eventuale të Qeverisë. Kjo, duke konsideruar përfundimin </w:t>
      </w:r>
      <w:r>
        <w:rPr>
          <w:rFonts w:asciiTheme="minorHAnsi" w:hAnsiTheme="minorHAnsi"/>
          <w:i/>
          <w:szCs w:val="22"/>
          <w:lang w:val="sq-AL"/>
        </w:rPr>
        <w:t xml:space="preserve">e </w:t>
      </w:r>
      <w:r w:rsidRPr="0070722E">
        <w:rPr>
          <w:rFonts w:asciiTheme="minorHAnsi" w:hAnsiTheme="minorHAnsi"/>
          <w:i/>
          <w:szCs w:val="22"/>
          <w:lang w:val="sq-AL"/>
        </w:rPr>
        <w:t>sesionit aktual të Kuvendit dhe eventualitetin relativisht remot (Shtator 2021) të krijimit të Kabinetit të ri qeveritar dhe mbledhjes së sesionit të parë të Kuvendit të ri paszgjedhor. E gjitha kjo, në kushtet e një viti buxhetor të karakterizuar ende nga Pandemia Covid19 dhe rrjedhimisht edhe nga evente të natyrës së paparashikuar të cilat konsideruar sensitivitetin, në asnjë rast nuk mund t’i lihen rastësisë apo për më tepër të pafinancuara</w:t>
      </w:r>
      <w:r>
        <w:rPr>
          <w:rFonts w:asciiTheme="minorHAnsi" w:hAnsiTheme="minorHAnsi"/>
          <w:i/>
          <w:szCs w:val="22"/>
          <w:lang w:val="sq-AL"/>
        </w:rPr>
        <w:t>.</w:t>
      </w:r>
    </w:p>
    <w:p w:rsidR="005040AD" w:rsidRPr="005040AD" w:rsidRDefault="005040AD" w:rsidP="005040AD">
      <w:pPr>
        <w:pStyle w:val="ListParagraph"/>
        <w:rPr>
          <w:rFonts w:asciiTheme="minorHAnsi" w:hAnsiTheme="minorHAnsi"/>
          <w:i/>
          <w:sz w:val="8"/>
          <w:szCs w:val="8"/>
          <w:lang w:val="sq-AL"/>
        </w:rPr>
      </w:pPr>
    </w:p>
    <w:p w:rsidR="005040AD" w:rsidRPr="004C285B" w:rsidRDefault="005040AD" w:rsidP="007F0B61">
      <w:pPr>
        <w:pStyle w:val="ListParagraph"/>
        <w:widowControl w:val="0"/>
        <w:numPr>
          <w:ilvl w:val="1"/>
          <w:numId w:val="13"/>
        </w:numPr>
        <w:tabs>
          <w:tab w:val="left" w:pos="360"/>
          <w:tab w:val="left" w:pos="1170"/>
        </w:tabs>
        <w:autoSpaceDE w:val="0"/>
        <w:autoSpaceDN w:val="0"/>
        <w:adjustRightInd w:val="0"/>
        <w:spacing w:line="276" w:lineRule="auto"/>
        <w:ind w:left="360"/>
        <w:jc w:val="both"/>
        <w:rPr>
          <w:rFonts w:asciiTheme="minorHAnsi" w:hAnsiTheme="minorHAnsi"/>
          <w:i/>
          <w:szCs w:val="22"/>
          <w:lang w:val="sq-AL"/>
        </w:rPr>
      </w:pPr>
      <w:r>
        <w:rPr>
          <w:rFonts w:asciiTheme="minorHAnsi" w:hAnsiTheme="minorHAnsi"/>
          <w:i/>
          <w:szCs w:val="22"/>
          <w:lang w:val="sq-AL"/>
        </w:rPr>
        <w:t xml:space="preserve">Ndërkohë nga kahu i të ardhurave, rritja e sipërcituar e shpenzimeve buxhetore u balancua nga </w:t>
      </w:r>
      <w:r w:rsidRPr="00436FFA">
        <w:rPr>
          <w:rFonts w:asciiTheme="minorHAnsi" w:hAnsiTheme="minorHAnsi"/>
          <w:i/>
          <w:szCs w:val="22"/>
          <w:lang w:val="sq-AL"/>
        </w:rPr>
        <w:t>rritja në të njëjtën vlerë</w:t>
      </w:r>
      <w:r>
        <w:rPr>
          <w:rFonts w:asciiTheme="minorHAnsi" w:hAnsiTheme="minorHAnsi"/>
          <w:i/>
          <w:szCs w:val="22"/>
          <w:lang w:val="sq-AL"/>
        </w:rPr>
        <w:t xml:space="preserve"> e të ardhurave tatimore</w:t>
      </w:r>
      <w:r w:rsidRPr="00436FFA">
        <w:rPr>
          <w:rFonts w:asciiTheme="minorHAnsi" w:hAnsiTheme="minorHAnsi"/>
          <w:i/>
          <w:szCs w:val="22"/>
          <w:lang w:val="sq-AL"/>
        </w:rPr>
        <w:t>, pra 3.42 miliardë lekë, përkatësisht në zërin e tatimit mbi vlerën e sht</w:t>
      </w:r>
      <w:r>
        <w:rPr>
          <w:rFonts w:asciiTheme="minorHAnsi" w:hAnsiTheme="minorHAnsi"/>
          <w:i/>
          <w:szCs w:val="22"/>
          <w:lang w:val="sq-AL"/>
        </w:rPr>
        <w:t xml:space="preserve">uar (TVSH). </w:t>
      </w:r>
      <w:r w:rsidRPr="00436FFA">
        <w:rPr>
          <w:rFonts w:asciiTheme="minorHAnsi" w:hAnsiTheme="minorHAnsi"/>
          <w:i/>
          <w:szCs w:val="22"/>
          <w:lang w:val="sq-AL"/>
        </w:rPr>
        <w:t xml:space="preserve">Propozimi për këtë rritje, </w:t>
      </w:r>
      <w:r>
        <w:rPr>
          <w:rFonts w:asciiTheme="minorHAnsi" w:hAnsiTheme="minorHAnsi"/>
          <w:i/>
          <w:szCs w:val="22"/>
          <w:lang w:val="sq-AL"/>
        </w:rPr>
        <w:t>erdhi</w:t>
      </w:r>
      <w:r w:rsidRPr="00436FFA">
        <w:rPr>
          <w:rFonts w:asciiTheme="minorHAnsi" w:hAnsiTheme="minorHAnsi"/>
          <w:i/>
          <w:szCs w:val="22"/>
          <w:lang w:val="sq-AL"/>
        </w:rPr>
        <w:t xml:space="preserve"> si rrjedhojë e një analize të mirëfilltë nga ana e strukturave përgjegjëse në MFE, sipas së cilës pritshmëria e vjeljes së të ardhurave nga zëri i TVSH-së parashikohe</w:t>
      </w:r>
      <w:r>
        <w:rPr>
          <w:rFonts w:asciiTheme="minorHAnsi" w:hAnsiTheme="minorHAnsi"/>
          <w:i/>
          <w:szCs w:val="22"/>
          <w:lang w:val="sq-AL"/>
        </w:rPr>
        <w:t>j</w:t>
      </w:r>
      <w:r w:rsidRPr="00436FFA">
        <w:rPr>
          <w:rFonts w:asciiTheme="minorHAnsi" w:hAnsiTheme="minorHAnsi"/>
          <w:i/>
          <w:szCs w:val="22"/>
          <w:lang w:val="sq-AL"/>
        </w:rPr>
        <w:t xml:space="preserve"> e mjaftueshme për të suportuar rritjen e nivelit të planifikuar të saj për vitin 2021. Kjo, nisur edhe nga analiza e realizmit të treguesve makro-fiskal e buxhetorë për vitin 2020 që lamë pas, e cila dëshmoi për një realizim të të ardhurave nga TVSH</w:t>
      </w:r>
      <w:r>
        <w:rPr>
          <w:rFonts w:asciiTheme="minorHAnsi" w:hAnsiTheme="minorHAnsi"/>
          <w:i/>
          <w:szCs w:val="22"/>
          <w:lang w:val="sq-AL"/>
        </w:rPr>
        <w:t>-ja më të mira sesa pritshmëria. Kjo,</w:t>
      </w:r>
      <w:r w:rsidRPr="00436FFA">
        <w:rPr>
          <w:rFonts w:asciiTheme="minorHAnsi" w:hAnsiTheme="minorHAnsi"/>
          <w:i/>
          <w:szCs w:val="22"/>
          <w:lang w:val="sq-AL"/>
        </w:rPr>
        <w:t xml:space="preserve"> duke konsideruar këtu efektet e pashmangshme e të pamohueshme që pati Pandemia Covid-19 mbi të gjithë parametrat/treguesit makroekonomik, fiskal &amp; buxhetor që karakterizuan situatën eko-financiare përgjatë vitit 2020</w:t>
      </w:r>
      <w:r>
        <w:rPr>
          <w:rFonts w:asciiTheme="minorHAnsi" w:hAnsiTheme="minorHAnsi"/>
          <w:i/>
          <w:szCs w:val="22"/>
          <w:lang w:val="sq-AL"/>
        </w:rPr>
        <w:t>.</w:t>
      </w:r>
    </w:p>
    <w:p w:rsidR="005040AD" w:rsidRPr="00DB1190" w:rsidRDefault="005040AD" w:rsidP="005040AD">
      <w:pPr>
        <w:spacing w:before="240" w:line="276" w:lineRule="auto"/>
        <w:jc w:val="both"/>
        <w:rPr>
          <w:rFonts w:asciiTheme="minorHAnsi" w:hAnsiTheme="minorHAnsi"/>
          <w:lang w:val="sq-AL"/>
        </w:rPr>
      </w:pPr>
      <w:r w:rsidRPr="00436FFA">
        <w:rPr>
          <w:rFonts w:asciiTheme="minorHAnsi" w:hAnsiTheme="minorHAnsi"/>
          <w:lang w:val="sq-AL"/>
        </w:rPr>
        <w:t xml:space="preserve">Është me rëndësi </w:t>
      </w:r>
      <w:r>
        <w:rPr>
          <w:rFonts w:asciiTheme="minorHAnsi" w:hAnsiTheme="minorHAnsi"/>
          <w:lang w:val="sq-AL"/>
        </w:rPr>
        <w:t>të</w:t>
      </w:r>
      <w:r w:rsidRPr="00436FFA">
        <w:rPr>
          <w:rFonts w:asciiTheme="minorHAnsi" w:hAnsiTheme="minorHAnsi"/>
          <w:lang w:val="sq-AL"/>
        </w:rPr>
        <w:t xml:space="preserve"> </w:t>
      </w:r>
      <w:r>
        <w:rPr>
          <w:rFonts w:asciiTheme="minorHAnsi" w:hAnsiTheme="minorHAnsi"/>
          <w:lang w:val="sq-AL"/>
        </w:rPr>
        <w:t>t</w:t>
      </w:r>
      <w:r w:rsidRPr="00436FFA">
        <w:rPr>
          <w:rFonts w:asciiTheme="minorHAnsi" w:hAnsiTheme="minorHAnsi"/>
          <w:lang w:val="sq-AL"/>
        </w:rPr>
        <w:t>heksoj</w:t>
      </w:r>
      <w:r>
        <w:rPr>
          <w:rFonts w:asciiTheme="minorHAnsi" w:hAnsiTheme="minorHAnsi"/>
          <w:lang w:val="sq-AL"/>
        </w:rPr>
        <w:t>më</w:t>
      </w:r>
      <w:r w:rsidRPr="00436FFA">
        <w:rPr>
          <w:rFonts w:asciiTheme="minorHAnsi" w:hAnsiTheme="minorHAnsi"/>
          <w:lang w:val="sq-AL"/>
        </w:rPr>
        <w:t xml:space="preserve"> se, përtej rialokimit mes zërave dhe balancimit të rritjes së shpenzimeve prioritare (për KQZ-në dhe Fondin Rezervë) përmes rritjes në të njëjtën masë të nivelit të të ardhurave nga TVSH-ja, ky akt normativ nuk prek</w:t>
      </w:r>
      <w:r>
        <w:rPr>
          <w:rFonts w:asciiTheme="minorHAnsi" w:hAnsiTheme="minorHAnsi"/>
          <w:lang w:val="sq-AL"/>
        </w:rPr>
        <w:t>u</w:t>
      </w:r>
      <w:r w:rsidRPr="00436FFA">
        <w:rPr>
          <w:rFonts w:asciiTheme="minorHAnsi" w:hAnsiTheme="minorHAnsi"/>
          <w:lang w:val="sq-AL"/>
        </w:rPr>
        <w:t xml:space="preserve"> dy parametrat kyç makro-fiskal, që janë deficiti buxhetor dhe borxhi publik, të cilët mbeten të pandryshuar</w:t>
      </w:r>
    </w:p>
    <w:p w:rsidR="004A254F" w:rsidRDefault="004A254F" w:rsidP="007C4932">
      <w:pPr>
        <w:spacing w:line="276" w:lineRule="auto"/>
        <w:jc w:val="both"/>
        <w:rPr>
          <w:rFonts w:asciiTheme="minorHAnsi" w:hAnsiTheme="minorHAnsi"/>
          <w:u w:val="single"/>
          <w:lang w:val="sq-AL"/>
        </w:rPr>
      </w:pPr>
    </w:p>
    <w:p w:rsidR="005040AD" w:rsidRDefault="005040AD" w:rsidP="007C4932">
      <w:pPr>
        <w:spacing w:line="276" w:lineRule="auto"/>
        <w:jc w:val="both"/>
        <w:rPr>
          <w:rFonts w:asciiTheme="minorHAnsi" w:hAnsiTheme="minorHAnsi"/>
          <w:u w:val="single"/>
          <w:lang w:val="sq-AL"/>
        </w:rPr>
      </w:pPr>
    </w:p>
    <w:p w:rsidR="004D3A5E" w:rsidRPr="006C6319" w:rsidRDefault="004D3A5E" w:rsidP="007C4932">
      <w:pPr>
        <w:spacing w:line="276" w:lineRule="auto"/>
        <w:jc w:val="both"/>
        <w:rPr>
          <w:rFonts w:asciiTheme="minorHAnsi" w:hAnsiTheme="minorHAnsi"/>
          <w:u w:val="single"/>
          <w:lang w:val="sq-AL"/>
        </w:rPr>
      </w:pPr>
      <w:r w:rsidRPr="006C6319">
        <w:rPr>
          <w:rFonts w:asciiTheme="minorHAnsi" w:hAnsiTheme="minorHAnsi"/>
          <w:u w:val="single"/>
          <w:lang w:val="sq-AL"/>
        </w:rPr>
        <w:t>Akti Normativ nr.</w:t>
      </w:r>
      <w:r w:rsidR="00CB678B">
        <w:rPr>
          <w:rFonts w:asciiTheme="minorHAnsi" w:hAnsiTheme="minorHAnsi"/>
          <w:u w:val="single"/>
          <w:lang w:val="sq-AL"/>
        </w:rPr>
        <w:t>8</w:t>
      </w:r>
      <w:r w:rsidRPr="006C6319">
        <w:rPr>
          <w:rFonts w:asciiTheme="minorHAnsi" w:hAnsiTheme="minorHAnsi"/>
          <w:u w:val="single"/>
          <w:lang w:val="sq-AL"/>
        </w:rPr>
        <w:t xml:space="preserve"> dat</w:t>
      </w:r>
      <w:r w:rsidR="006C6319">
        <w:rPr>
          <w:rFonts w:asciiTheme="minorHAnsi" w:hAnsiTheme="minorHAnsi"/>
          <w:u w:val="single"/>
          <w:lang w:val="sq-AL"/>
        </w:rPr>
        <w:t>ë</w:t>
      </w:r>
      <w:r w:rsidRPr="006C6319">
        <w:rPr>
          <w:rFonts w:asciiTheme="minorHAnsi" w:hAnsiTheme="minorHAnsi"/>
          <w:u w:val="single"/>
          <w:lang w:val="sq-AL"/>
        </w:rPr>
        <w:t xml:space="preserve"> </w:t>
      </w:r>
      <w:r w:rsidR="00CB678B">
        <w:rPr>
          <w:rFonts w:asciiTheme="minorHAnsi" w:hAnsiTheme="minorHAnsi"/>
          <w:u w:val="single"/>
          <w:lang w:val="sq-AL"/>
        </w:rPr>
        <w:t>22</w:t>
      </w:r>
      <w:r w:rsidRPr="006C6319">
        <w:rPr>
          <w:rFonts w:asciiTheme="minorHAnsi" w:hAnsiTheme="minorHAnsi"/>
          <w:u w:val="single"/>
          <w:lang w:val="sq-AL"/>
        </w:rPr>
        <w:t>.0</w:t>
      </w:r>
      <w:r w:rsidR="00CB678B">
        <w:rPr>
          <w:rFonts w:asciiTheme="minorHAnsi" w:hAnsiTheme="minorHAnsi"/>
          <w:u w:val="single"/>
          <w:lang w:val="sq-AL"/>
        </w:rPr>
        <w:t>3</w:t>
      </w:r>
      <w:r w:rsidRPr="006C6319">
        <w:rPr>
          <w:rFonts w:asciiTheme="minorHAnsi" w:hAnsiTheme="minorHAnsi"/>
          <w:u w:val="single"/>
          <w:lang w:val="sq-AL"/>
        </w:rPr>
        <w:t>.202</w:t>
      </w:r>
      <w:r w:rsidR="00CB678B">
        <w:rPr>
          <w:rFonts w:asciiTheme="minorHAnsi" w:hAnsiTheme="minorHAnsi"/>
          <w:u w:val="single"/>
          <w:lang w:val="sq-AL"/>
        </w:rPr>
        <w:t>1</w:t>
      </w:r>
      <w:r w:rsidRPr="006C6319">
        <w:rPr>
          <w:rFonts w:asciiTheme="minorHAnsi" w:hAnsiTheme="minorHAnsi"/>
          <w:u w:val="single"/>
          <w:lang w:val="sq-AL"/>
        </w:rPr>
        <w:t>:</w:t>
      </w:r>
    </w:p>
    <w:p w:rsidR="00A209F7" w:rsidRDefault="005040AD" w:rsidP="005040AD">
      <w:pPr>
        <w:spacing w:before="240" w:line="276" w:lineRule="auto"/>
        <w:jc w:val="both"/>
        <w:rPr>
          <w:rFonts w:asciiTheme="minorHAnsi" w:hAnsiTheme="minorHAnsi"/>
          <w:lang w:val="sq-AL" w:eastAsia="ja-JP"/>
        </w:rPr>
      </w:pPr>
      <w:r w:rsidRPr="00C12BF3">
        <w:rPr>
          <w:rFonts w:asciiTheme="minorHAnsi" w:hAnsiTheme="minorHAnsi"/>
          <w:lang w:val="sq-AL" w:eastAsia="ja-JP"/>
        </w:rPr>
        <w:t>Këshilli i Ministrave, me propozim të Ministrisë së Financave dhe Ekonomisë, ndërm</w:t>
      </w:r>
      <w:r>
        <w:rPr>
          <w:rFonts w:asciiTheme="minorHAnsi" w:hAnsiTheme="minorHAnsi"/>
          <w:lang w:val="sq-AL" w:eastAsia="ja-JP"/>
        </w:rPr>
        <w:t>o</w:t>
      </w:r>
      <w:r w:rsidRPr="00C12BF3">
        <w:rPr>
          <w:rFonts w:asciiTheme="minorHAnsi" w:hAnsiTheme="minorHAnsi"/>
          <w:lang w:val="sq-AL" w:eastAsia="ja-JP"/>
        </w:rPr>
        <w:t>r</w:t>
      </w:r>
      <w:r>
        <w:rPr>
          <w:rFonts w:asciiTheme="minorHAnsi" w:hAnsiTheme="minorHAnsi"/>
          <w:lang w:val="sq-AL" w:eastAsia="ja-JP"/>
        </w:rPr>
        <w:t>i</w:t>
      </w:r>
      <w:r w:rsidRPr="00C12BF3">
        <w:rPr>
          <w:rFonts w:asciiTheme="minorHAnsi" w:hAnsiTheme="minorHAnsi"/>
          <w:lang w:val="sq-AL" w:eastAsia="ja-JP"/>
        </w:rPr>
        <w:t xml:space="preserve"> procesin dhe përgatit</w:t>
      </w:r>
      <w:r>
        <w:rPr>
          <w:rFonts w:asciiTheme="minorHAnsi" w:hAnsiTheme="minorHAnsi"/>
          <w:lang w:val="sq-AL" w:eastAsia="ja-JP"/>
        </w:rPr>
        <w:t>i</w:t>
      </w:r>
      <w:r w:rsidRPr="00C12BF3">
        <w:rPr>
          <w:rFonts w:asciiTheme="minorHAnsi" w:hAnsiTheme="minorHAnsi"/>
          <w:lang w:val="sq-AL" w:eastAsia="ja-JP"/>
        </w:rPr>
        <w:t xml:space="preserve"> skenarin e rishikimit të dytë të buxhetit 2021 përmes Aktit Normativ nr.8 datë 22.03.2021 “</w:t>
      </w:r>
      <w:r w:rsidRPr="00C12BF3">
        <w:rPr>
          <w:rFonts w:asciiTheme="minorHAnsi" w:hAnsiTheme="minorHAnsi"/>
          <w:i/>
          <w:lang w:val="sq-AL" w:eastAsia="ja-JP"/>
        </w:rPr>
        <w:t>Për disa ndryshime në Ligjin nr.137/2020 “Për buxhetin e vitit 2021, i ndryshuar</w:t>
      </w:r>
      <w:r w:rsidRPr="00C12BF3">
        <w:rPr>
          <w:rFonts w:asciiTheme="minorHAnsi" w:hAnsiTheme="minorHAnsi"/>
          <w:lang w:val="sq-AL" w:eastAsia="ja-JP"/>
        </w:rPr>
        <w:t xml:space="preserve">”. </w:t>
      </w:r>
    </w:p>
    <w:p w:rsidR="005040AD" w:rsidRPr="00C12BF3" w:rsidRDefault="005040AD" w:rsidP="005040AD">
      <w:pPr>
        <w:spacing w:before="240" w:line="276" w:lineRule="auto"/>
        <w:jc w:val="both"/>
        <w:rPr>
          <w:rFonts w:asciiTheme="minorHAnsi" w:hAnsiTheme="minorHAnsi"/>
          <w:lang w:val="sq-AL" w:eastAsia="ja-JP"/>
        </w:rPr>
      </w:pPr>
      <w:r w:rsidRPr="00C12BF3">
        <w:rPr>
          <w:rFonts w:asciiTheme="minorHAnsi" w:hAnsiTheme="minorHAnsi"/>
          <w:lang w:val="sq-AL" w:eastAsia="ja-JP"/>
        </w:rPr>
        <w:t>Kjo nisur nga fakti se, në gjysmën e dytë të muajit Mars 2021, Ministria e Financave dhe Ekonomisë mori zyrtarisht dijeni lidhur me kërkesën e Ministrisë së Shëndetësisë dhe Mbrojtjes Sociale për fonde shtesë në masën rreth 1 miliardë lekë, me qëllim financimin e kryerjes së pagesave për sigurimin e vaksinave të nevojshme për përballimin e situatës pandemike</w:t>
      </w:r>
      <w:r>
        <w:rPr>
          <w:rFonts w:asciiTheme="minorHAnsi" w:hAnsiTheme="minorHAnsi"/>
          <w:lang w:val="sq-AL" w:eastAsia="ja-JP"/>
        </w:rPr>
        <w:t xml:space="preserve"> Covid-19</w:t>
      </w:r>
      <w:r w:rsidRPr="00C12BF3">
        <w:rPr>
          <w:rFonts w:asciiTheme="minorHAnsi" w:hAnsiTheme="minorHAnsi"/>
          <w:lang w:val="sq-AL" w:eastAsia="ja-JP"/>
        </w:rPr>
        <w:t>. Kjo kërkesë, i referohe</w:t>
      </w:r>
      <w:r>
        <w:rPr>
          <w:rFonts w:asciiTheme="minorHAnsi" w:hAnsiTheme="minorHAnsi"/>
          <w:lang w:val="sq-AL" w:eastAsia="ja-JP"/>
        </w:rPr>
        <w:t>j</w:t>
      </w:r>
      <w:r w:rsidRPr="00C12BF3">
        <w:rPr>
          <w:rFonts w:asciiTheme="minorHAnsi" w:hAnsiTheme="minorHAnsi"/>
          <w:lang w:val="sq-AL" w:eastAsia="ja-JP"/>
        </w:rPr>
        <w:t xml:space="preserve"> përkatësisht:</w:t>
      </w:r>
    </w:p>
    <w:p w:rsidR="005040AD" w:rsidRPr="00C12BF3" w:rsidRDefault="005040AD" w:rsidP="005040AD">
      <w:pPr>
        <w:pStyle w:val="ListParagraph"/>
        <w:widowControl w:val="0"/>
        <w:tabs>
          <w:tab w:val="left" w:pos="360"/>
          <w:tab w:val="left" w:pos="1170"/>
        </w:tabs>
        <w:autoSpaceDE w:val="0"/>
        <w:autoSpaceDN w:val="0"/>
        <w:adjustRightInd w:val="0"/>
        <w:spacing w:line="276" w:lineRule="auto"/>
        <w:ind w:left="360"/>
        <w:jc w:val="both"/>
        <w:rPr>
          <w:rFonts w:asciiTheme="minorHAnsi" w:hAnsiTheme="minorHAnsi"/>
          <w:i/>
          <w:sz w:val="8"/>
          <w:szCs w:val="8"/>
          <w:lang w:val="sq-AL"/>
        </w:rPr>
      </w:pPr>
    </w:p>
    <w:p w:rsidR="005040AD" w:rsidRPr="00C12BF3" w:rsidRDefault="000E55F7" w:rsidP="007F0B61">
      <w:pPr>
        <w:pStyle w:val="ListParagraph"/>
        <w:widowControl w:val="0"/>
        <w:numPr>
          <w:ilvl w:val="1"/>
          <w:numId w:val="13"/>
        </w:numPr>
        <w:tabs>
          <w:tab w:val="left" w:pos="360"/>
          <w:tab w:val="left" w:pos="1170"/>
        </w:tabs>
        <w:autoSpaceDE w:val="0"/>
        <w:autoSpaceDN w:val="0"/>
        <w:adjustRightInd w:val="0"/>
        <w:spacing w:line="276" w:lineRule="auto"/>
        <w:ind w:left="360"/>
        <w:jc w:val="both"/>
        <w:rPr>
          <w:rFonts w:asciiTheme="minorHAnsi" w:hAnsiTheme="minorHAnsi"/>
          <w:i/>
          <w:szCs w:val="22"/>
          <w:lang w:val="sq-AL"/>
        </w:rPr>
      </w:pPr>
      <w:r>
        <w:rPr>
          <w:rFonts w:asciiTheme="minorHAnsi" w:hAnsiTheme="minorHAnsi"/>
          <w:i/>
          <w:szCs w:val="22"/>
          <w:lang w:val="sq-AL"/>
        </w:rPr>
        <w:lastRenderedPageBreak/>
        <w:t>Aktit N</w:t>
      </w:r>
      <w:r w:rsidR="005040AD" w:rsidRPr="00C12BF3">
        <w:rPr>
          <w:rFonts w:asciiTheme="minorHAnsi" w:hAnsiTheme="minorHAnsi"/>
          <w:i/>
          <w:szCs w:val="22"/>
          <w:lang w:val="sq-AL"/>
        </w:rPr>
        <w:t>ormativ “Për miratimin e tekstit të marrëveshjes ndërmjet distributorit “Keymen Ilaç Sanayi Ve Ticaret” A.Ş dhe Ministrit të Shëndetësisë dhe Mbrojtjes Sociale, Ministrit të Shtetit për Rindërtimin dhe Institutit të Shëndetit Publik për furnizimin e Republikës së Shqipërisë me vaksinën e inaktivizuar kundër Covid-19 (Vero Cell) Coronavac, të krijuar nga Sinovac Life Science Co, ltd. dhe të prodhuar në Republikën Popullore të Kinës”;</w:t>
      </w:r>
    </w:p>
    <w:p w:rsidR="005040AD" w:rsidRPr="00C12BF3" w:rsidRDefault="005040AD" w:rsidP="005040AD">
      <w:pPr>
        <w:pStyle w:val="ListParagraph"/>
        <w:widowControl w:val="0"/>
        <w:tabs>
          <w:tab w:val="left" w:pos="360"/>
          <w:tab w:val="left" w:pos="1170"/>
        </w:tabs>
        <w:autoSpaceDE w:val="0"/>
        <w:autoSpaceDN w:val="0"/>
        <w:adjustRightInd w:val="0"/>
        <w:spacing w:line="276" w:lineRule="auto"/>
        <w:ind w:left="360"/>
        <w:jc w:val="both"/>
        <w:rPr>
          <w:rFonts w:asciiTheme="minorHAnsi" w:hAnsiTheme="minorHAnsi"/>
          <w:i/>
          <w:sz w:val="8"/>
          <w:szCs w:val="8"/>
          <w:lang w:val="sq-AL"/>
        </w:rPr>
      </w:pPr>
    </w:p>
    <w:p w:rsidR="005040AD" w:rsidRPr="00C12BF3" w:rsidRDefault="005040AD" w:rsidP="007F0B61">
      <w:pPr>
        <w:pStyle w:val="ListParagraph"/>
        <w:widowControl w:val="0"/>
        <w:numPr>
          <w:ilvl w:val="1"/>
          <w:numId w:val="13"/>
        </w:numPr>
        <w:tabs>
          <w:tab w:val="left" w:pos="360"/>
          <w:tab w:val="left" w:pos="1170"/>
        </w:tabs>
        <w:autoSpaceDE w:val="0"/>
        <w:autoSpaceDN w:val="0"/>
        <w:adjustRightInd w:val="0"/>
        <w:spacing w:line="276" w:lineRule="auto"/>
        <w:ind w:left="360"/>
        <w:jc w:val="both"/>
        <w:rPr>
          <w:rFonts w:asciiTheme="minorHAnsi" w:hAnsiTheme="minorHAnsi"/>
          <w:i/>
          <w:szCs w:val="22"/>
          <w:lang w:val="sq-AL"/>
        </w:rPr>
      </w:pPr>
      <w:r w:rsidRPr="00C12BF3">
        <w:rPr>
          <w:rFonts w:asciiTheme="minorHAnsi" w:hAnsiTheme="minorHAnsi"/>
          <w:i/>
          <w:szCs w:val="22"/>
          <w:lang w:val="sq-AL"/>
        </w:rPr>
        <w:t>Projektvendimit “Për kryerjen e pagesës së dozave të vaksinave që rrjedh nga marrëveshja ndërmjet distributorit “Keymen Ilaç Sanayi ve Ticaret” a.ş dhe  Ministrit të Shëndetësisë dhe Mbrojtjes Sociale, Ministrit të Shtetit për Rindërtimin dhe Institutit të Shëndetit Publik për furnizimin e Republikës së Shqipërisë me vaksinën e inaktivizuar kundër Covid-19 (vero cell) Coronavac, të krijuar nga Sinovac Life Science Co, ltd. dhe të prodhuar në Republikën Popullore të Kinës”.</w:t>
      </w:r>
    </w:p>
    <w:p w:rsidR="00F12701" w:rsidRDefault="005040AD" w:rsidP="005040AD">
      <w:pPr>
        <w:spacing w:before="240" w:line="276" w:lineRule="auto"/>
        <w:jc w:val="both"/>
        <w:rPr>
          <w:rFonts w:asciiTheme="minorHAnsi" w:hAnsiTheme="minorHAnsi"/>
          <w:lang w:val="sq-AL" w:eastAsia="ja-JP"/>
        </w:rPr>
      </w:pPr>
      <w:r w:rsidRPr="00C12BF3">
        <w:rPr>
          <w:rFonts w:asciiTheme="minorHAnsi" w:hAnsiTheme="minorHAnsi"/>
          <w:lang w:val="sq-AL" w:eastAsia="ja-JP"/>
        </w:rPr>
        <w:t xml:space="preserve">Ky rishikim i ligjit të buxhetit 2021, </w:t>
      </w:r>
      <w:r>
        <w:rPr>
          <w:rFonts w:asciiTheme="minorHAnsi" w:hAnsiTheme="minorHAnsi"/>
          <w:lang w:val="sq-AL" w:eastAsia="ja-JP"/>
        </w:rPr>
        <w:t xml:space="preserve">u </w:t>
      </w:r>
      <w:r w:rsidRPr="00C12BF3">
        <w:rPr>
          <w:rFonts w:asciiTheme="minorHAnsi" w:hAnsiTheme="minorHAnsi"/>
          <w:lang w:val="sq-AL" w:eastAsia="ja-JP"/>
        </w:rPr>
        <w:t>propoz</w:t>
      </w:r>
      <w:r>
        <w:rPr>
          <w:rFonts w:asciiTheme="minorHAnsi" w:hAnsiTheme="minorHAnsi"/>
          <w:lang w:val="sq-AL" w:eastAsia="ja-JP"/>
        </w:rPr>
        <w:t>ua</w:t>
      </w:r>
      <w:r w:rsidRPr="00C12BF3">
        <w:rPr>
          <w:rFonts w:asciiTheme="minorHAnsi" w:hAnsiTheme="minorHAnsi"/>
          <w:lang w:val="sq-AL" w:eastAsia="ja-JP"/>
        </w:rPr>
        <w:t xml:space="preserve"> t’i nënshtrohe</w:t>
      </w:r>
      <w:r>
        <w:rPr>
          <w:rFonts w:asciiTheme="minorHAnsi" w:hAnsiTheme="minorHAnsi"/>
          <w:lang w:val="sq-AL" w:eastAsia="ja-JP"/>
        </w:rPr>
        <w:t>j</w:t>
      </w:r>
      <w:r w:rsidRPr="00C12BF3">
        <w:rPr>
          <w:rFonts w:asciiTheme="minorHAnsi" w:hAnsiTheme="minorHAnsi"/>
          <w:lang w:val="sq-AL" w:eastAsia="ja-JP"/>
        </w:rPr>
        <w:t xml:space="preserve"> procedurës së aktit normativ, sa kohë që aspekti i nevojës dhe emergjencës së tij lidhe</w:t>
      </w:r>
      <w:r>
        <w:rPr>
          <w:rFonts w:asciiTheme="minorHAnsi" w:hAnsiTheme="minorHAnsi"/>
          <w:lang w:val="sq-AL" w:eastAsia="ja-JP"/>
        </w:rPr>
        <w:t>j</w:t>
      </w:r>
      <w:r w:rsidRPr="00C12BF3">
        <w:rPr>
          <w:rFonts w:asciiTheme="minorHAnsi" w:hAnsiTheme="minorHAnsi"/>
          <w:lang w:val="sq-AL" w:eastAsia="ja-JP"/>
        </w:rPr>
        <w:t xml:space="preserve"> pikërisht me domosdoshmërinë imediate për kryerjen e pagesave në fjalë, bazuar në skedulin e rakorduar me kompaninë.</w:t>
      </w:r>
      <w:r>
        <w:rPr>
          <w:rFonts w:asciiTheme="minorHAnsi" w:hAnsiTheme="minorHAnsi"/>
          <w:lang w:val="sq-AL" w:eastAsia="ja-JP"/>
        </w:rPr>
        <w:t xml:space="preserve"> </w:t>
      </w:r>
      <w:r w:rsidRPr="00C0295B">
        <w:rPr>
          <w:rFonts w:asciiTheme="minorHAnsi" w:hAnsiTheme="minorHAnsi"/>
          <w:lang w:val="sq-AL" w:eastAsia="ja-JP"/>
        </w:rPr>
        <w:t>Ministria e Financave dhe Ekonomisë, bazuar në analizat dhe vlerësimet e saj mbi ecurinë e treguesve të buxhetit 2021, si edhe pritshmërinë e performancës së tyre deri në fund të vitit 2021, i paraqiti Këshillit të Ministrave këtë Akt Normativ i cili mundëso</w:t>
      </w:r>
      <w:r>
        <w:rPr>
          <w:rFonts w:asciiTheme="minorHAnsi" w:hAnsiTheme="minorHAnsi"/>
          <w:lang w:val="sq-AL" w:eastAsia="ja-JP"/>
        </w:rPr>
        <w:t>i</w:t>
      </w:r>
      <w:r w:rsidRPr="00C0295B">
        <w:rPr>
          <w:rFonts w:asciiTheme="minorHAnsi" w:hAnsiTheme="minorHAnsi"/>
          <w:lang w:val="sq-AL" w:eastAsia="ja-JP"/>
        </w:rPr>
        <w:t xml:space="preserve"> dhe garanto</w:t>
      </w:r>
      <w:r>
        <w:rPr>
          <w:rFonts w:asciiTheme="minorHAnsi" w:hAnsiTheme="minorHAnsi"/>
          <w:lang w:val="sq-AL" w:eastAsia="ja-JP"/>
        </w:rPr>
        <w:t>i</w:t>
      </w:r>
      <w:r w:rsidRPr="00C0295B">
        <w:rPr>
          <w:rFonts w:asciiTheme="minorHAnsi" w:hAnsiTheme="minorHAnsi"/>
          <w:lang w:val="sq-AL" w:eastAsia="ja-JP"/>
        </w:rPr>
        <w:t xml:space="preserve"> financimin e nevojshëm për shpenzimet anti-Covid19, </w:t>
      </w:r>
      <w:r>
        <w:rPr>
          <w:rFonts w:asciiTheme="minorHAnsi" w:hAnsiTheme="minorHAnsi"/>
          <w:lang w:val="sq-AL" w:eastAsia="ja-JP"/>
        </w:rPr>
        <w:t>q</w:t>
      </w:r>
      <w:r w:rsidR="00F12701">
        <w:rPr>
          <w:rFonts w:asciiTheme="minorHAnsi" w:hAnsiTheme="minorHAnsi"/>
          <w:lang w:val="sq-AL" w:eastAsia="ja-JP"/>
        </w:rPr>
        <w:t>ë</w:t>
      </w:r>
      <w:r>
        <w:rPr>
          <w:rFonts w:asciiTheme="minorHAnsi" w:hAnsiTheme="minorHAnsi"/>
          <w:lang w:val="sq-AL" w:eastAsia="ja-JP"/>
        </w:rPr>
        <w:t xml:space="preserve"> </w:t>
      </w:r>
      <w:r w:rsidRPr="00C0295B">
        <w:rPr>
          <w:rFonts w:asciiTheme="minorHAnsi" w:hAnsiTheme="minorHAnsi"/>
          <w:lang w:val="sq-AL" w:eastAsia="ja-JP"/>
        </w:rPr>
        <w:t>përbën dhe do të vazhdojë të përbëjë një prioritet të q</w:t>
      </w:r>
      <w:r>
        <w:rPr>
          <w:rFonts w:asciiTheme="minorHAnsi" w:hAnsiTheme="minorHAnsi"/>
          <w:lang w:val="sq-AL" w:eastAsia="ja-JP"/>
        </w:rPr>
        <w:t>e</w:t>
      </w:r>
      <w:r w:rsidRPr="00C0295B">
        <w:rPr>
          <w:rFonts w:asciiTheme="minorHAnsi" w:hAnsiTheme="minorHAnsi"/>
          <w:lang w:val="sq-AL" w:eastAsia="ja-JP"/>
        </w:rPr>
        <w:t>nësishëm për Qeverinë gjatë vitit 2021.</w:t>
      </w:r>
      <w:r>
        <w:rPr>
          <w:rFonts w:asciiTheme="minorHAnsi" w:hAnsiTheme="minorHAnsi"/>
          <w:lang w:val="sq-AL" w:eastAsia="ja-JP"/>
        </w:rPr>
        <w:t xml:space="preserve"> </w:t>
      </w:r>
      <w:r w:rsidRPr="00C0295B">
        <w:rPr>
          <w:rFonts w:asciiTheme="minorHAnsi" w:hAnsiTheme="minorHAnsi"/>
          <w:lang w:val="sq-AL" w:eastAsia="ja-JP"/>
        </w:rPr>
        <w:t>Duke qenë përballë një situate dinamike, si nga pikëpamja e ecurisë së virulencës Covid19, dhe rrjedhimisht edhe nga pikëpamja e masave të Qeverisë për sigurimin e suportit të nevojshëm financiar për këtë qëllim në tërësi dhe vaksinimin në veçanti, u pa e arsyeshme që përmes këtij akti normativ të rritej kufiri i rezervës së buxhetit të shtetit dhe jo drejtpërdrejtë akordimi i fondeve për MSHMS. Kjo, me qëllim pasjen e një fleksibiliteti eventual në përdorimin e këtyre fondeve, rast pas rasti, sipas nevoj</w:t>
      </w:r>
      <w:r>
        <w:rPr>
          <w:rFonts w:asciiTheme="minorHAnsi" w:hAnsiTheme="minorHAnsi"/>
          <w:lang w:val="sq-AL" w:eastAsia="ja-JP"/>
        </w:rPr>
        <w:t xml:space="preserve">ave që mund të shfaqen në vijim. </w:t>
      </w:r>
    </w:p>
    <w:p w:rsidR="005040AD" w:rsidRPr="00C0295B" w:rsidRDefault="005040AD" w:rsidP="005040AD">
      <w:pPr>
        <w:spacing w:before="240" w:line="276" w:lineRule="auto"/>
        <w:jc w:val="both"/>
        <w:rPr>
          <w:rFonts w:asciiTheme="minorHAnsi" w:hAnsiTheme="minorHAnsi"/>
          <w:lang w:val="sq-AL" w:eastAsia="ja-JP"/>
        </w:rPr>
      </w:pPr>
      <w:r w:rsidRPr="00C0295B">
        <w:rPr>
          <w:rFonts w:asciiTheme="minorHAnsi" w:hAnsiTheme="minorHAnsi"/>
          <w:lang w:val="sq-AL"/>
        </w:rPr>
        <w:t xml:space="preserve">Nisur nga ky këndvështrim, akti normativ i përgatitur nga MFE dhe i miratuar nga Qeveria, </w:t>
      </w:r>
      <w:r w:rsidRPr="00C0295B">
        <w:rPr>
          <w:rFonts w:asciiTheme="minorHAnsi" w:hAnsiTheme="minorHAnsi"/>
          <w:noProof/>
          <w:lang w:val="sq-AL"/>
        </w:rPr>
        <w:t>përcakton</w:t>
      </w:r>
      <w:r>
        <w:rPr>
          <w:rFonts w:asciiTheme="minorHAnsi" w:hAnsiTheme="minorHAnsi"/>
          <w:noProof/>
          <w:lang w:val="sq-AL"/>
        </w:rPr>
        <w:t>te</w:t>
      </w:r>
      <w:r w:rsidRPr="00C0295B">
        <w:rPr>
          <w:rFonts w:asciiTheme="minorHAnsi" w:hAnsiTheme="minorHAnsi"/>
          <w:noProof/>
          <w:lang w:val="sq-AL"/>
        </w:rPr>
        <w:t xml:space="preserve"> vetëm një ndryshim në shpenzimet buxhetore, </w:t>
      </w:r>
      <w:r>
        <w:rPr>
          <w:rFonts w:asciiTheme="minorHAnsi" w:hAnsiTheme="minorHAnsi"/>
          <w:noProof/>
          <w:lang w:val="sq-AL"/>
        </w:rPr>
        <w:t xml:space="preserve">pra </w:t>
      </w:r>
      <w:r w:rsidRPr="00C0295B">
        <w:rPr>
          <w:rFonts w:asciiTheme="minorHAnsi" w:hAnsiTheme="minorHAnsi"/>
          <w:noProof/>
          <w:lang w:val="sq-AL"/>
        </w:rPr>
        <w:t>një rialokim midis dy nën-zërave të Fondit Rezervë 2021, dhe përkatësisht:</w:t>
      </w:r>
    </w:p>
    <w:p w:rsidR="005040AD" w:rsidRPr="00517D8B" w:rsidRDefault="005040AD" w:rsidP="005040AD">
      <w:pPr>
        <w:pStyle w:val="ListParagraph"/>
        <w:widowControl w:val="0"/>
        <w:tabs>
          <w:tab w:val="left" w:pos="360"/>
          <w:tab w:val="left" w:pos="1170"/>
        </w:tabs>
        <w:autoSpaceDE w:val="0"/>
        <w:autoSpaceDN w:val="0"/>
        <w:adjustRightInd w:val="0"/>
        <w:spacing w:line="276" w:lineRule="auto"/>
        <w:ind w:left="360"/>
        <w:jc w:val="both"/>
        <w:rPr>
          <w:rFonts w:asciiTheme="minorHAnsi" w:hAnsiTheme="minorHAnsi"/>
          <w:i/>
          <w:sz w:val="8"/>
          <w:szCs w:val="8"/>
          <w:lang w:val="sq-AL"/>
        </w:rPr>
      </w:pPr>
    </w:p>
    <w:p w:rsidR="005040AD" w:rsidRDefault="005040AD" w:rsidP="007F0B61">
      <w:pPr>
        <w:pStyle w:val="ListParagraph"/>
        <w:widowControl w:val="0"/>
        <w:numPr>
          <w:ilvl w:val="1"/>
          <w:numId w:val="13"/>
        </w:numPr>
        <w:tabs>
          <w:tab w:val="left" w:pos="360"/>
          <w:tab w:val="left" w:pos="1170"/>
        </w:tabs>
        <w:autoSpaceDE w:val="0"/>
        <w:autoSpaceDN w:val="0"/>
        <w:adjustRightInd w:val="0"/>
        <w:spacing w:line="276" w:lineRule="auto"/>
        <w:ind w:left="360"/>
        <w:jc w:val="both"/>
        <w:rPr>
          <w:rFonts w:asciiTheme="minorHAnsi" w:hAnsiTheme="minorHAnsi"/>
          <w:i/>
          <w:szCs w:val="22"/>
          <w:lang w:val="sq-AL"/>
        </w:rPr>
      </w:pPr>
      <w:r w:rsidRPr="00517D8B">
        <w:rPr>
          <w:rFonts w:asciiTheme="minorHAnsi" w:hAnsiTheme="minorHAnsi"/>
          <w:i/>
          <w:szCs w:val="22"/>
          <w:lang w:val="sq-AL"/>
        </w:rPr>
        <w:t>Shtimin me 1 miliardë lekë të Fondit Rezervë të Këshillit të Ministrave – Me qëllim përballimin e shpenzimeve të blerjes së vaksinave gjatë vitit 2021, si edhe të shpenzimeve të tjera eventuale të Qeverisë qe lidhen me Pandeminë Covid19;</w:t>
      </w:r>
    </w:p>
    <w:p w:rsidR="005040AD" w:rsidRPr="00517D8B" w:rsidRDefault="005040AD" w:rsidP="005040AD">
      <w:pPr>
        <w:pStyle w:val="ListParagraph"/>
        <w:widowControl w:val="0"/>
        <w:tabs>
          <w:tab w:val="left" w:pos="360"/>
          <w:tab w:val="left" w:pos="1170"/>
        </w:tabs>
        <w:autoSpaceDE w:val="0"/>
        <w:autoSpaceDN w:val="0"/>
        <w:adjustRightInd w:val="0"/>
        <w:spacing w:line="276" w:lineRule="auto"/>
        <w:ind w:left="360"/>
        <w:jc w:val="both"/>
        <w:rPr>
          <w:rFonts w:asciiTheme="minorHAnsi" w:hAnsiTheme="minorHAnsi"/>
          <w:i/>
          <w:sz w:val="8"/>
          <w:szCs w:val="8"/>
          <w:lang w:val="sq-AL"/>
        </w:rPr>
      </w:pPr>
    </w:p>
    <w:p w:rsidR="005040AD" w:rsidRPr="00517D8B" w:rsidRDefault="005040AD" w:rsidP="007F0B61">
      <w:pPr>
        <w:pStyle w:val="ListParagraph"/>
        <w:widowControl w:val="0"/>
        <w:numPr>
          <w:ilvl w:val="1"/>
          <w:numId w:val="13"/>
        </w:numPr>
        <w:tabs>
          <w:tab w:val="left" w:pos="360"/>
          <w:tab w:val="left" w:pos="1170"/>
        </w:tabs>
        <w:autoSpaceDE w:val="0"/>
        <w:autoSpaceDN w:val="0"/>
        <w:adjustRightInd w:val="0"/>
        <w:spacing w:line="276" w:lineRule="auto"/>
        <w:ind w:left="360"/>
        <w:jc w:val="both"/>
        <w:rPr>
          <w:rFonts w:asciiTheme="minorHAnsi" w:hAnsiTheme="minorHAnsi"/>
          <w:i/>
          <w:szCs w:val="22"/>
          <w:lang w:val="sq-AL"/>
        </w:rPr>
      </w:pPr>
      <w:r w:rsidRPr="00517D8B">
        <w:rPr>
          <w:rFonts w:asciiTheme="minorHAnsi" w:hAnsiTheme="minorHAnsi"/>
          <w:i/>
          <w:szCs w:val="22"/>
          <w:lang w:val="sq-AL"/>
        </w:rPr>
        <w:t>Pakësimin me 1 miliardë lekë të rezervës për Studime e Projektime – në kuadër të riorientimit të prioriteteve të Qeverisë gjatë situatës pandemike Covid-19 për vitin 2021, projekte të cilat parashikohet të shtyhen per 6-mujorin e dyte 2021.</w:t>
      </w:r>
    </w:p>
    <w:p w:rsidR="005040AD" w:rsidRPr="00C0295B" w:rsidRDefault="005040AD" w:rsidP="005040AD">
      <w:pPr>
        <w:tabs>
          <w:tab w:val="left" w:pos="709"/>
        </w:tabs>
        <w:spacing w:before="240" w:line="276" w:lineRule="auto"/>
        <w:jc w:val="both"/>
        <w:rPr>
          <w:rFonts w:asciiTheme="minorHAnsi" w:hAnsiTheme="minorHAnsi"/>
          <w:lang w:val="sq-AL" w:eastAsia="it-IT"/>
        </w:rPr>
      </w:pPr>
      <w:r w:rsidRPr="00C0295B">
        <w:rPr>
          <w:rFonts w:asciiTheme="minorHAnsi" w:hAnsiTheme="minorHAnsi"/>
          <w:noProof/>
          <w:lang w:val="sq-AL"/>
        </w:rPr>
        <w:t xml:space="preserve">Është me rëndësi </w:t>
      </w:r>
      <w:r>
        <w:rPr>
          <w:rFonts w:asciiTheme="minorHAnsi" w:hAnsiTheme="minorHAnsi"/>
          <w:noProof/>
          <w:lang w:val="sq-AL"/>
        </w:rPr>
        <w:t>t</w:t>
      </w:r>
      <w:r w:rsidR="00F12701">
        <w:rPr>
          <w:rFonts w:asciiTheme="minorHAnsi" w:hAnsiTheme="minorHAnsi"/>
          <w:noProof/>
          <w:lang w:val="sq-AL"/>
        </w:rPr>
        <w:t>ë</w:t>
      </w:r>
      <w:r>
        <w:rPr>
          <w:rFonts w:asciiTheme="minorHAnsi" w:hAnsiTheme="minorHAnsi"/>
          <w:noProof/>
          <w:lang w:val="sq-AL"/>
        </w:rPr>
        <w:t xml:space="preserve"> </w:t>
      </w:r>
      <w:r w:rsidRPr="00C0295B">
        <w:rPr>
          <w:rFonts w:asciiTheme="minorHAnsi" w:hAnsiTheme="minorHAnsi"/>
          <w:noProof/>
          <w:lang w:val="sq-AL"/>
        </w:rPr>
        <w:t>thekso</w:t>
      </w:r>
      <w:r>
        <w:rPr>
          <w:rFonts w:asciiTheme="minorHAnsi" w:hAnsiTheme="minorHAnsi"/>
          <w:noProof/>
          <w:lang w:val="sq-AL"/>
        </w:rPr>
        <w:t>het</w:t>
      </w:r>
      <w:r w:rsidRPr="00C0295B">
        <w:rPr>
          <w:rFonts w:asciiTheme="minorHAnsi" w:hAnsiTheme="minorHAnsi"/>
          <w:noProof/>
          <w:lang w:val="sq-AL"/>
        </w:rPr>
        <w:t xml:space="preserve"> se, përtej rialokimit/balancimit mes zërave, ky akt normativ nuk prek</w:t>
      </w:r>
      <w:r>
        <w:rPr>
          <w:rFonts w:asciiTheme="minorHAnsi" w:hAnsiTheme="minorHAnsi"/>
          <w:noProof/>
          <w:lang w:val="sq-AL"/>
        </w:rPr>
        <w:t>u</w:t>
      </w:r>
      <w:r w:rsidRPr="00C0295B">
        <w:rPr>
          <w:rFonts w:asciiTheme="minorHAnsi" w:hAnsiTheme="minorHAnsi"/>
          <w:noProof/>
          <w:lang w:val="sq-AL"/>
        </w:rPr>
        <w:t xml:space="preserve"> asnjë nga parametrat kyç makro-fiskal, që janë</w:t>
      </w:r>
      <w:r>
        <w:rPr>
          <w:rFonts w:asciiTheme="minorHAnsi" w:hAnsiTheme="minorHAnsi"/>
          <w:noProof/>
          <w:lang w:val="sq-AL"/>
        </w:rPr>
        <w:t>:</w:t>
      </w:r>
      <w:r w:rsidRPr="00C0295B">
        <w:rPr>
          <w:rFonts w:asciiTheme="minorHAnsi" w:hAnsiTheme="minorHAnsi"/>
          <w:noProof/>
          <w:lang w:val="sq-AL"/>
        </w:rPr>
        <w:t xml:space="preserve"> të ardhurat dhe shpenzimet e përgjithshme, deficiti buxhetor dhe borxhi publik, të cilët mbeten të pandryshuar. </w:t>
      </w:r>
      <w:r w:rsidRPr="00C0295B">
        <w:rPr>
          <w:rFonts w:asciiTheme="minorHAnsi" w:hAnsiTheme="minorHAnsi"/>
          <w:b/>
          <w:lang w:val="sq-AL"/>
        </w:rPr>
        <w:t xml:space="preserve">              </w:t>
      </w:r>
    </w:p>
    <w:p w:rsidR="00CB678B" w:rsidRDefault="00CB678B" w:rsidP="007C4932">
      <w:pPr>
        <w:spacing w:line="276" w:lineRule="auto"/>
        <w:jc w:val="both"/>
        <w:rPr>
          <w:rFonts w:asciiTheme="minorHAnsi" w:hAnsiTheme="minorHAnsi"/>
          <w:lang w:val="sq-AL"/>
        </w:rPr>
      </w:pPr>
    </w:p>
    <w:p w:rsidR="000E55F7" w:rsidRDefault="000E55F7" w:rsidP="007C4932">
      <w:pPr>
        <w:spacing w:line="276" w:lineRule="auto"/>
        <w:jc w:val="both"/>
        <w:rPr>
          <w:rFonts w:asciiTheme="minorHAnsi" w:hAnsiTheme="minorHAnsi"/>
          <w:lang w:val="sq-AL"/>
        </w:rPr>
      </w:pPr>
    </w:p>
    <w:p w:rsidR="000E55F7" w:rsidRDefault="000E55F7" w:rsidP="007C4932">
      <w:pPr>
        <w:spacing w:line="276" w:lineRule="auto"/>
        <w:jc w:val="both"/>
        <w:rPr>
          <w:rFonts w:asciiTheme="minorHAnsi" w:hAnsiTheme="minorHAnsi"/>
          <w:lang w:val="sq-AL"/>
        </w:rPr>
      </w:pPr>
    </w:p>
    <w:p w:rsidR="008728CE" w:rsidRDefault="008728CE" w:rsidP="007C4932">
      <w:pPr>
        <w:spacing w:line="276" w:lineRule="auto"/>
        <w:jc w:val="both"/>
        <w:rPr>
          <w:rFonts w:asciiTheme="minorHAnsi" w:hAnsiTheme="minorHAnsi"/>
          <w:lang w:val="sq-AL"/>
        </w:rPr>
      </w:pPr>
    </w:p>
    <w:p w:rsidR="00CB678B" w:rsidRDefault="00CB678B" w:rsidP="00CB678B">
      <w:pPr>
        <w:spacing w:line="276" w:lineRule="auto"/>
        <w:jc w:val="both"/>
        <w:rPr>
          <w:rFonts w:asciiTheme="minorHAnsi" w:hAnsiTheme="minorHAnsi"/>
          <w:u w:val="single"/>
          <w:lang w:val="sq-AL"/>
        </w:rPr>
      </w:pPr>
      <w:r w:rsidRPr="006C6319">
        <w:rPr>
          <w:rFonts w:asciiTheme="minorHAnsi" w:hAnsiTheme="minorHAnsi"/>
          <w:u w:val="single"/>
          <w:lang w:val="sq-AL"/>
        </w:rPr>
        <w:lastRenderedPageBreak/>
        <w:t>Akti Normativ nr.</w:t>
      </w:r>
      <w:r>
        <w:rPr>
          <w:rFonts w:asciiTheme="minorHAnsi" w:hAnsiTheme="minorHAnsi"/>
          <w:u w:val="single"/>
          <w:lang w:val="sq-AL"/>
        </w:rPr>
        <w:t>18</w:t>
      </w:r>
      <w:r w:rsidRPr="006C6319">
        <w:rPr>
          <w:rFonts w:asciiTheme="minorHAnsi" w:hAnsiTheme="minorHAnsi"/>
          <w:u w:val="single"/>
          <w:lang w:val="sq-AL"/>
        </w:rPr>
        <w:t xml:space="preserve"> dat</w:t>
      </w:r>
      <w:r>
        <w:rPr>
          <w:rFonts w:asciiTheme="minorHAnsi" w:hAnsiTheme="minorHAnsi"/>
          <w:u w:val="single"/>
          <w:lang w:val="sq-AL"/>
        </w:rPr>
        <w:t>ë</w:t>
      </w:r>
      <w:r w:rsidRPr="006C6319">
        <w:rPr>
          <w:rFonts w:asciiTheme="minorHAnsi" w:hAnsiTheme="minorHAnsi"/>
          <w:u w:val="single"/>
          <w:lang w:val="sq-AL"/>
        </w:rPr>
        <w:t xml:space="preserve"> </w:t>
      </w:r>
      <w:r>
        <w:rPr>
          <w:rFonts w:asciiTheme="minorHAnsi" w:hAnsiTheme="minorHAnsi"/>
          <w:u w:val="single"/>
          <w:lang w:val="sq-AL"/>
        </w:rPr>
        <w:t>12</w:t>
      </w:r>
      <w:r w:rsidRPr="006C6319">
        <w:rPr>
          <w:rFonts w:asciiTheme="minorHAnsi" w:hAnsiTheme="minorHAnsi"/>
          <w:u w:val="single"/>
          <w:lang w:val="sq-AL"/>
        </w:rPr>
        <w:t>.0</w:t>
      </w:r>
      <w:r>
        <w:rPr>
          <w:rFonts w:asciiTheme="minorHAnsi" w:hAnsiTheme="minorHAnsi"/>
          <w:u w:val="single"/>
          <w:lang w:val="sq-AL"/>
        </w:rPr>
        <w:t>4</w:t>
      </w:r>
      <w:r w:rsidRPr="006C6319">
        <w:rPr>
          <w:rFonts w:asciiTheme="minorHAnsi" w:hAnsiTheme="minorHAnsi"/>
          <w:u w:val="single"/>
          <w:lang w:val="sq-AL"/>
        </w:rPr>
        <w:t>.202</w:t>
      </w:r>
      <w:r>
        <w:rPr>
          <w:rFonts w:asciiTheme="minorHAnsi" w:hAnsiTheme="minorHAnsi"/>
          <w:u w:val="single"/>
          <w:lang w:val="sq-AL"/>
        </w:rPr>
        <w:t>1</w:t>
      </w:r>
      <w:r w:rsidRPr="006C6319">
        <w:rPr>
          <w:rFonts w:asciiTheme="minorHAnsi" w:hAnsiTheme="minorHAnsi"/>
          <w:u w:val="single"/>
          <w:lang w:val="sq-AL"/>
        </w:rPr>
        <w:t>:</w:t>
      </w:r>
    </w:p>
    <w:p w:rsidR="00756EAE" w:rsidRPr="00756EAE" w:rsidRDefault="00756EAE" w:rsidP="00756EAE">
      <w:pPr>
        <w:spacing w:before="240" w:line="276" w:lineRule="auto"/>
        <w:jc w:val="both"/>
        <w:rPr>
          <w:rFonts w:asciiTheme="minorHAnsi" w:hAnsiTheme="minorHAnsi"/>
          <w:lang w:val="sq-AL" w:eastAsia="ja-JP"/>
        </w:rPr>
      </w:pPr>
      <w:r w:rsidRPr="00756EAE">
        <w:rPr>
          <w:rFonts w:asciiTheme="minorHAnsi" w:hAnsiTheme="minorHAnsi"/>
          <w:lang w:val="sq-AL" w:eastAsia="ja-JP"/>
        </w:rPr>
        <w:t>Këshilli i Ministrave, me propozim të Ministrisë së Financave dhe Ekonomisë, ndërm</w:t>
      </w:r>
      <w:r>
        <w:rPr>
          <w:rFonts w:asciiTheme="minorHAnsi" w:hAnsiTheme="minorHAnsi"/>
          <w:lang w:val="sq-AL" w:eastAsia="ja-JP"/>
        </w:rPr>
        <w:t>o</w:t>
      </w:r>
      <w:r w:rsidRPr="00756EAE">
        <w:rPr>
          <w:rFonts w:asciiTheme="minorHAnsi" w:hAnsiTheme="minorHAnsi"/>
          <w:lang w:val="sq-AL" w:eastAsia="ja-JP"/>
        </w:rPr>
        <w:t>r</w:t>
      </w:r>
      <w:r>
        <w:rPr>
          <w:rFonts w:asciiTheme="minorHAnsi" w:hAnsiTheme="minorHAnsi"/>
          <w:lang w:val="sq-AL" w:eastAsia="ja-JP"/>
        </w:rPr>
        <w:t>i</w:t>
      </w:r>
      <w:r w:rsidRPr="00756EAE">
        <w:rPr>
          <w:rFonts w:asciiTheme="minorHAnsi" w:hAnsiTheme="minorHAnsi"/>
          <w:lang w:val="sq-AL" w:eastAsia="ja-JP"/>
        </w:rPr>
        <w:t xml:space="preserve"> procesin dhe përgatit</w:t>
      </w:r>
      <w:r>
        <w:rPr>
          <w:rFonts w:asciiTheme="minorHAnsi" w:hAnsiTheme="minorHAnsi"/>
          <w:lang w:val="sq-AL" w:eastAsia="ja-JP"/>
        </w:rPr>
        <w:t>i</w:t>
      </w:r>
      <w:r w:rsidRPr="00756EAE">
        <w:rPr>
          <w:rFonts w:asciiTheme="minorHAnsi" w:hAnsiTheme="minorHAnsi"/>
          <w:lang w:val="sq-AL" w:eastAsia="ja-JP"/>
        </w:rPr>
        <w:t xml:space="preserve"> skenarin e rishikimit të tretë të buxhetit 2021, përmes Aktit Normativ nr.18 datë 12.04.2021 “</w:t>
      </w:r>
      <w:r w:rsidRPr="00756EAE">
        <w:rPr>
          <w:rFonts w:asciiTheme="minorHAnsi" w:hAnsiTheme="minorHAnsi"/>
          <w:i/>
          <w:lang w:val="sq-AL" w:eastAsia="ja-JP"/>
        </w:rPr>
        <w:t>Për disa ndryshime në Ligjin nr.137/2020 “Për buxhetin e vitit 2021, i ndryshuar</w:t>
      </w:r>
      <w:r w:rsidRPr="00756EAE">
        <w:rPr>
          <w:rFonts w:asciiTheme="minorHAnsi" w:hAnsiTheme="minorHAnsi"/>
          <w:lang w:val="sq-AL" w:eastAsia="ja-JP"/>
        </w:rPr>
        <w:t xml:space="preserve">”. </w:t>
      </w:r>
    </w:p>
    <w:p w:rsidR="00756EAE" w:rsidRPr="00756EAE" w:rsidRDefault="00756EAE" w:rsidP="00756EAE">
      <w:pPr>
        <w:spacing w:before="240" w:line="276" w:lineRule="auto"/>
        <w:jc w:val="both"/>
        <w:rPr>
          <w:rFonts w:asciiTheme="minorHAnsi" w:hAnsiTheme="minorHAnsi"/>
          <w:lang w:val="sq-AL" w:eastAsia="ja-JP"/>
        </w:rPr>
      </w:pPr>
      <w:r>
        <w:rPr>
          <w:rFonts w:asciiTheme="minorHAnsi" w:hAnsiTheme="minorHAnsi"/>
          <w:lang w:val="sq-AL" w:eastAsia="ja-JP"/>
        </w:rPr>
        <w:t>N</w:t>
      </w:r>
      <w:r w:rsidRPr="00756EAE">
        <w:rPr>
          <w:rFonts w:asciiTheme="minorHAnsi" w:hAnsiTheme="minorHAnsi"/>
          <w:lang w:val="sq-AL" w:eastAsia="ja-JP"/>
        </w:rPr>
        <w:t>jë nga prioritet e deklaruara të Qeverisë Shqiptare, në mbeshtetje të rekomandimeve dhe sugjerimeve të ekspertëve të OBSH dhe Komitetit të Ekpertëve, është vaksinimi masiv i popullatës si e vetmja pergjigje ndaj virusit Covid-19 në një kohë sa më të shpejtë. Rrjedhimisht, në përmbushje të prioriteteve të përcaktuara në Strategjinë e Kombetare të Vaksinimit, për të arritur imunizimin e të gjithë popullatës së vendit, MSHMS dhe Komiteti përkatës vendos</w:t>
      </w:r>
      <w:r>
        <w:rPr>
          <w:rFonts w:asciiTheme="minorHAnsi" w:hAnsiTheme="minorHAnsi"/>
          <w:lang w:val="sq-AL" w:eastAsia="ja-JP"/>
        </w:rPr>
        <w:t>i</w:t>
      </w:r>
      <w:r w:rsidRPr="00756EAE">
        <w:rPr>
          <w:rFonts w:asciiTheme="minorHAnsi" w:hAnsiTheme="minorHAnsi"/>
          <w:lang w:val="sq-AL" w:eastAsia="ja-JP"/>
        </w:rPr>
        <w:t xml:space="preserve"> si objektiv vaksinimin e 2.2 milion qytetarëve shqiptarë, për të cilët nevojiten 4.4 milion doza vaksina.</w:t>
      </w:r>
      <w:r>
        <w:rPr>
          <w:rFonts w:asciiTheme="minorHAnsi" w:hAnsiTheme="minorHAnsi"/>
          <w:lang w:val="sq-AL" w:eastAsia="ja-JP"/>
        </w:rPr>
        <w:t xml:space="preserve"> </w:t>
      </w:r>
      <w:r w:rsidRPr="00756EAE">
        <w:rPr>
          <w:rFonts w:asciiTheme="minorHAnsi" w:hAnsiTheme="minorHAnsi"/>
          <w:lang w:val="sq-AL" w:eastAsia="ja-JP"/>
        </w:rPr>
        <w:t>Sipas shkresës zyrtare të MSHMS, rezulton</w:t>
      </w:r>
      <w:r>
        <w:rPr>
          <w:rFonts w:asciiTheme="minorHAnsi" w:hAnsiTheme="minorHAnsi"/>
          <w:lang w:val="sq-AL" w:eastAsia="ja-JP"/>
        </w:rPr>
        <w:t>te</w:t>
      </w:r>
      <w:r w:rsidRPr="00756EAE">
        <w:rPr>
          <w:rFonts w:asciiTheme="minorHAnsi" w:hAnsiTheme="minorHAnsi"/>
          <w:lang w:val="sq-AL" w:eastAsia="ja-JP"/>
        </w:rPr>
        <w:t xml:space="preserve"> se për përmbushjen e objektivit të imunizimit ndaj </w:t>
      </w:r>
      <w:r>
        <w:rPr>
          <w:rFonts w:asciiTheme="minorHAnsi" w:hAnsiTheme="minorHAnsi"/>
          <w:lang w:val="sq-AL" w:eastAsia="ja-JP"/>
        </w:rPr>
        <w:t xml:space="preserve">         </w:t>
      </w:r>
      <w:r w:rsidRPr="00756EAE">
        <w:rPr>
          <w:rFonts w:asciiTheme="minorHAnsi" w:hAnsiTheme="minorHAnsi"/>
          <w:lang w:val="sq-AL" w:eastAsia="ja-JP"/>
        </w:rPr>
        <w:t xml:space="preserve">Covid-19 </w:t>
      </w:r>
      <w:r>
        <w:rPr>
          <w:rFonts w:asciiTheme="minorHAnsi" w:hAnsiTheme="minorHAnsi"/>
          <w:lang w:val="sq-AL" w:eastAsia="ja-JP"/>
        </w:rPr>
        <w:t>nevojiteshin</w:t>
      </w:r>
      <w:r w:rsidRPr="00756EAE">
        <w:rPr>
          <w:rFonts w:asciiTheme="minorHAnsi" w:hAnsiTheme="minorHAnsi"/>
          <w:lang w:val="sq-AL" w:eastAsia="ja-JP"/>
        </w:rPr>
        <w:t xml:space="preserve"> dhe 2.2 milion doza të tjera vaksine, që duke marrë parasysh çmimet e vaksinave, do të kërkonte një shtesë në buxhetin e MSHMS prej rreth 2 miliardë lekë.</w:t>
      </w:r>
      <w:r w:rsidR="00F12701">
        <w:rPr>
          <w:rFonts w:asciiTheme="minorHAnsi" w:hAnsiTheme="minorHAnsi"/>
          <w:lang w:val="sq-AL" w:eastAsia="ja-JP"/>
        </w:rPr>
        <w:t xml:space="preserve"> </w:t>
      </w:r>
      <w:r w:rsidRPr="00756EAE">
        <w:rPr>
          <w:rFonts w:asciiTheme="minorHAnsi" w:hAnsiTheme="minorHAnsi"/>
          <w:lang w:val="sq-AL" w:eastAsia="ja-JP"/>
        </w:rPr>
        <w:t>Në këto kushte, Ministria e Financave dhe Ekonomisë, bazuar në analizat dhe vlerësimet e saj mbi ecurinë e treguesve të buxhetit 2021, si edhe pritshmërinë e performancës së tyre deri në fund të vitit 2021, i paraqiti Këshillit të Ministrave këtë Akt Normativ i cili mundëson</w:t>
      </w:r>
      <w:r>
        <w:rPr>
          <w:rFonts w:asciiTheme="minorHAnsi" w:hAnsiTheme="minorHAnsi"/>
          <w:lang w:val="sq-AL" w:eastAsia="ja-JP"/>
        </w:rPr>
        <w:t>te</w:t>
      </w:r>
      <w:r w:rsidRPr="00756EAE">
        <w:rPr>
          <w:rFonts w:asciiTheme="minorHAnsi" w:hAnsiTheme="minorHAnsi"/>
          <w:lang w:val="sq-AL" w:eastAsia="ja-JP"/>
        </w:rPr>
        <w:t xml:space="preserve"> dhe garanton</w:t>
      </w:r>
      <w:r>
        <w:rPr>
          <w:rFonts w:asciiTheme="minorHAnsi" w:hAnsiTheme="minorHAnsi"/>
          <w:lang w:val="sq-AL" w:eastAsia="ja-JP"/>
        </w:rPr>
        <w:t>te</w:t>
      </w:r>
      <w:r w:rsidRPr="00756EAE">
        <w:rPr>
          <w:rFonts w:asciiTheme="minorHAnsi" w:hAnsiTheme="minorHAnsi"/>
          <w:lang w:val="sq-AL" w:eastAsia="ja-JP"/>
        </w:rPr>
        <w:t xml:space="preserve"> financimin e nevojshëm për shpenzimet anti-Covid19, </w:t>
      </w:r>
      <w:r>
        <w:rPr>
          <w:rFonts w:asciiTheme="minorHAnsi" w:hAnsiTheme="minorHAnsi"/>
          <w:lang w:val="sq-AL" w:eastAsia="ja-JP"/>
        </w:rPr>
        <w:t>si</w:t>
      </w:r>
      <w:r w:rsidRPr="00756EAE">
        <w:rPr>
          <w:rFonts w:asciiTheme="minorHAnsi" w:hAnsiTheme="minorHAnsi"/>
          <w:lang w:val="sq-AL" w:eastAsia="ja-JP"/>
        </w:rPr>
        <w:t xml:space="preserve"> një prioritet </w:t>
      </w:r>
      <w:r>
        <w:rPr>
          <w:rFonts w:asciiTheme="minorHAnsi" w:hAnsiTheme="minorHAnsi"/>
          <w:lang w:val="sq-AL" w:eastAsia="ja-JP"/>
        </w:rPr>
        <w:t>i</w:t>
      </w:r>
      <w:r w:rsidRPr="00756EAE">
        <w:rPr>
          <w:rFonts w:asciiTheme="minorHAnsi" w:hAnsiTheme="minorHAnsi"/>
          <w:lang w:val="sq-AL" w:eastAsia="ja-JP"/>
        </w:rPr>
        <w:t xml:space="preserve"> qënësishëm për Qeverinë gjatë vitit 2021.</w:t>
      </w:r>
      <w:r w:rsidR="00F12701">
        <w:rPr>
          <w:rFonts w:asciiTheme="minorHAnsi" w:hAnsiTheme="minorHAnsi"/>
          <w:lang w:val="sq-AL" w:eastAsia="ja-JP"/>
        </w:rPr>
        <w:t xml:space="preserve"> </w:t>
      </w:r>
      <w:r w:rsidRPr="00756EAE">
        <w:rPr>
          <w:rFonts w:asciiTheme="minorHAnsi" w:hAnsiTheme="minorHAnsi"/>
          <w:lang w:val="sq-AL" w:eastAsia="ja-JP"/>
        </w:rPr>
        <w:t>Duke qenë përballë një situate dinamike, si nga pikëpamja e ecurisë së virulencës Covid19, dhe rrjedhimisht edhe nga pikëpamja e masave të Qeverisë për sigurimin e suportit të nevojshëm financiar për këtë qëllim në tërësi dhe vaksinimin në veçanti, u pa e arsyeshme që përmes këtij akti normativ të rritej kufiri i rezervës së buxhetit të shtetit dhe jo drejtpërdrejtë akordimi i fondeve për MSHMS. Kjo, me qëllim pasjen e një fleksibiliteti eventual në përdorimin e këtyre fondeve, rast pas rasti, sipas nevojave që mund të shfaqen në vijim.</w:t>
      </w:r>
    </w:p>
    <w:p w:rsidR="00756EAE" w:rsidRPr="00756EAE" w:rsidRDefault="00756EAE" w:rsidP="00756EAE">
      <w:pPr>
        <w:spacing w:before="240" w:line="276" w:lineRule="auto"/>
        <w:jc w:val="both"/>
        <w:rPr>
          <w:rFonts w:asciiTheme="minorHAnsi" w:hAnsiTheme="minorHAnsi"/>
          <w:lang w:val="sq-AL"/>
        </w:rPr>
      </w:pPr>
      <w:r w:rsidRPr="00756EAE">
        <w:rPr>
          <w:rFonts w:asciiTheme="minorHAnsi" w:hAnsiTheme="minorHAnsi"/>
          <w:lang w:val="sq-AL"/>
        </w:rPr>
        <w:t xml:space="preserve">Nisur nga ky këndvështrim dhe referuar sa mësipër parashtruar akti normativ i përgatitur nga MFE dhe i miratuar nga Qeveria, </w:t>
      </w:r>
      <w:r w:rsidRPr="00756EAE">
        <w:rPr>
          <w:rFonts w:asciiTheme="minorHAnsi" w:hAnsiTheme="minorHAnsi"/>
          <w:noProof/>
          <w:lang w:val="sq-AL"/>
        </w:rPr>
        <w:t xml:space="preserve">përcaktonte vetëm një ndryshim </w:t>
      </w:r>
      <w:r w:rsidRPr="00756EAE">
        <w:rPr>
          <w:rFonts w:asciiTheme="minorHAnsi" w:hAnsiTheme="minorHAnsi"/>
          <w:lang w:val="sq-AL"/>
        </w:rPr>
        <w:t>i cili konsiston</w:t>
      </w:r>
      <w:r>
        <w:rPr>
          <w:rFonts w:asciiTheme="minorHAnsi" w:hAnsiTheme="minorHAnsi"/>
          <w:lang w:val="sq-AL"/>
        </w:rPr>
        <w:t>te</w:t>
      </w:r>
      <w:r w:rsidRPr="00756EAE">
        <w:rPr>
          <w:rFonts w:asciiTheme="minorHAnsi" w:hAnsiTheme="minorHAnsi"/>
          <w:lang w:val="sq-AL"/>
        </w:rPr>
        <w:t xml:space="preserve"> në:</w:t>
      </w:r>
    </w:p>
    <w:p w:rsidR="00756EAE" w:rsidRPr="00756EAE" w:rsidRDefault="00756EAE" w:rsidP="00756EAE">
      <w:pPr>
        <w:pStyle w:val="ListParagraph"/>
        <w:widowControl w:val="0"/>
        <w:tabs>
          <w:tab w:val="left" w:pos="360"/>
          <w:tab w:val="left" w:pos="1170"/>
        </w:tabs>
        <w:autoSpaceDE w:val="0"/>
        <w:autoSpaceDN w:val="0"/>
        <w:adjustRightInd w:val="0"/>
        <w:spacing w:line="276" w:lineRule="auto"/>
        <w:ind w:left="360"/>
        <w:jc w:val="both"/>
        <w:rPr>
          <w:rFonts w:asciiTheme="minorHAnsi" w:hAnsiTheme="minorHAnsi"/>
          <w:i/>
          <w:sz w:val="8"/>
          <w:szCs w:val="8"/>
          <w:lang w:val="sq-AL"/>
        </w:rPr>
      </w:pPr>
    </w:p>
    <w:p w:rsidR="00756EAE" w:rsidRPr="00756EAE" w:rsidRDefault="00756EAE" w:rsidP="007F0B61">
      <w:pPr>
        <w:pStyle w:val="ListParagraph"/>
        <w:widowControl w:val="0"/>
        <w:numPr>
          <w:ilvl w:val="1"/>
          <w:numId w:val="13"/>
        </w:numPr>
        <w:tabs>
          <w:tab w:val="left" w:pos="360"/>
          <w:tab w:val="left" w:pos="1170"/>
        </w:tabs>
        <w:autoSpaceDE w:val="0"/>
        <w:autoSpaceDN w:val="0"/>
        <w:adjustRightInd w:val="0"/>
        <w:spacing w:line="276" w:lineRule="auto"/>
        <w:ind w:left="360"/>
        <w:jc w:val="both"/>
        <w:rPr>
          <w:rFonts w:asciiTheme="minorHAnsi" w:hAnsiTheme="minorHAnsi"/>
          <w:i/>
          <w:szCs w:val="22"/>
          <w:lang w:val="sq-AL"/>
        </w:rPr>
      </w:pPr>
      <w:r w:rsidRPr="00756EAE">
        <w:rPr>
          <w:rFonts w:asciiTheme="minorHAnsi" w:hAnsiTheme="minorHAnsi"/>
          <w:i/>
          <w:szCs w:val="22"/>
          <w:lang w:val="sq-AL"/>
        </w:rPr>
        <w:t>Shtesën me 2 miliardë lekë në Fondin Rezervë të Këshillit të Ministrave – Me qëllim përballimin e shpenzimeve të blerjes së vaksinave gjatë vitit 2021, si edhe të shpenzimeve të tjera eventuale të qeverisë qe lidhen me pandemine Covid19;</w:t>
      </w:r>
    </w:p>
    <w:p w:rsidR="00756EAE" w:rsidRPr="00756EAE" w:rsidRDefault="00756EAE" w:rsidP="00756EAE">
      <w:pPr>
        <w:pStyle w:val="ListParagraph"/>
        <w:widowControl w:val="0"/>
        <w:tabs>
          <w:tab w:val="left" w:pos="360"/>
          <w:tab w:val="left" w:pos="1170"/>
        </w:tabs>
        <w:autoSpaceDE w:val="0"/>
        <w:autoSpaceDN w:val="0"/>
        <w:adjustRightInd w:val="0"/>
        <w:spacing w:line="276" w:lineRule="auto"/>
        <w:ind w:left="360"/>
        <w:jc w:val="both"/>
        <w:rPr>
          <w:rFonts w:asciiTheme="minorHAnsi" w:hAnsiTheme="minorHAnsi"/>
          <w:i/>
          <w:sz w:val="8"/>
          <w:szCs w:val="8"/>
          <w:lang w:val="sq-AL"/>
        </w:rPr>
      </w:pPr>
    </w:p>
    <w:p w:rsidR="00756EAE" w:rsidRPr="00756EAE" w:rsidRDefault="00756EAE" w:rsidP="007F0B61">
      <w:pPr>
        <w:pStyle w:val="ListParagraph"/>
        <w:widowControl w:val="0"/>
        <w:numPr>
          <w:ilvl w:val="1"/>
          <w:numId w:val="13"/>
        </w:numPr>
        <w:tabs>
          <w:tab w:val="left" w:pos="360"/>
          <w:tab w:val="left" w:pos="1170"/>
        </w:tabs>
        <w:autoSpaceDE w:val="0"/>
        <w:autoSpaceDN w:val="0"/>
        <w:adjustRightInd w:val="0"/>
        <w:spacing w:line="276" w:lineRule="auto"/>
        <w:ind w:left="360"/>
        <w:jc w:val="both"/>
        <w:rPr>
          <w:rFonts w:asciiTheme="minorHAnsi" w:hAnsiTheme="minorHAnsi"/>
          <w:i/>
          <w:szCs w:val="22"/>
          <w:lang w:val="sq-AL"/>
        </w:rPr>
      </w:pPr>
      <w:r w:rsidRPr="00756EAE">
        <w:rPr>
          <w:rFonts w:asciiTheme="minorHAnsi" w:hAnsiTheme="minorHAnsi"/>
          <w:i/>
          <w:szCs w:val="22"/>
          <w:lang w:val="sq-AL"/>
        </w:rPr>
        <w:t>Shtesën në të njëjtën masë, pra 2 miliardë lekë të të ardhurave tatimore – Pas analizës dhe vlerësimeve të MFE lidhur me ecurinë e deritanishme të të ardhurave buxhetore, si edhe pritshmërinë e performancës së tyre deri në fund të vitit 2021, kjo rritje propozohet të behet ne ato zera që kanë shënuar një realizim apo tejkalim të planit të tyre fillestar, përgjatë tre muajve te pare te vitit, dhe konkretisht:</w:t>
      </w:r>
    </w:p>
    <w:p w:rsidR="00756EAE" w:rsidRPr="00A209F7" w:rsidRDefault="00756EAE" w:rsidP="007F0B61">
      <w:pPr>
        <w:pStyle w:val="ListParagraph"/>
        <w:numPr>
          <w:ilvl w:val="0"/>
          <w:numId w:val="65"/>
        </w:numPr>
        <w:spacing w:before="240"/>
        <w:jc w:val="both"/>
        <w:rPr>
          <w:rFonts w:asciiTheme="minorHAnsi" w:hAnsiTheme="minorHAnsi"/>
          <w:i/>
          <w:sz w:val="22"/>
        </w:rPr>
      </w:pPr>
      <w:r w:rsidRPr="00A209F7">
        <w:rPr>
          <w:rFonts w:asciiTheme="minorHAnsi" w:hAnsiTheme="minorHAnsi"/>
          <w:i/>
          <w:sz w:val="22"/>
        </w:rPr>
        <w:t>Kontributet (fondet speciale)</w:t>
      </w:r>
      <w:r w:rsidRPr="00A209F7">
        <w:rPr>
          <w:rFonts w:asciiTheme="minorHAnsi" w:hAnsiTheme="minorHAnsi"/>
          <w:i/>
          <w:sz w:val="22"/>
        </w:rPr>
        <w:tab/>
      </w:r>
      <w:r w:rsidRPr="00A209F7">
        <w:rPr>
          <w:rFonts w:asciiTheme="minorHAnsi" w:hAnsiTheme="minorHAnsi"/>
          <w:i/>
          <w:sz w:val="22"/>
        </w:rPr>
        <w:tab/>
        <w:t>+800 milionë leke</w:t>
      </w:r>
    </w:p>
    <w:p w:rsidR="00756EAE" w:rsidRPr="00A209F7" w:rsidRDefault="00756EAE" w:rsidP="007F0B61">
      <w:pPr>
        <w:pStyle w:val="ListParagraph"/>
        <w:numPr>
          <w:ilvl w:val="0"/>
          <w:numId w:val="65"/>
        </w:numPr>
        <w:spacing w:before="240"/>
        <w:jc w:val="both"/>
        <w:rPr>
          <w:rFonts w:asciiTheme="minorHAnsi" w:hAnsiTheme="minorHAnsi"/>
          <w:i/>
          <w:sz w:val="22"/>
        </w:rPr>
      </w:pPr>
      <w:r w:rsidRPr="00A209F7">
        <w:rPr>
          <w:rFonts w:asciiTheme="minorHAnsi" w:hAnsiTheme="minorHAnsi"/>
          <w:i/>
          <w:sz w:val="22"/>
        </w:rPr>
        <w:t xml:space="preserve">Tatimi mbi Fitimin            </w:t>
      </w:r>
      <w:r w:rsidRPr="00A209F7">
        <w:rPr>
          <w:rFonts w:asciiTheme="minorHAnsi" w:hAnsiTheme="minorHAnsi"/>
          <w:i/>
          <w:sz w:val="22"/>
        </w:rPr>
        <w:tab/>
      </w:r>
      <w:r w:rsidRPr="00A209F7">
        <w:rPr>
          <w:rFonts w:asciiTheme="minorHAnsi" w:hAnsiTheme="minorHAnsi"/>
          <w:i/>
          <w:sz w:val="22"/>
        </w:rPr>
        <w:tab/>
        <w:t>+600 milionë leke</w:t>
      </w:r>
    </w:p>
    <w:p w:rsidR="00756EAE" w:rsidRPr="00A209F7" w:rsidRDefault="00756EAE" w:rsidP="007F0B61">
      <w:pPr>
        <w:pStyle w:val="ListParagraph"/>
        <w:numPr>
          <w:ilvl w:val="0"/>
          <w:numId w:val="65"/>
        </w:numPr>
        <w:spacing w:before="240"/>
        <w:jc w:val="both"/>
        <w:rPr>
          <w:rFonts w:asciiTheme="minorHAnsi" w:hAnsiTheme="minorHAnsi"/>
          <w:i/>
          <w:sz w:val="22"/>
        </w:rPr>
      </w:pPr>
      <w:r w:rsidRPr="00A209F7">
        <w:rPr>
          <w:rFonts w:asciiTheme="minorHAnsi" w:hAnsiTheme="minorHAnsi"/>
          <w:i/>
          <w:sz w:val="22"/>
        </w:rPr>
        <w:t xml:space="preserve">Akciza                               </w:t>
      </w:r>
      <w:r w:rsidRPr="00A209F7">
        <w:rPr>
          <w:rFonts w:asciiTheme="minorHAnsi" w:hAnsiTheme="minorHAnsi"/>
          <w:i/>
          <w:sz w:val="22"/>
        </w:rPr>
        <w:tab/>
      </w:r>
      <w:r w:rsidRPr="00A209F7">
        <w:rPr>
          <w:rFonts w:asciiTheme="minorHAnsi" w:hAnsiTheme="minorHAnsi"/>
          <w:i/>
          <w:sz w:val="22"/>
        </w:rPr>
        <w:tab/>
        <w:t>+400 milionë leke</w:t>
      </w:r>
    </w:p>
    <w:p w:rsidR="00756EAE" w:rsidRPr="00A209F7" w:rsidRDefault="00756EAE" w:rsidP="007F0B61">
      <w:pPr>
        <w:pStyle w:val="ListParagraph"/>
        <w:numPr>
          <w:ilvl w:val="0"/>
          <w:numId w:val="65"/>
        </w:numPr>
        <w:spacing w:before="240"/>
        <w:jc w:val="both"/>
        <w:rPr>
          <w:rFonts w:asciiTheme="minorHAnsi" w:hAnsiTheme="minorHAnsi"/>
          <w:i/>
          <w:sz w:val="22"/>
        </w:rPr>
      </w:pPr>
      <w:r w:rsidRPr="00A209F7">
        <w:rPr>
          <w:rFonts w:asciiTheme="minorHAnsi" w:hAnsiTheme="minorHAnsi"/>
          <w:i/>
          <w:sz w:val="22"/>
        </w:rPr>
        <w:t xml:space="preserve">TAP                                   </w:t>
      </w:r>
      <w:r w:rsidRPr="00A209F7">
        <w:rPr>
          <w:rFonts w:asciiTheme="minorHAnsi" w:hAnsiTheme="minorHAnsi"/>
          <w:i/>
          <w:sz w:val="22"/>
        </w:rPr>
        <w:tab/>
      </w:r>
      <w:r w:rsidRPr="00A209F7">
        <w:rPr>
          <w:rFonts w:asciiTheme="minorHAnsi" w:hAnsiTheme="minorHAnsi"/>
          <w:i/>
          <w:sz w:val="22"/>
        </w:rPr>
        <w:tab/>
        <w:t>+200 milionë leke</w:t>
      </w:r>
    </w:p>
    <w:p w:rsidR="00756EAE" w:rsidRPr="00756EAE" w:rsidRDefault="00756EAE" w:rsidP="00CD367E">
      <w:pPr>
        <w:tabs>
          <w:tab w:val="left" w:pos="709"/>
        </w:tabs>
        <w:spacing w:before="240" w:line="276" w:lineRule="auto"/>
        <w:jc w:val="both"/>
        <w:rPr>
          <w:rFonts w:asciiTheme="minorHAnsi" w:hAnsiTheme="minorHAnsi"/>
          <w:lang w:val="sq-AL"/>
        </w:rPr>
      </w:pPr>
      <w:r w:rsidRPr="00756EAE">
        <w:rPr>
          <w:rFonts w:asciiTheme="minorHAnsi" w:hAnsiTheme="minorHAnsi"/>
          <w:noProof/>
          <w:lang w:val="sq-AL"/>
        </w:rPr>
        <w:t xml:space="preserve">Në përfundim, është me rëndësi </w:t>
      </w:r>
      <w:r>
        <w:rPr>
          <w:rFonts w:asciiTheme="minorHAnsi" w:hAnsiTheme="minorHAnsi"/>
          <w:noProof/>
          <w:lang w:val="sq-AL"/>
        </w:rPr>
        <w:t>t</w:t>
      </w:r>
      <w:r w:rsidR="00F12701">
        <w:rPr>
          <w:rFonts w:asciiTheme="minorHAnsi" w:hAnsiTheme="minorHAnsi"/>
          <w:noProof/>
          <w:lang w:val="sq-AL"/>
        </w:rPr>
        <w:t>ë</w:t>
      </w:r>
      <w:r w:rsidRPr="00756EAE">
        <w:rPr>
          <w:rFonts w:asciiTheme="minorHAnsi" w:hAnsiTheme="minorHAnsi"/>
          <w:noProof/>
          <w:lang w:val="sq-AL"/>
        </w:rPr>
        <w:t xml:space="preserve"> rithekso</w:t>
      </w:r>
      <w:r>
        <w:rPr>
          <w:rFonts w:asciiTheme="minorHAnsi" w:hAnsiTheme="minorHAnsi"/>
          <w:noProof/>
          <w:lang w:val="sq-AL"/>
        </w:rPr>
        <w:t>het</w:t>
      </w:r>
      <w:r w:rsidRPr="00756EAE">
        <w:rPr>
          <w:rFonts w:asciiTheme="minorHAnsi" w:hAnsiTheme="minorHAnsi"/>
          <w:noProof/>
          <w:lang w:val="sq-AL"/>
        </w:rPr>
        <w:t xml:space="preserve"> se përtej rialokimit/balancimit mes zërave, ky akt normativ nuk prek</w:t>
      </w:r>
      <w:r>
        <w:rPr>
          <w:rFonts w:asciiTheme="minorHAnsi" w:hAnsiTheme="minorHAnsi"/>
          <w:noProof/>
          <w:lang w:val="sq-AL"/>
        </w:rPr>
        <w:t>u</w:t>
      </w:r>
      <w:r w:rsidRPr="00756EAE">
        <w:rPr>
          <w:rFonts w:asciiTheme="minorHAnsi" w:hAnsiTheme="minorHAnsi"/>
          <w:noProof/>
          <w:lang w:val="sq-AL"/>
        </w:rPr>
        <w:t xml:space="preserve"> parametrat kyç makro-fiskal, siç janë: deficiti buxhetor dhe borxhi publik, të cilët mbeten të pandryshuar. </w:t>
      </w:r>
      <w:r w:rsidRPr="00756EAE">
        <w:rPr>
          <w:rFonts w:asciiTheme="minorHAnsi" w:hAnsiTheme="minorHAnsi"/>
          <w:lang w:val="sq-AL"/>
        </w:rPr>
        <w:t xml:space="preserve">       </w:t>
      </w:r>
    </w:p>
    <w:p w:rsidR="00CB678B" w:rsidRPr="006C6319" w:rsidRDefault="00CB678B" w:rsidP="00CB678B">
      <w:pPr>
        <w:spacing w:line="276" w:lineRule="auto"/>
        <w:jc w:val="both"/>
        <w:rPr>
          <w:rFonts w:asciiTheme="minorHAnsi" w:hAnsiTheme="minorHAnsi"/>
          <w:u w:val="single"/>
          <w:lang w:val="sq-AL"/>
        </w:rPr>
      </w:pPr>
      <w:r w:rsidRPr="006C6319">
        <w:rPr>
          <w:rFonts w:asciiTheme="minorHAnsi" w:hAnsiTheme="minorHAnsi"/>
          <w:u w:val="single"/>
          <w:lang w:val="sq-AL"/>
        </w:rPr>
        <w:lastRenderedPageBreak/>
        <w:t>Akti Normativ nr.</w:t>
      </w:r>
      <w:r>
        <w:rPr>
          <w:rFonts w:asciiTheme="minorHAnsi" w:hAnsiTheme="minorHAnsi"/>
          <w:u w:val="single"/>
          <w:lang w:val="sq-AL"/>
        </w:rPr>
        <w:t>26</w:t>
      </w:r>
      <w:r w:rsidRPr="006C6319">
        <w:rPr>
          <w:rFonts w:asciiTheme="minorHAnsi" w:hAnsiTheme="minorHAnsi"/>
          <w:u w:val="single"/>
          <w:lang w:val="sq-AL"/>
        </w:rPr>
        <w:t xml:space="preserve"> dat</w:t>
      </w:r>
      <w:r>
        <w:rPr>
          <w:rFonts w:asciiTheme="minorHAnsi" w:hAnsiTheme="minorHAnsi"/>
          <w:u w:val="single"/>
          <w:lang w:val="sq-AL"/>
        </w:rPr>
        <w:t>ë</w:t>
      </w:r>
      <w:r w:rsidRPr="006C6319">
        <w:rPr>
          <w:rFonts w:asciiTheme="minorHAnsi" w:hAnsiTheme="minorHAnsi"/>
          <w:u w:val="single"/>
          <w:lang w:val="sq-AL"/>
        </w:rPr>
        <w:t xml:space="preserve"> </w:t>
      </w:r>
      <w:r>
        <w:rPr>
          <w:rFonts w:asciiTheme="minorHAnsi" w:hAnsiTheme="minorHAnsi"/>
          <w:u w:val="single"/>
          <w:lang w:val="sq-AL"/>
        </w:rPr>
        <w:t>22</w:t>
      </w:r>
      <w:r w:rsidRPr="006C6319">
        <w:rPr>
          <w:rFonts w:asciiTheme="minorHAnsi" w:hAnsiTheme="minorHAnsi"/>
          <w:u w:val="single"/>
          <w:lang w:val="sq-AL"/>
        </w:rPr>
        <w:t>.0</w:t>
      </w:r>
      <w:r>
        <w:rPr>
          <w:rFonts w:asciiTheme="minorHAnsi" w:hAnsiTheme="minorHAnsi"/>
          <w:u w:val="single"/>
          <w:lang w:val="sq-AL"/>
        </w:rPr>
        <w:t>6</w:t>
      </w:r>
      <w:r w:rsidRPr="006C6319">
        <w:rPr>
          <w:rFonts w:asciiTheme="minorHAnsi" w:hAnsiTheme="minorHAnsi"/>
          <w:u w:val="single"/>
          <w:lang w:val="sq-AL"/>
        </w:rPr>
        <w:t>.202</w:t>
      </w:r>
      <w:r>
        <w:rPr>
          <w:rFonts w:asciiTheme="minorHAnsi" w:hAnsiTheme="minorHAnsi"/>
          <w:u w:val="single"/>
          <w:lang w:val="sq-AL"/>
        </w:rPr>
        <w:t>1</w:t>
      </w:r>
      <w:r w:rsidRPr="006C6319">
        <w:rPr>
          <w:rFonts w:asciiTheme="minorHAnsi" w:hAnsiTheme="minorHAnsi"/>
          <w:u w:val="single"/>
          <w:lang w:val="sq-AL"/>
        </w:rPr>
        <w:t>:</w:t>
      </w:r>
    </w:p>
    <w:p w:rsidR="00117B74" w:rsidRPr="00117B74" w:rsidRDefault="00117B74" w:rsidP="00F12701">
      <w:pPr>
        <w:tabs>
          <w:tab w:val="left" w:pos="709"/>
        </w:tabs>
        <w:spacing w:before="240" w:line="276" w:lineRule="auto"/>
        <w:jc w:val="both"/>
        <w:rPr>
          <w:rFonts w:asciiTheme="minorHAnsi" w:hAnsiTheme="minorHAnsi"/>
          <w:noProof/>
          <w:szCs w:val="28"/>
          <w:lang w:val="sq-AL"/>
        </w:rPr>
      </w:pPr>
      <w:r>
        <w:rPr>
          <w:rFonts w:asciiTheme="minorHAnsi" w:hAnsiTheme="minorHAnsi"/>
          <w:noProof/>
          <w:szCs w:val="28"/>
          <w:lang w:val="sq-AL"/>
        </w:rPr>
        <w:t>Propozimi i k</w:t>
      </w:r>
      <w:r w:rsidR="00F12701">
        <w:rPr>
          <w:rFonts w:asciiTheme="minorHAnsi" w:hAnsiTheme="minorHAnsi"/>
          <w:noProof/>
          <w:szCs w:val="28"/>
          <w:lang w:val="sq-AL"/>
        </w:rPr>
        <w:t>ë</w:t>
      </w:r>
      <w:r>
        <w:rPr>
          <w:rFonts w:asciiTheme="minorHAnsi" w:hAnsiTheme="minorHAnsi"/>
          <w:noProof/>
          <w:szCs w:val="28"/>
          <w:lang w:val="sq-AL"/>
        </w:rPr>
        <w:t xml:space="preserve">tij </w:t>
      </w:r>
      <w:r w:rsidRPr="00117B74">
        <w:rPr>
          <w:rFonts w:asciiTheme="minorHAnsi" w:hAnsiTheme="minorHAnsi"/>
          <w:noProof/>
          <w:szCs w:val="28"/>
          <w:lang w:val="sq-AL"/>
        </w:rPr>
        <w:t xml:space="preserve">Akti Normativ </w:t>
      </w:r>
      <w:r>
        <w:rPr>
          <w:rFonts w:asciiTheme="minorHAnsi" w:hAnsiTheme="minorHAnsi"/>
          <w:noProof/>
          <w:szCs w:val="28"/>
          <w:lang w:val="sq-AL"/>
        </w:rPr>
        <w:t>erdhi</w:t>
      </w:r>
      <w:r w:rsidRPr="00117B74">
        <w:rPr>
          <w:rFonts w:asciiTheme="minorHAnsi" w:hAnsiTheme="minorHAnsi"/>
          <w:noProof/>
          <w:szCs w:val="28"/>
          <w:lang w:val="sq-AL"/>
        </w:rPr>
        <w:t xml:space="preserve"> </w:t>
      </w:r>
      <w:r w:rsidRPr="00117B74">
        <w:rPr>
          <w:rFonts w:asciiTheme="minorHAnsi" w:hAnsiTheme="minorHAnsi"/>
          <w:szCs w:val="28"/>
          <w:lang w:val="sq-AL"/>
        </w:rPr>
        <w:t xml:space="preserve">pas vlerësimit të ecurisë 5 mujore të treguesve makro-fiskale e buxhetore nga Ministria e Financave dhe Ekonomisë. Mbi kete baze </w:t>
      </w:r>
      <w:r>
        <w:rPr>
          <w:rFonts w:asciiTheme="minorHAnsi" w:hAnsiTheme="minorHAnsi"/>
          <w:szCs w:val="28"/>
          <w:lang w:val="sq-AL"/>
        </w:rPr>
        <w:t>u</w:t>
      </w:r>
      <w:r w:rsidRPr="00117B74">
        <w:rPr>
          <w:rFonts w:asciiTheme="minorHAnsi" w:hAnsiTheme="minorHAnsi"/>
          <w:szCs w:val="28"/>
          <w:lang w:val="sq-AL"/>
        </w:rPr>
        <w:t xml:space="preserve"> ndërm</w:t>
      </w:r>
      <w:r>
        <w:rPr>
          <w:rFonts w:asciiTheme="minorHAnsi" w:hAnsiTheme="minorHAnsi"/>
          <w:szCs w:val="28"/>
          <w:lang w:val="sq-AL"/>
        </w:rPr>
        <w:t>or</w:t>
      </w:r>
      <w:r w:rsidRPr="00117B74">
        <w:rPr>
          <w:rFonts w:asciiTheme="minorHAnsi" w:hAnsiTheme="minorHAnsi"/>
          <w:szCs w:val="28"/>
          <w:lang w:val="sq-AL"/>
        </w:rPr>
        <w:t xml:space="preserve"> procesi i rishikimit të katërt të buxhetit 2021.  Ky rishikim </w:t>
      </w:r>
      <w:r>
        <w:rPr>
          <w:rFonts w:asciiTheme="minorHAnsi" w:hAnsiTheme="minorHAnsi"/>
          <w:szCs w:val="28"/>
          <w:lang w:val="sq-AL"/>
        </w:rPr>
        <w:t xml:space="preserve">u </w:t>
      </w:r>
      <w:r w:rsidRPr="00117B74">
        <w:rPr>
          <w:rFonts w:asciiTheme="minorHAnsi" w:hAnsiTheme="minorHAnsi"/>
          <w:szCs w:val="28"/>
          <w:lang w:val="sq-AL"/>
        </w:rPr>
        <w:t>propoz</w:t>
      </w:r>
      <w:r>
        <w:rPr>
          <w:rFonts w:asciiTheme="minorHAnsi" w:hAnsiTheme="minorHAnsi"/>
          <w:szCs w:val="28"/>
          <w:lang w:val="sq-AL"/>
        </w:rPr>
        <w:t>ua</w:t>
      </w:r>
      <w:r w:rsidRPr="00117B74">
        <w:rPr>
          <w:rFonts w:asciiTheme="minorHAnsi" w:hAnsiTheme="minorHAnsi"/>
          <w:szCs w:val="28"/>
          <w:lang w:val="sq-AL"/>
        </w:rPr>
        <w:t xml:space="preserve"> t’i nënshtrohe</w:t>
      </w:r>
      <w:r>
        <w:rPr>
          <w:rFonts w:asciiTheme="minorHAnsi" w:hAnsiTheme="minorHAnsi"/>
          <w:szCs w:val="28"/>
          <w:lang w:val="sq-AL"/>
        </w:rPr>
        <w:t>j</w:t>
      </w:r>
      <w:r w:rsidRPr="00117B74">
        <w:rPr>
          <w:rFonts w:asciiTheme="minorHAnsi" w:hAnsiTheme="minorHAnsi"/>
          <w:szCs w:val="28"/>
          <w:lang w:val="sq-AL"/>
        </w:rPr>
        <w:t xml:space="preserve"> procedurës së aktit normativ, aspekti i nevojës dhe urgjencës të së cilit lidhe</w:t>
      </w:r>
      <w:r>
        <w:rPr>
          <w:rFonts w:asciiTheme="minorHAnsi" w:hAnsiTheme="minorHAnsi"/>
          <w:szCs w:val="28"/>
          <w:lang w:val="sq-AL"/>
        </w:rPr>
        <w:t>j</w:t>
      </w:r>
      <w:r w:rsidRPr="00117B74">
        <w:rPr>
          <w:rFonts w:asciiTheme="minorHAnsi" w:hAnsiTheme="minorHAnsi"/>
          <w:szCs w:val="28"/>
          <w:lang w:val="sq-AL"/>
        </w:rPr>
        <w:t xml:space="preserve"> me financimin e disa politikave prioritare, ndër të cilat vend kryesor zë garantimi i përmbushjes me sukses së procesit të vaksinimit anti-COVID19. </w:t>
      </w:r>
      <w:bookmarkStart w:id="41" w:name="_Toc368565535"/>
      <w:r w:rsidR="002E7DE0" w:rsidRPr="002E7DE0">
        <w:rPr>
          <w:rFonts w:asciiTheme="minorHAnsi" w:hAnsiTheme="minorHAnsi"/>
          <w:szCs w:val="28"/>
          <w:lang w:val="sq-AL"/>
        </w:rPr>
        <w:t xml:space="preserve">Kjo, sa kohë që risktrukturimi i kabinetit të ri qeveritar pritet të ndodhë jo më herët se muaji </w:t>
      </w:r>
      <w:r w:rsidR="002E7DE0">
        <w:rPr>
          <w:rFonts w:asciiTheme="minorHAnsi" w:hAnsiTheme="minorHAnsi"/>
          <w:szCs w:val="28"/>
          <w:lang w:val="sq-AL"/>
        </w:rPr>
        <w:t>S</w:t>
      </w:r>
      <w:r w:rsidR="002E7DE0" w:rsidRPr="002E7DE0">
        <w:rPr>
          <w:rFonts w:asciiTheme="minorHAnsi" w:hAnsiTheme="minorHAnsi"/>
          <w:szCs w:val="28"/>
          <w:lang w:val="sq-AL"/>
        </w:rPr>
        <w:t>htator 2021, dhe rrjedhimisht është e nevojshme të krijohen parakushtet për përballimin nga Qeveria aktuale të nevojave eventuale për financim buxhetor, gjatë këtij intervali kohor</w:t>
      </w:r>
      <w:r w:rsidR="002E7DE0">
        <w:rPr>
          <w:rFonts w:asciiTheme="minorHAnsi" w:hAnsiTheme="minorHAnsi"/>
          <w:szCs w:val="28"/>
          <w:lang w:val="sq-AL"/>
        </w:rPr>
        <w:t>.</w:t>
      </w:r>
    </w:p>
    <w:p w:rsidR="00117B74" w:rsidRPr="00117B74" w:rsidRDefault="00117B74" w:rsidP="00117B74">
      <w:pPr>
        <w:spacing w:before="240" w:line="276" w:lineRule="auto"/>
        <w:jc w:val="both"/>
        <w:rPr>
          <w:rFonts w:asciiTheme="minorHAnsi" w:hAnsiTheme="minorHAnsi"/>
          <w:szCs w:val="28"/>
          <w:lang w:val="sq-AL"/>
        </w:rPr>
      </w:pPr>
      <w:r w:rsidRPr="00117B74">
        <w:rPr>
          <w:rFonts w:asciiTheme="minorHAnsi" w:hAnsiTheme="minorHAnsi"/>
          <w:szCs w:val="28"/>
          <w:lang w:val="sq-AL"/>
        </w:rPr>
        <w:t>Një nga prioritet e deklaruara të Qeverisë Shqiptare, në mbeshtetje të rekomandimeve dhe sugjerimeve të ekspertëve të OBSH dhe Komitetit të Ekpertëve, është vaksinimi masiv i popullatës, si e vetmja pergjigje ndaj këtij virusi në një kohë sa më të shpejtë, sipas prioriteteve të përcaktuara në Strategjinë e Kombetare të Vaksinimit.</w:t>
      </w:r>
      <w:r w:rsidR="002E7DE0">
        <w:rPr>
          <w:rFonts w:asciiTheme="minorHAnsi" w:hAnsiTheme="minorHAnsi"/>
          <w:szCs w:val="28"/>
          <w:lang w:val="sq-AL"/>
        </w:rPr>
        <w:t xml:space="preserve"> </w:t>
      </w:r>
      <w:r w:rsidR="002E7DE0" w:rsidRPr="002E7DE0">
        <w:rPr>
          <w:rFonts w:asciiTheme="minorHAnsi" w:hAnsiTheme="minorHAnsi"/>
          <w:szCs w:val="28"/>
          <w:lang w:val="sq-AL"/>
        </w:rPr>
        <w:t xml:space="preserve">Sipas MSHMS, deri me sot Qeveria shqiptare ka nenshkruar kontrata per sigurimin e 2.9 milion dozave vaksinave, te detajuara 1.2 milione doza nga kontrata COVAX per nje periudhe 3 vjecare si dhe 1.6 mln doza nga kontrata qe kryesisht perfundojne brenda vitit 2021, si dhe 236,134 doza vaksine donacione. Ndërkohë që, për përmbushjen e objektivit të imunizimit ndaj Covid-19 </w:t>
      </w:r>
      <w:r w:rsidR="002E7DE0">
        <w:rPr>
          <w:rFonts w:asciiTheme="minorHAnsi" w:hAnsiTheme="minorHAnsi"/>
          <w:szCs w:val="28"/>
          <w:lang w:val="sq-AL"/>
        </w:rPr>
        <w:t>(</w:t>
      </w:r>
      <w:r w:rsidR="002E7DE0" w:rsidRPr="002E7DE0">
        <w:rPr>
          <w:rFonts w:asciiTheme="minorHAnsi" w:hAnsiTheme="minorHAnsi"/>
          <w:i/>
          <w:szCs w:val="28"/>
          <w:lang w:val="sq-AL"/>
        </w:rPr>
        <w:t>vaksinimi i 2.2 milion personave, për të cilët nevojiten 4.4 milion doza vaksina</w:t>
      </w:r>
      <w:r w:rsidR="002E7DE0">
        <w:rPr>
          <w:rFonts w:asciiTheme="minorHAnsi" w:hAnsiTheme="minorHAnsi"/>
          <w:szCs w:val="28"/>
          <w:lang w:val="sq-AL"/>
        </w:rPr>
        <w:t>)</w:t>
      </w:r>
      <w:r w:rsidR="002E7DE0" w:rsidRPr="002E7DE0">
        <w:rPr>
          <w:rFonts w:asciiTheme="minorHAnsi" w:hAnsiTheme="minorHAnsi"/>
          <w:szCs w:val="28"/>
          <w:lang w:val="sq-AL"/>
        </w:rPr>
        <w:t xml:space="preserve"> </w:t>
      </w:r>
      <w:r w:rsidR="002E7DE0">
        <w:rPr>
          <w:rFonts w:asciiTheme="minorHAnsi" w:hAnsiTheme="minorHAnsi"/>
          <w:szCs w:val="28"/>
          <w:lang w:val="sq-AL"/>
        </w:rPr>
        <w:t>nevojiten</w:t>
      </w:r>
      <w:r w:rsidR="002E7DE0" w:rsidRPr="002E7DE0">
        <w:rPr>
          <w:rFonts w:asciiTheme="minorHAnsi" w:hAnsiTheme="minorHAnsi"/>
          <w:szCs w:val="28"/>
          <w:lang w:val="sq-AL"/>
        </w:rPr>
        <w:t xml:space="preserve"> dhe 1.1 milion doza të tjera vaksine, që duke marrë parasysh çmimet e vaksinave do të kërkonte një shtesë në buxhetin e MSHMS prej 1 miliardë lekë.</w:t>
      </w:r>
    </w:p>
    <w:p w:rsidR="00117B74" w:rsidRPr="006724F6" w:rsidRDefault="00117B74" w:rsidP="00117B74">
      <w:pPr>
        <w:tabs>
          <w:tab w:val="center" w:pos="709"/>
          <w:tab w:val="right" w:pos="8696"/>
        </w:tabs>
        <w:autoSpaceDE w:val="0"/>
        <w:spacing w:before="240" w:line="276" w:lineRule="auto"/>
        <w:jc w:val="both"/>
        <w:rPr>
          <w:rFonts w:asciiTheme="minorHAnsi" w:hAnsiTheme="minorHAnsi"/>
          <w:sz w:val="14"/>
          <w:szCs w:val="28"/>
          <w:lang w:val="sq-AL"/>
        </w:rPr>
      </w:pPr>
      <w:r w:rsidRPr="00117B74">
        <w:rPr>
          <w:rFonts w:asciiTheme="minorHAnsi" w:hAnsiTheme="minorHAnsi"/>
          <w:szCs w:val="28"/>
          <w:lang w:val="sq-AL"/>
        </w:rPr>
        <w:t xml:space="preserve">Njëkohësisht, pjesë e këtij Akti Normativ </w:t>
      </w:r>
      <w:r w:rsidR="006724F6">
        <w:rPr>
          <w:rFonts w:asciiTheme="minorHAnsi" w:hAnsiTheme="minorHAnsi"/>
          <w:szCs w:val="28"/>
          <w:lang w:val="sq-AL"/>
        </w:rPr>
        <w:t xml:space="preserve">u </w:t>
      </w:r>
      <w:r w:rsidRPr="00117B74">
        <w:rPr>
          <w:rFonts w:asciiTheme="minorHAnsi" w:hAnsiTheme="minorHAnsi"/>
          <w:szCs w:val="28"/>
          <w:lang w:val="sq-AL"/>
        </w:rPr>
        <w:t>propoz</w:t>
      </w:r>
      <w:r w:rsidR="006724F6">
        <w:rPr>
          <w:rFonts w:asciiTheme="minorHAnsi" w:hAnsiTheme="minorHAnsi"/>
          <w:szCs w:val="28"/>
          <w:lang w:val="sq-AL"/>
        </w:rPr>
        <w:t>ua</w:t>
      </w:r>
      <w:r w:rsidRPr="00117B74">
        <w:rPr>
          <w:rFonts w:asciiTheme="minorHAnsi" w:hAnsiTheme="minorHAnsi"/>
          <w:szCs w:val="28"/>
          <w:lang w:val="sq-AL"/>
        </w:rPr>
        <w:t xml:space="preserve"> të </w:t>
      </w:r>
      <w:r w:rsidR="006724F6">
        <w:rPr>
          <w:rFonts w:asciiTheme="minorHAnsi" w:hAnsiTheme="minorHAnsi"/>
          <w:szCs w:val="28"/>
          <w:lang w:val="sq-AL"/>
        </w:rPr>
        <w:t>ishin</w:t>
      </w:r>
      <w:r w:rsidRPr="00117B74">
        <w:rPr>
          <w:rFonts w:asciiTheme="minorHAnsi" w:hAnsiTheme="minorHAnsi"/>
          <w:szCs w:val="28"/>
          <w:lang w:val="sq-AL"/>
        </w:rPr>
        <w:t xml:space="preserve"> edhe një sërë sistemimesh/axhustimesh mes projekteve të investimeve dhe/ose shpenzimeve korente, si rrjedhojë e analizës thuajse 6 mujore të performancës së buxhetit 2021. Nisur nga kjo analizë, MFE identifik</w:t>
      </w:r>
      <w:r w:rsidR="006724F6">
        <w:rPr>
          <w:rFonts w:asciiTheme="minorHAnsi" w:hAnsiTheme="minorHAnsi"/>
          <w:szCs w:val="28"/>
          <w:lang w:val="sq-AL"/>
        </w:rPr>
        <w:t>oi</w:t>
      </w:r>
      <w:r w:rsidRPr="00117B74">
        <w:rPr>
          <w:rFonts w:asciiTheme="minorHAnsi" w:hAnsiTheme="minorHAnsi"/>
          <w:szCs w:val="28"/>
          <w:lang w:val="sq-AL"/>
        </w:rPr>
        <w:t xml:space="preserve"> nevojat më emergjente dhe propoz</w:t>
      </w:r>
      <w:r w:rsidR="006724F6">
        <w:rPr>
          <w:rFonts w:asciiTheme="minorHAnsi" w:hAnsiTheme="minorHAnsi"/>
          <w:szCs w:val="28"/>
          <w:lang w:val="sq-AL"/>
        </w:rPr>
        <w:t>oi</w:t>
      </w:r>
      <w:r w:rsidRPr="00117B74">
        <w:rPr>
          <w:rFonts w:asciiTheme="minorHAnsi" w:hAnsiTheme="minorHAnsi"/>
          <w:szCs w:val="28"/>
          <w:lang w:val="sq-AL"/>
        </w:rPr>
        <w:t xml:space="preserve"> akomodimin e tyre eventual, qoftë përmes rialokimeve pa kosto shtesë qoftë përmes shtesës së fondeve për ato politika të konsideruara prioritare dhe me vlerë të qenësishme për t’u financuar në këtë moment. Nepermjet ketyre rialokimeve </w:t>
      </w:r>
      <w:r w:rsidR="006724F6">
        <w:rPr>
          <w:rFonts w:asciiTheme="minorHAnsi" w:hAnsiTheme="minorHAnsi"/>
          <w:szCs w:val="28"/>
          <w:lang w:val="sq-AL"/>
        </w:rPr>
        <w:t>u</w:t>
      </w:r>
      <w:r w:rsidRPr="00117B74">
        <w:rPr>
          <w:rFonts w:asciiTheme="minorHAnsi" w:hAnsiTheme="minorHAnsi"/>
          <w:szCs w:val="28"/>
          <w:lang w:val="sq-AL"/>
        </w:rPr>
        <w:t xml:space="preserve"> synua financimi kryesisht i projekteve ne proces me ecuri pozitive dhe nderkohe, vijimi i stimulit fiskal ne ekonomi per te mbeshtetur objektivat e rritjes ekonomike</w:t>
      </w:r>
      <w:bookmarkEnd w:id="41"/>
      <w:r w:rsidR="006724F6">
        <w:rPr>
          <w:rFonts w:asciiTheme="minorHAnsi" w:hAnsiTheme="minorHAnsi"/>
          <w:szCs w:val="28"/>
          <w:lang w:val="sq-AL"/>
        </w:rPr>
        <w:t>. Konkretisht:</w:t>
      </w:r>
    </w:p>
    <w:p w:rsidR="00117B74" w:rsidRPr="00117B74" w:rsidRDefault="00117B74" w:rsidP="00117B74">
      <w:pPr>
        <w:tabs>
          <w:tab w:val="center" w:pos="709"/>
          <w:tab w:val="right" w:pos="8696"/>
        </w:tabs>
        <w:autoSpaceDE w:val="0"/>
        <w:spacing w:line="276" w:lineRule="auto"/>
        <w:jc w:val="both"/>
        <w:rPr>
          <w:rFonts w:asciiTheme="minorHAnsi" w:hAnsiTheme="minorHAnsi"/>
          <w:noProof/>
          <w:sz w:val="6"/>
          <w:szCs w:val="8"/>
          <w:lang w:val="sq-AL"/>
        </w:rPr>
      </w:pPr>
    </w:p>
    <w:p w:rsidR="00117B74" w:rsidRPr="00117B74" w:rsidRDefault="00117B74" w:rsidP="00117B74">
      <w:pPr>
        <w:tabs>
          <w:tab w:val="center" w:pos="709"/>
          <w:tab w:val="right" w:pos="8696"/>
        </w:tabs>
        <w:autoSpaceDE w:val="0"/>
        <w:spacing w:line="276" w:lineRule="auto"/>
        <w:jc w:val="both"/>
        <w:rPr>
          <w:rFonts w:asciiTheme="minorHAnsi" w:hAnsiTheme="minorHAnsi"/>
          <w:noProof/>
          <w:sz w:val="6"/>
          <w:szCs w:val="8"/>
          <w:u w:val="single"/>
          <w:lang w:val="sq-AL"/>
        </w:rPr>
      </w:pPr>
    </w:p>
    <w:p w:rsidR="00117B74" w:rsidRPr="00117B74" w:rsidRDefault="00117B74" w:rsidP="007F0B61">
      <w:pPr>
        <w:pStyle w:val="ListParagraph"/>
        <w:numPr>
          <w:ilvl w:val="0"/>
          <w:numId w:val="66"/>
        </w:numPr>
        <w:spacing w:line="276" w:lineRule="auto"/>
        <w:ind w:left="450"/>
        <w:contextualSpacing w:val="0"/>
        <w:jc w:val="both"/>
        <w:rPr>
          <w:rFonts w:asciiTheme="minorHAnsi" w:hAnsiTheme="minorHAnsi"/>
          <w:szCs w:val="28"/>
          <w:lang w:val="sq-AL"/>
        </w:rPr>
      </w:pPr>
      <w:r w:rsidRPr="00117B74">
        <w:rPr>
          <w:rFonts w:asciiTheme="minorHAnsi" w:hAnsiTheme="minorHAnsi"/>
          <w:szCs w:val="28"/>
          <w:lang w:val="sq-AL"/>
        </w:rPr>
        <w:t>Shtes</w:t>
      </w:r>
      <w:r w:rsidR="00844ACC">
        <w:rPr>
          <w:rFonts w:asciiTheme="minorHAnsi" w:hAnsiTheme="minorHAnsi"/>
          <w:szCs w:val="28"/>
          <w:lang w:val="sq-AL"/>
        </w:rPr>
        <w:t>a</w:t>
      </w:r>
      <w:r w:rsidRPr="00117B74">
        <w:rPr>
          <w:rFonts w:asciiTheme="minorHAnsi" w:hAnsiTheme="minorHAnsi"/>
          <w:szCs w:val="28"/>
          <w:lang w:val="sq-AL"/>
        </w:rPr>
        <w:t xml:space="preserve"> në masën 2 miliard lekë për Fondin Rezerv të buxhetit të shtetit me qëllim financimin e:</w:t>
      </w:r>
    </w:p>
    <w:p w:rsidR="00117B74" w:rsidRPr="0012733D" w:rsidRDefault="00117B74" w:rsidP="007F0B61">
      <w:pPr>
        <w:pStyle w:val="ListParagraph"/>
        <w:numPr>
          <w:ilvl w:val="1"/>
          <w:numId w:val="66"/>
        </w:numPr>
        <w:spacing w:line="276" w:lineRule="auto"/>
        <w:ind w:left="810"/>
        <w:contextualSpacing w:val="0"/>
        <w:jc w:val="both"/>
        <w:rPr>
          <w:rFonts w:asciiTheme="minorHAnsi" w:hAnsiTheme="minorHAnsi"/>
          <w:i/>
          <w:szCs w:val="28"/>
          <w:lang w:val="sq-AL"/>
        </w:rPr>
      </w:pPr>
      <w:r w:rsidRPr="0012733D">
        <w:rPr>
          <w:rFonts w:asciiTheme="minorHAnsi" w:hAnsiTheme="minorHAnsi"/>
          <w:i/>
          <w:szCs w:val="28"/>
          <w:lang w:val="sq-AL"/>
        </w:rPr>
        <w:t>Fushatës së vaksinimit anti-COVID19, në masën 1 miliardë lekë. Ky fond është siguruar nga rialokimi i fondit në të njëjtën masë por të papërdorur, që ishte planifikuar për skemën e rimbursimit në shtëpi të kurimit për COVID19.</w:t>
      </w:r>
    </w:p>
    <w:p w:rsidR="0012733D" w:rsidRPr="0012733D" w:rsidRDefault="0012733D" w:rsidP="0012733D">
      <w:pPr>
        <w:pStyle w:val="ListParagraph"/>
        <w:spacing w:line="276" w:lineRule="auto"/>
        <w:ind w:left="810"/>
        <w:contextualSpacing w:val="0"/>
        <w:jc w:val="both"/>
        <w:rPr>
          <w:rFonts w:asciiTheme="minorHAnsi" w:hAnsiTheme="minorHAnsi"/>
          <w:i/>
          <w:sz w:val="8"/>
          <w:szCs w:val="8"/>
          <w:lang w:val="sq-AL"/>
        </w:rPr>
      </w:pPr>
    </w:p>
    <w:p w:rsidR="00117B74" w:rsidRPr="0012733D" w:rsidRDefault="00117B74" w:rsidP="007F0B61">
      <w:pPr>
        <w:pStyle w:val="ListParagraph"/>
        <w:numPr>
          <w:ilvl w:val="1"/>
          <w:numId w:val="66"/>
        </w:numPr>
        <w:spacing w:line="276" w:lineRule="auto"/>
        <w:ind w:left="810"/>
        <w:contextualSpacing w:val="0"/>
        <w:jc w:val="both"/>
        <w:rPr>
          <w:rFonts w:asciiTheme="minorHAnsi" w:hAnsiTheme="minorHAnsi"/>
          <w:i/>
          <w:szCs w:val="28"/>
          <w:lang w:val="sq-AL"/>
        </w:rPr>
      </w:pPr>
      <w:r w:rsidRPr="0012733D">
        <w:rPr>
          <w:rFonts w:asciiTheme="minorHAnsi" w:hAnsiTheme="minorHAnsi"/>
          <w:i/>
          <w:szCs w:val="28"/>
          <w:lang w:val="sq-AL"/>
        </w:rPr>
        <w:t>Projektit prioritar të Ministrisë së Mbrojtjes për pajisjen me drone në vlerë 1 miliardë lekë, për rritjen e kontrollit të territorit dhe sigurisë kombëtare në tërësi.</w:t>
      </w:r>
    </w:p>
    <w:p w:rsidR="00844ACC" w:rsidRPr="00844ACC" w:rsidRDefault="00844ACC" w:rsidP="00844ACC">
      <w:pPr>
        <w:pStyle w:val="ListParagraph"/>
        <w:spacing w:line="276" w:lineRule="auto"/>
        <w:ind w:left="450"/>
        <w:contextualSpacing w:val="0"/>
        <w:jc w:val="both"/>
        <w:rPr>
          <w:rFonts w:asciiTheme="minorHAnsi" w:hAnsiTheme="minorHAnsi"/>
          <w:sz w:val="8"/>
          <w:szCs w:val="8"/>
          <w:lang w:val="sq-AL"/>
        </w:rPr>
      </w:pPr>
    </w:p>
    <w:p w:rsidR="00117B74" w:rsidRPr="00117B74" w:rsidRDefault="00117B74" w:rsidP="007F0B61">
      <w:pPr>
        <w:pStyle w:val="ListParagraph"/>
        <w:numPr>
          <w:ilvl w:val="0"/>
          <w:numId w:val="66"/>
        </w:numPr>
        <w:spacing w:line="276" w:lineRule="auto"/>
        <w:ind w:left="450"/>
        <w:contextualSpacing w:val="0"/>
        <w:jc w:val="both"/>
        <w:rPr>
          <w:rFonts w:asciiTheme="minorHAnsi" w:hAnsiTheme="minorHAnsi"/>
          <w:szCs w:val="28"/>
          <w:lang w:val="sq-AL"/>
        </w:rPr>
      </w:pPr>
      <w:r w:rsidRPr="00117B74">
        <w:rPr>
          <w:rFonts w:asciiTheme="minorHAnsi" w:hAnsiTheme="minorHAnsi"/>
          <w:szCs w:val="28"/>
          <w:lang w:val="sq-AL"/>
        </w:rPr>
        <w:t>Shtes</w:t>
      </w:r>
      <w:r w:rsidR="00844ACC">
        <w:rPr>
          <w:rFonts w:asciiTheme="minorHAnsi" w:hAnsiTheme="minorHAnsi"/>
          <w:szCs w:val="28"/>
          <w:lang w:val="sq-AL"/>
        </w:rPr>
        <w:t>a</w:t>
      </w:r>
      <w:r w:rsidRPr="00117B74">
        <w:rPr>
          <w:rFonts w:asciiTheme="minorHAnsi" w:hAnsiTheme="minorHAnsi"/>
          <w:szCs w:val="28"/>
          <w:lang w:val="sq-AL"/>
        </w:rPr>
        <w:t xml:space="preserve"> në masën 500 milionë lekë për financimin shtesë të nevojave të qerave të strehimit te familjeve te demtuara nga termeti. </w:t>
      </w:r>
    </w:p>
    <w:p w:rsidR="00844ACC" w:rsidRPr="00844ACC" w:rsidRDefault="00844ACC" w:rsidP="00844ACC">
      <w:pPr>
        <w:pStyle w:val="ListParagraph"/>
        <w:spacing w:line="276" w:lineRule="auto"/>
        <w:ind w:left="450"/>
        <w:contextualSpacing w:val="0"/>
        <w:jc w:val="both"/>
        <w:rPr>
          <w:rFonts w:asciiTheme="minorHAnsi" w:hAnsiTheme="minorHAnsi"/>
          <w:sz w:val="8"/>
          <w:szCs w:val="8"/>
          <w:lang w:val="sq-AL"/>
        </w:rPr>
      </w:pPr>
    </w:p>
    <w:p w:rsidR="00117B74" w:rsidRPr="00117B74" w:rsidRDefault="00117B74" w:rsidP="007F0B61">
      <w:pPr>
        <w:pStyle w:val="ListParagraph"/>
        <w:numPr>
          <w:ilvl w:val="0"/>
          <w:numId w:val="66"/>
        </w:numPr>
        <w:spacing w:line="276" w:lineRule="auto"/>
        <w:ind w:left="450"/>
        <w:contextualSpacing w:val="0"/>
        <w:jc w:val="both"/>
        <w:rPr>
          <w:rFonts w:asciiTheme="minorHAnsi" w:hAnsiTheme="minorHAnsi"/>
          <w:szCs w:val="28"/>
          <w:lang w:val="sq-AL"/>
        </w:rPr>
      </w:pPr>
      <w:r w:rsidRPr="00117B74">
        <w:rPr>
          <w:rFonts w:asciiTheme="minorHAnsi" w:hAnsiTheme="minorHAnsi"/>
          <w:szCs w:val="28"/>
          <w:lang w:val="sq-AL"/>
        </w:rPr>
        <w:t>Shtes</w:t>
      </w:r>
      <w:r w:rsidR="00844ACC">
        <w:rPr>
          <w:rFonts w:asciiTheme="minorHAnsi" w:hAnsiTheme="minorHAnsi"/>
          <w:szCs w:val="28"/>
          <w:lang w:val="sq-AL"/>
        </w:rPr>
        <w:t>a</w:t>
      </w:r>
      <w:r w:rsidRPr="00117B74">
        <w:rPr>
          <w:rFonts w:asciiTheme="minorHAnsi" w:hAnsiTheme="minorHAnsi"/>
          <w:szCs w:val="28"/>
          <w:lang w:val="sq-AL"/>
        </w:rPr>
        <w:t xml:space="preserve"> në masën 200 milionë lekë për mbulimin e shpenzimeve per pjesmarrjen si anetar i perkohshem në Këshillin e Sigurimit në OKB.</w:t>
      </w:r>
    </w:p>
    <w:p w:rsidR="00844ACC" w:rsidRPr="00844ACC" w:rsidRDefault="00844ACC" w:rsidP="00844ACC">
      <w:pPr>
        <w:pStyle w:val="ListParagraph"/>
        <w:spacing w:line="276" w:lineRule="auto"/>
        <w:ind w:left="450"/>
        <w:contextualSpacing w:val="0"/>
        <w:jc w:val="both"/>
        <w:rPr>
          <w:rFonts w:asciiTheme="minorHAnsi" w:hAnsiTheme="minorHAnsi"/>
          <w:sz w:val="8"/>
          <w:szCs w:val="8"/>
          <w:lang w:val="sq-AL"/>
        </w:rPr>
      </w:pPr>
    </w:p>
    <w:p w:rsidR="000E55F7" w:rsidRDefault="000E55F7" w:rsidP="000E55F7">
      <w:pPr>
        <w:pStyle w:val="ListParagraph"/>
        <w:spacing w:line="276" w:lineRule="auto"/>
        <w:ind w:left="450"/>
        <w:contextualSpacing w:val="0"/>
        <w:jc w:val="both"/>
        <w:rPr>
          <w:rFonts w:asciiTheme="minorHAnsi" w:hAnsiTheme="minorHAnsi"/>
          <w:szCs w:val="28"/>
          <w:lang w:val="sq-AL"/>
        </w:rPr>
      </w:pPr>
    </w:p>
    <w:p w:rsidR="000E55F7" w:rsidRPr="000E55F7" w:rsidRDefault="000E55F7" w:rsidP="000E55F7">
      <w:pPr>
        <w:pStyle w:val="ListParagraph"/>
        <w:rPr>
          <w:rFonts w:asciiTheme="minorHAnsi" w:hAnsiTheme="minorHAnsi"/>
          <w:szCs w:val="28"/>
          <w:lang w:val="sq-AL"/>
        </w:rPr>
      </w:pPr>
    </w:p>
    <w:p w:rsidR="00117B74" w:rsidRPr="00117B74" w:rsidRDefault="00117B74" w:rsidP="007F0B61">
      <w:pPr>
        <w:pStyle w:val="ListParagraph"/>
        <w:numPr>
          <w:ilvl w:val="0"/>
          <w:numId w:val="66"/>
        </w:numPr>
        <w:spacing w:line="276" w:lineRule="auto"/>
        <w:ind w:left="450"/>
        <w:contextualSpacing w:val="0"/>
        <w:jc w:val="both"/>
        <w:rPr>
          <w:rFonts w:asciiTheme="minorHAnsi" w:hAnsiTheme="minorHAnsi"/>
          <w:szCs w:val="28"/>
          <w:lang w:val="sq-AL"/>
        </w:rPr>
      </w:pPr>
      <w:r w:rsidRPr="00117B74">
        <w:rPr>
          <w:rFonts w:asciiTheme="minorHAnsi" w:hAnsiTheme="minorHAnsi"/>
          <w:szCs w:val="28"/>
          <w:lang w:val="sq-AL"/>
        </w:rPr>
        <w:lastRenderedPageBreak/>
        <w:t>Financimi shtesë prej 4.8 miliardë lekë për projektet në Infrastrukturë në programin “Transporti Rrugor” ku përfshihen hapja e loteve të reja për “Ndërtimin e segmentit rrugor Unaza Veriore Tiranë”, “Ndërtimi i segmentit rrugor Sheshi Shqiponja-Bulevardi i ri” dhe projektet aktuale Unazës së Tiranës, të cilat kanë avancuar me punimet fizike.</w:t>
      </w:r>
    </w:p>
    <w:p w:rsidR="00844ACC" w:rsidRPr="00844ACC" w:rsidRDefault="00844ACC" w:rsidP="00844ACC">
      <w:pPr>
        <w:pStyle w:val="ListParagraph"/>
        <w:spacing w:line="276" w:lineRule="auto"/>
        <w:ind w:left="450"/>
        <w:contextualSpacing w:val="0"/>
        <w:jc w:val="both"/>
        <w:rPr>
          <w:rFonts w:asciiTheme="minorHAnsi" w:hAnsiTheme="minorHAnsi"/>
          <w:sz w:val="8"/>
          <w:szCs w:val="8"/>
          <w:lang w:val="sq-AL"/>
        </w:rPr>
      </w:pPr>
    </w:p>
    <w:p w:rsidR="00117B74" w:rsidRPr="00117B74" w:rsidRDefault="00117B74" w:rsidP="007F0B61">
      <w:pPr>
        <w:pStyle w:val="ListParagraph"/>
        <w:numPr>
          <w:ilvl w:val="0"/>
          <w:numId w:val="66"/>
        </w:numPr>
        <w:spacing w:line="276" w:lineRule="auto"/>
        <w:ind w:left="450"/>
        <w:contextualSpacing w:val="0"/>
        <w:jc w:val="both"/>
        <w:rPr>
          <w:rFonts w:asciiTheme="minorHAnsi" w:hAnsiTheme="minorHAnsi"/>
          <w:szCs w:val="28"/>
          <w:lang w:val="sq-AL"/>
        </w:rPr>
      </w:pPr>
      <w:r w:rsidRPr="00117B74">
        <w:rPr>
          <w:rFonts w:asciiTheme="minorHAnsi" w:hAnsiTheme="minorHAnsi"/>
          <w:szCs w:val="28"/>
          <w:lang w:val="sq-AL"/>
        </w:rPr>
        <w:t xml:space="preserve">Financimi shtesë prej 3 miliardë lekë për projektet në vazhdim, të </w:t>
      </w:r>
      <w:r w:rsidR="00844ACC">
        <w:rPr>
          <w:rFonts w:asciiTheme="minorHAnsi" w:hAnsiTheme="minorHAnsi"/>
          <w:szCs w:val="28"/>
          <w:lang w:val="sq-AL"/>
        </w:rPr>
        <w:t>FSHZH</w:t>
      </w:r>
      <w:r w:rsidRPr="00117B74">
        <w:rPr>
          <w:rFonts w:asciiTheme="minorHAnsi" w:hAnsiTheme="minorHAnsi"/>
          <w:szCs w:val="28"/>
          <w:lang w:val="sq-AL"/>
        </w:rPr>
        <w:t>.</w:t>
      </w:r>
    </w:p>
    <w:p w:rsidR="00844ACC" w:rsidRPr="00844ACC" w:rsidRDefault="00844ACC" w:rsidP="00844ACC">
      <w:pPr>
        <w:pStyle w:val="ListParagraph"/>
        <w:spacing w:line="276" w:lineRule="auto"/>
        <w:ind w:left="450"/>
        <w:contextualSpacing w:val="0"/>
        <w:jc w:val="both"/>
        <w:rPr>
          <w:rFonts w:asciiTheme="minorHAnsi" w:hAnsiTheme="minorHAnsi"/>
          <w:sz w:val="8"/>
          <w:szCs w:val="8"/>
          <w:lang w:val="sq-AL"/>
        </w:rPr>
      </w:pPr>
    </w:p>
    <w:p w:rsidR="00117B74" w:rsidRPr="00117B74" w:rsidRDefault="00844ACC" w:rsidP="007F0B61">
      <w:pPr>
        <w:pStyle w:val="ListParagraph"/>
        <w:numPr>
          <w:ilvl w:val="0"/>
          <w:numId w:val="66"/>
        </w:numPr>
        <w:spacing w:line="276" w:lineRule="auto"/>
        <w:ind w:left="450"/>
        <w:contextualSpacing w:val="0"/>
        <w:jc w:val="both"/>
        <w:rPr>
          <w:rFonts w:asciiTheme="minorHAnsi" w:hAnsiTheme="minorHAnsi"/>
          <w:szCs w:val="28"/>
          <w:lang w:val="sq-AL"/>
        </w:rPr>
      </w:pPr>
      <w:r>
        <w:rPr>
          <w:rFonts w:asciiTheme="minorHAnsi" w:hAnsiTheme="minorHAnsi"/>
          <w:szCs w:val="28"/>
          <w:lang w:val="sq-AL"/>
        </w:rPr>
        <w:t>Financimi</w:t>
      </w:r>
      <w:r w:rsidR="00117B74" w:rsidRPr="00117B74">
        <w:rPr>
          <w:rFonts w:asciiTheme="minorHAnsi" w:hAnsiTheme="minorHAnsi"/>
          <w:szCs w:val="28"/>
          <w:lang w:val="sq-AL"/>
        </w:rPr>
        <w:t xml:space="preserve"> shtesë prej 2.5 miliardë lekë për projektet në vazhdim për sektorin e ujësjellës-kanalizimeve në shkallë vendi, për përmiresimin e furnizimit me uje të popullsisë.</w:t>
      </w:r>
    </w:p>
    <w:p w:rsidR="00844ACC" w:rsidRPr="00844ACC" w:rsidRDefault="00844ACC" w:rsidP="00844ACC">
      <w:pPr>
        <w:pStyle w:val="ListParagraph"/>
        <w:spacing w:line="276" w:lineRule="auto"/>
        <w:ind w:left="450"/>
        <w:contextualSpacing w:val="0"/>
        <w:jc w:val="both"/>
        <w:rPr>
          <w:rFonts w:asciiTheme="minorHAnsi" w:hAnsiTheme="minorHAnsi"/>
          <w:sz w:val="8"/>
          <w:szCs w:val="8"/>
          <w:lang w:val="sq-AL"/>
        </w:rPr>
      </w:pPr>
    </w:p>
    <w:p w:rsidR="00117B74" w:rsidRPr="00117B74" w:rsidRDefault="00117B74" w:rsidP="007F0B61">
      <w:pPr>
        <w:pStyle w:val="ListParagraph"/>
        <w:numPr>
          <w:ilvl w:val="0"/>
          <w:numId w:val="66"/>
        </w:numPr>
        <w:spacing w:line="276" w:lineRule="auto"/>
        <w:ind w:left="450"/>
        <w:contextualSpacing w:val="0"/>
        <w:jc w:val="both"/>
        <w:rPr>
          <w:rFonts w:asciiTheme="minorHAnsi" w:hAnsiTheme="minorHAnsi"/>
          <w:szCs w:val="28"/>
          <w:lang w:val="sq-AL"/>
        </w:rPr>
      </w:pPr>
      <w:r w:rsidRPr="00117B74">
        <w:rPr>
          <w:rFonts w:asciiTheme="minorHAnsi" w:hAnsiTheme="minorHAnsi"/>
          <w:szCs w:val="28"/>
          <w:lang w:val="sq-AL"/>
        </w:rPr>
        <w:t xml:space="preserve">Financimi shtesë prej 2 miliardë lekë për projektet me financim te huaj në vazhdim “IPARD II”, dhe  “Ndërtim By-Pass i Vlorës”, bazuar në ecurinë e mirë dhe pritshmëritë për realizimin e tij. </w:t>
      </w:r>
    </w:p>
    <w:p w:rsidR="00844ACC" w:rsidRPr="00844ACC" w:rsidRDefault="00844ACC" w:rsidP="00844ACC">
      <w:pPr>
        <w:pStyle w:val="ListParagraph"/>
        <w:spacing w:line="276" w:lineRule="auto"/>
        <w:ind w:left="450"/>
        <w:contextualSpacing w:val="0"/>
        <w:jc w:val="both"/>
        <w:rPr>
          <w:rFonts w:asciiTheme="minorHAnsi" w:hAnsiTheme="minorHAnsi"/>
          <w:sz w:val="8"/>
          <w:szCs w:val="8"/>
          <w:lang w:val="sq-AL"/>
        </w:rPr>
      </w:pPr>
    </w:p>
    <w:p w:rsidR="00117B74" w:rsidRPr="00117B74" w:rsidRDefault="00117B74" w:rsidP="007F0B61">
      <w:pPr>
        <w:pStyle w:val="ListParagraph"/>
        <w:numPr>
          <w:ilvl w:val="0"/>
          <w:numId w:val="66"/>
        </w:numPr>
        <w:spacing w:line="276" w:lineRule="auto"/>
        <w:ind w:left="450"/>
        <w:contextualSpacing w:val="0"/>
        <w:jc w:val="both"/>
        <w:rPr>
          <w:rFonts w:asciiTheme="minorHAnsi" w:hAnsiTheme="minorHAnsi"/>
          <w:szCs w:val="28"/>
          <w:lang w:val="sq-AL"/>
        </w:rPr>
      </w:pPr>
      <w:r w:rsidRPr="00117B74">
        <w:rPr>
          <w:rFonts w:asciiTheme="minorHAnsi" w:hAnsiTheme="minorHAnsi"/>
          <w:szCs w:val="28"/>
          <w:lang w:val="sq-AL"/>
        </w:rPr>
        <w:t>Shtes</w:t>
      </w:r>
      <w:r w:rsidR="00844ACC">
        <w:rPr>
          <w:rFonts w:asciiTheme="minorHAnsi" w:hAnsiTheme="minorHAnsi"/>
          <w:szCs w:val="28"/>
          <w:lang w:val="sq-AL"/>
        </w:rPr>
        <w:t>a</w:t>
      </w:r>
      <w:r w:rsidRPr="00117B74">
        <w:rPr>
          <w:rFonts w:asciiTheme="minorHAnsi" w:hAnsiTheme="minorHAnsi"/>
          <w:szCs w:val="28"/>
          <w:lang w:val="sq-AL"/>
        </w:rPr>
        <w:t xml:space="preserve"> në masën 1 miliardë lekë për AKSHI-n, me qëllim financimin e nevojave për mirëmbajtjen e sistemeve IT.</w:t>
      </w:r>
    </w:p>
    <w:p w:rsidR="00844ACC" w:rsidRPr="00844ACC" w:rsidRDefault="00844ACC" w:rsidP="00844ACC">
      <w:pPr>
        <w:pStyle w:val="ListParagraph"/>
        <w:spacing w:line="276" w:lineRule="auto"/>
        <w:ind w:left="450"/>
        <w:contextualSpacing w:val="0"/>
        <w:jc w:val="both"/>
        <w:rPr>
          <w:rFonts w:asciiTheme="minorHAnsi" w:hAnsiTheme="minorHAnsi"/>
          <w:sz w:val="8"/>
          <w:szCs w:val="8"/>
          <w:lang w:val="sq-AL"/>
        </w:rPr>
      </w:pPr>
    </w:p>
    <w:p w:rsidR="00117B74" w:rsidRPr="00117B74" w:rsidRDefault="00117B74" w:rsidP="007F0B61">
      <w:pPr>
        <w:pStyle w:val="ListParagraph"/>
        <w:numPr>
          <w:ilvl w:val="0"/>
          <w:numId w:val="66"/>
        </w:numPr>
        <w:spacing w:line="276" w:lineRule="auto"/>
        <w:ind w:left="450"/>
        <w:contextualSpacing w:val="0"/>
        <w:jc w:val="both"/>
        <w:rPr>
          <w:rFonts w:asciiTheme="minorHAnsi" w:hAnsiTheme="minorHAnsi"/>
          <w:szCs w:val="28"/>
          <w:lang w:val="sq-AL"/>
        </w:rPr>
      </w:pPr>
      <w:r w:rsidRPr="00117B74">
        <w:rPr>
          <w:rFonts w:asciiTheme="minorHAnsi" w:hAnsiTheme="minorHAnsi"/>
          <w:szCs w:val="28"/>
          <w:lang w:val="sq-AL"/>
        </w:rPr>
        <w:t>Shtes</w:t>
      </w:r>
      <w:r w:rsidR="00844ACC">
        <w:rPr>
          <w:rFonts w:asciiTheme="minorHAnsi" w:hAnsiTheme="minorHAnsi"/>
          <w:szCs w:val="28"/>
          <w:lang w:val="sq-AL"/>
        </w:rPr>
        <w:t>a</w:t>
      </w:r>
      <w:r w:rsidRPr="00117B74">
        <w:rPr>
          <w:rFonts w:asciiTheme="minorHAnsi" w:hAnsiTheme="minorHAnsi"/>
          <w:szCs w:val="28"/>
          <w:lang w:val="sq-AL"/>
        </w:rPr>
        <w:t xml:space="preserve"> në masën 900 milionë lekë si transfertë specifike për Bashkinë Tiranë, për ndërtimin e godinës së re të Teatrit Kombëtar.</w:t>
      </w:r>
    </w:p>
    <w:p w:rsidR="00844ACC" w:rsidRPr="00844ACC" w:rsidRDefault="00844ACC" w:rsidP="00844ACC">
      <w:pPr>
        <w:pStyle w:val="ListParagraph"/>
        <w:spacing w:line="276" w:lineRule="auto"/>
        <w:ind w:left="450"/>
        <w:contextualSpacing w:val="0"/>
        <w:jc w:val="both"/>
        <w:rPr>
          <w:rFonts w:asciiTheme="minorHAnsi" w:hAnsiTheme="minorHAnsi"/>
          <w:sz w:val="8"/>
          <w:szCs w:val="8"/>
          <w:lang w:val="sq-AL"/>
        </w:rPr>
      </w:pPr>
    </w:p>
    <w:p w:rsidR="00117B74" w:rsidRPr="00117B74" w:rsidRDefault="00117B74" w:rsidP="007F0B61">
      <w:pPr>
        <w:pStyle w:val="ListParagraph"/>
        <w:numPr>
          <w:ilvl w:val="0"/>
          <w:numId w:val="66"/>
        </w:numPr>
        <w:spacing w:line="276" w:lineRule="auto"/>
        <w:ind w:left="450"/>
        <w:contextualSpacing w:val="0"/>
        <w:jc w:val="both"/>
        <w:rPr>
          <w:rFonts w:asciiTheme="minorHAnsi" w:hAnsiTheme="minorHAnsi"/>
          <w:szCs w:val="28"/>
          <w:lang w:val="sq-AL"/>
        </w:rPr>
      </w:pPr>
      <w:r w:rsidRPr="00117B74">
        <w:rPr>
          <w:rFonts w:asciiTheme="minorHAnsi" w:hAnsiTheme="minorHAnsi"/>
          <w:szCs w:val="28"/>
          <w:lang w:val="sq-AL"/>
        </w:rPr>
        <w:t>Financimi shtesë në masën 200 milionë lekë për godinën e Polit të Drejtësisë, bazuar në këstet e përcaktuara në kontratën përkatëse.</w:t>
      </w:r>
    </w:p>
    <w:p w:rsidR="00117B74" w:rsidRPr="00117B74" w:rsidRDefault="00117B74" w:rsidP="00117B74">
      <w:pPr>
        <w:tabs>
          <w:tab w:val="left" w:pos="709"/>
        </w:tabs>
        <w:spacing w:before="240" w:line="276" w:lineRule="auto"/>
        <w:jc w:val="both"/>
        <w:rPr>
          <w:rFonts w:asciiTheme="minorHAnsi" w:hAnsiTheme="minorHAnsi"/>
          <w:noProof/>
          <w:szCs w:val="28"/>
          <w:lang w:val="sq-AL"/>
        </w:rPr>
      </w:pPr>
      <w:r w:rsidRPr="00117B74">
        <w:rPr>
          <w:rFonts w:asciiTheme="minorHAnsi" w:hAnsiTheme="minorHAnsi"/>
          <w:noProof/>
          <w:szCs w:val="28"/>
          <w:lang w:val="sq-AL"/>
        </w:rPr>
        <w:t>Ndryshimet e propozuara përmes këtij akti normativ nuk prek</w:t>
      </w:r>
      <w:r w:rsidR="00F12701">
        <w:rPr>
          <w:rFonts w:asciiTheme="minorHAnsi" w:hAnsiTheme="minorHAnsi"/>
          <w:noProof/>
          <w:szCs w:val="28"/>
          <w:lang w:val="sq-AL"/>
        </w:rPr>
        <w:t>ë</w:t>
      </w:r>
      <w:r w:rsidR="00844ACC">
        <w:rPr>
          <w:rFonts w:asciiTheme="minorHAnsi" w:hAnsiTheme="minorHAnsi"/>
          <w:noProof/>
          <w:szCs w:val="28"/>
          <w:lang w:val="sq-AL"/>
        </w:rPr>
        <w:t>n</w:t>
      </w:r>
      <w:r w:rsidRPr="00117B74">
        <w:rPr>
          <w:rFonts w:asciiTheme="minorHAnsi" w:hAnsiTheme="minorHAnsi"/>
          <w:noProof/>
          <w:szCs w:val="28"/>
          <w:lang w:val="sq-AL"/>
        </w:rPr>
        <w:t xml:space="preserve"> treguesit e të ardhurave buxhetore, të cilët nuk pësua</w:t>
      </w:r>
      <w:r w:rsidR="00844ACC">
        <w:rPr>
          <w:rFonts w:asciiTheme="minorHAnsi" w:hAnsiTheme="minorHAnsi"/>
          <w:noProof/>
          <w:szCs w:val="28"/>
          <w:lang w:val="sq-AL"/>
        </w:rPr>
        <w:t>n</w:t>
      </w:r>
      <w:r w:rsidRPr="00117B74">
        <w:rPr>
          <w:rFonts w:asciiTheme="minorHAnsi" w:hAnsiTheme="minorHAnsi"/>
          <w:noProof/>
          <w:szCs w:val="28"/>
          <w:lang w:val="sq-AL"/>
        </w:rPr>
        <w:t xml:space="preserve"> ndryshime. Kjo, nisur nga ecuria pozitive e të ardhurave buxhetore për 6 mujorin e parë 2021 dhe pritshmëria gjithashtu pozitive e realizimit të tyre në nivel vjetor. </w:t>
      </w:r>
    </w:p>
    <w:p w:rsidR="00117B74" w:rsidRPr="00117B74" w:rsidRDefault="00117B74" w:rsidP="00117B74">
      <w:pPr>
        <w:tabs>
          <w:tab w:val="left" w:pos="709"/>
        </w:tabs>
        <w:spacing w:before="240" w:line="276" w:lineRule="auto"/>
        <w:jc w:val="both"/>
        <w:rPr>
          <w:rFonts w:asciiTheme="minorHAnsi" w:hAnsiTheme="minorHAnsi"/>
          <w:noProof/>
          <w:szCs w:val="28"/>
          <w:lang w:val="sq-AL"/>
        </w:rPr>
      </w:pPr>
      <w:r w:rsidRPr="00117B74">
        <w:rPr>
          <w:rFonts w:asciiTheme="minorHAnsi" w:hAnsiTheme="minorHAnsi"/>
          <w:noProof/>
          <w:szCs w:val="28"/>
          <w:lang w:val="sq-AL"/>
        </w:rPr>
        <w:t>Rrjedhimisht, rritja e shpenzimeve të përgjithshme buxhetore në masën 11.8 miliardë lekë, rrit</w:t>
      </w:r>
      <w:r w:rsidR="00844ACC">
        <w:rPr>
          <w:rFonts w:asciiTheme="minorHAnsi" w:hAnsiTheme="minorHAnsi"/>
          <w:noProof/>
          <w:szCs w:val="28"/>
          <w:lang w:val="sq-AL"/>
        </w:rPr>
        <w:t>i</w:t>
      </w:r>
      <w:r w:rsidRPr="00117B74">
        <w:rPr>
          <w:rFonts w:asciiTheme="minorHAnsi" w:hAnsiTheme="minorHAnsi"/>
          <w:noProof/>
          <w:szCs w:val="28"/>
          <w:lang w:val="sq-AL"/>
        </w:rPr>
        <w:t xml:space="preserve"> në të njëjtën masë edhe defiçitin buxhetor të planifikuar për vitin 2021.  </w:t>
      </w:r>
    </w:p>
    <w:p w:rsidR="001E4604" w:rsidRDefault="001E4604" w:rsidP="00CB678B">
      <w:pPr>
        <w:spacing w:line="276" w:lineRule="auto"/>
        <w:jc w:val="both"/>
        <w:rPr>
          <w:rFonts w:asciiTheme="minorHAnsi" w:hAnsiTheme="minorHAnsi"/>
          <w:u w:val="single"/>
          <w:lang w:val="sq-AL"/>
        </w:rPr>
      </w:pPr>
    </w:p>
    <w:p w:rsidR="00E812EF" w:rsidRPr="001E18DB" w:rsidRDefault="002570C3" w:rsidP="00B95810">
      <w:pPr>
        <w:pStyle w:val="Heading1"/>
        <w:numPr>
          <w:ilvl w:val="0"/>
          <w:numId w:val="1"/>
        </w:numPr>
        <w:spacing w:line="276" w:lineRule="auto"/>
        <w:ind w:left="720"/>
        <w:jc w:val="both"/>
        <w:rPr>
          <w:sz w:val="32"/>
          <w:u w:val="none"/>
        </w:rPr>
      </w:pPr>
      <w:bookmarkStart w:id="42" w:name="_Toc76470024"/>
      <w:r w:rsidRPr="001E18DB">
        <w:rPr>
          <w:sz w:val="32"/>
          <w:u w:val="none"/>
        </w:rPr>
        <w:t xml:space="preserve">BORXHI </w:t>
      </w:r>
      <w:r w:rsidR="00A14825" w:rsidRPr="001E18DB">
        <w:rPr>
          <w:sz w:val="32"/>
          <w:u w:val="none"/>
        </w:rPr>
        <w:t>PUBLIK</w:t>
      </w:r>
      <w:bookmarkEnd w:id="42"/>
      <w:r w:rsidR="00A14825" w:rsidRPr="001E18DB">
        <w:rPr>
          <w:sz w:val="32"/>
          <w:u w:val="none"/>
        </w:rPr>
        <w:t xml:space="preserve"> </w:t>
      </w:r>
      <w:bookmarkEnd w:id="1"/>
    </w:p>
    <w:p w:rsidR="00A666F4" w:rsidRPr="00A666F4" w:rsidRDefault="00A666F4" w:rsidP="00A666F4">
      <w:pPr>
        <w:spacing w:line="276" w:lineRule="auto"/>
        <w:jc w:val="both"/>
        <w:rPr>
          <w:rFonts w:asciiTheme="minorHAnsi" w:eastAsia="MS Mincho" w:hAnsiTheme="minorHAnsi"/>
          <w:sz w:val="8"/>
          <w:szCs w:val="8"/>
          <w:highlight w:val="yellow"/>
          <w:lang w:val="sq-AL"/>
        </w:rPr>
      </w:pPr>
    </w:p>
    <w:p w:rsidR="004F651C" w:rsidRPr="00A666F4" w:rsidRDefault="004F651C" w:rsidP="004F651C">
      <w:pPr>
        <w:spacing w:line="276" w:lineRule="auto"/>
        <w:jc w:val="both"/>
        <w:rPr>
          <w:rFonts w:asciiTheme="minorHAnsi" w:hAnsiTheme="minorHAnsi"/>
          <w:noProof/>
          <w:color w:val="000000"/>
          <w:szCs w:val="23"/>
        </w:rPr>
      </w:pPr>
      <w:r w:rsidRPr="00A666F4">
        <w:rPr>
          <w:rFonts w:asciiTheme="minorHAnsi" w:eastAsia="MS Mincho" w:hAnsiTheme="minorHAnsi"/>
          <w:lang w:val="sq-AL"/>
        </w:rPr>
        <w:t>Borxhi publik gjatë periudhës janar-mars 202</w:t>
      </w:r>
      <w:r>
        <w:rPr>
          <w:rFonts w:asciiTheme="minorHAnsi" w:eastAsia="MS Mincho" w:hAnsiTheme="minorHAnsi"/>
          <w:lang w:val="sq-AL"/>
        </w:rPr>
        <w:t>1</w:t>
      </w:r>
      <w:r w:rsidRPr="00A666F4">
        <w:rPr>
          <w:rFonts w:asciiTheme="minorHAnsi" w:eastAsia="MS Mincho" w:hAnsiTheme="minorHAnsi"/>
          <w:lang w:val="sq-AL"/>
        </w:rPr>
        <w:t xml:space="preserve"> përgjithësisht u </w:t>
      </w:r>
      <w:r>
        <w:rPr>
          <w:rFonts w:asciiTheme="minorHAnsi" w:eastAsia="MS Mincho" w:hAnsiTheme="minorHAnsi"/>
          <w:lang w:val="sq-AL"/>
        </w:rPr>
        <w:t>u realizua</w:t>
      </w:r>
      <w:r w:rsidRPr="00A666F4">
        <w:rPr>
          <w:rFonts w:asciiTheme="minorHAnsi" w:eastAsia="MS Mincho" w:hAnsiTheme="minorHAnsi"/>
          <w:lang w:val="sq-AL"/>
        </w:rPr>
        <w:t xml:space="preserve"> në përputhje me buxhetin e planifikuar për vitin 20</w:t>
      </w:r>
      <w:r>
        <w:rPr>
          <w:rFonts w:asciiTheme="minorHAnsi" w:eastAsia="MS Mincho" w:hAnsiTheme="minorHAnsi"/>
          <w:lang w:val="sq-AL"/>
        </w:rPr>
        <w:t>21</w:t>
      </w:r>
      <w:r w:rsidRPr="00A666F4">
        <w:rPr>
          <w:rFonts w:asciiTheme="minorHAnsi" w:eastAsia="MS Mincho" w:hAnsiTheme="minorHAnsi"/>
          <w:lang w:val="sq-AL"/>
        </w:rPr>
        <w:t xml:space="preserve"> dhe objektivat e Strategjisë Afatmesme të Menaxhimit të Borxhit.</w:t>
      </w:r>
      <w:r>
        <w:rPr>
          <w:rFonts w:asciiTheme="minorHAnsi" w:eastAsia="MS Mincho" w:hAnsiTheme="minorHAnsi"/>
          <w:lang w:val="sq-AL"/>
        </w:rPr>
        <w:t xml:space="preserve"> </w:t>
      </w:r>
      <w:r w:rsidRPr="00A666F4">
        <w:rPr>
          <w:rFonts w:asciiTheme="minorHAnsi" w:eastAsia="MS Mincho" w:hAnsiTheme="minorHAnsi"/>
          <w:lang w:val="sq-AL"/>
        </w:rPr>
        <w:t>Huamarrja në tremujorin e parë është realizuar në linjë me buxhetin e vitit 202</w:t>
      </w:r>
      <w:r>
        <w:rPr>
          <w:rFonts w:asciiTheme="minorHAnsi" w:eastAsia="MS Mincho" w:hAnsiTheme="minorHAnsi"/>
          <w:lang w:val="sq-AL"/>
        </w:rPr>
        <w:t>1</w:t>
      </w:r>
      <w:r w:rsidRPr="00A666F4">
        <w:rPr>
          <w:rFonts w:asciiTheme="minorHAnsi" w:eastAsia="MS Mincho" w:hAnsiTheme="minorHAnsi"/>
          <w:lang w:val="sq-AL"/>
        </w:rPr>
        <w:t xml:space="preserve"> dhe në </w:t>
      </w:r>
      <w:r w:rsidRPr="00A36E21">
        <w:rPr>
          <w:rFonts w:asciiTheme="minorHAnsi" w:eastAsia="MS Mincho" w:hAnsiTheme="minorHAnsi"/>
          <w:lang w:val="sq-AL"/>
        </w:rPr>
        <w:t>përputhje me objektivat strategjikë për ruajtjen e qëndrueshmërisë së raporteve ndërmjet kostos dhe risqeve. Nëpërmjet</w:t>
      </w:r>
      <w:r w:rsidRPr="00A666F4">
        <w:rPr>
          <w:rFonts w:asciiTheme="minorHAnsi" w:eastAsia="MS Mincho" w:hAnsiTheme="minorHAnsi"/>
          <w:lang w:val="sq-AL"/>
        </w:rPr>
        <w:t xml:space="preserve"> burimeve të huamarrjes u mundësua rifinancimi i borxhit ekzistues, menaxhimi i nevojave për likuiditet, si edhe financimin e deficitit të planifikuar për  tremujorin e parë të vitit 202</w:t>
      </w:r>
      <w:r>
        <w:rPr>
          <w:rFonts w:asciiTheme="minorHAnsi" w:eastAsia="MS Mincho" w:hAnsiTheme="minorHAnsi"/>
          <w:lang w:val="sq-AL"/>
        </w:rPr>
        <w:t>1</w:t>
      </w:r>
      <w:r w:rsidRPr="00A666F4">
        <w:rPr>
          <w:rFonts w:asciiTheme="minorHAnsi" w:eastAsia="MS Mincho" w:hAnsiTheme="minorHAnsi"/>
          <w:lang w:val="sq-AL"/>
        </w:rPr>
        <w:t xml:space="preserve">. Gjatë këtij tremujori nevojat për huamarrje kanë shënuar një rritje të moderuar krahasuar me të njëjtën periudhë të vitit të kaluar, </w:t>
      </w:r>
      <w:r>
        <w:rPr>
          <w:rFonts w:asciiTheme="minorHAnsi" w:eastAsia="MS Mincho" w:hAnsiTheme="minorHAnsi"/>
          <w:lang w:val="sq-AL"/>
        </w:rPr>
        <w:t>në kushtet ku në këtë periudhë të vitit është finalizuar procesi i disbursimit të dy mbështetjeve buxhetore</w:t>
      </w:r>
      <w:r w:rsidRPr="00A666F4">
        <w:rPr>
          <w:rFonts w:asciiTheme="minorHAnsi" w:eastAsia="MS Mincho" w:hAnsiTheme="minorHAnsi"/>
          <w:lang w:val="sq-AL"/>
        </w:rPr>
        <w:t>. Në përputhje me objektivat e Strategjisë Afatmesme të Menaxhimit të Borxhit, gjatë tremujorit të parë të vitit 202</w:t>
      </w:r>
      <w:r>
        <w:rPr>
          <w:rFonts w:asciiTheme="minorHAnsi" w:eastAsia="MS Mincho" w:hAnsiTheme="minorHAnsi"/>
          <w:lang w:val="sq-AL"/>
        </w:rPr>
        <w:t>1</w:t>
      </w:r>
      <w:r w:rsidRPr="00A666F4">
        <w:rPr>
          <w:rFonts w:asciiTheme="minorHAnsi" w:eastAsia="MS Mincho" w:hAnsiTheme="minorHAnsi"/>
          <w:lang w:val="sq-AL"/>
        </w:rPr>
        <w:t xml:space="preserve"> u menaxhua reduktimi i mëtejshëm i ekspozimit ndaj </w:t>
      </w:r>
      <w:r>
        <w:rPr>
          <w:rFonts w:asciiTheme="minorHAnsi" w:eastAsia="MS Mincho" w:hAnsiTheme="minorHAnsi"/>
          <w:lang w:val="sq-AL"/>
        </w:rPr>
        <w:t xml:space="preserve">një pjesë të </w:t>
      </w:r>
      <w:r w:rsidRPr="00A666F4">
        <w:rPr>
          <w:rFonts w:asciiTheme="minorHAnsi" w:eastAsia="MS Mincho" w:hAnsiTheme="minorHAnsi"/>
          <w:lang w:val="sq-AL"/>
        </w:rPr>
        <w:t>risqeve të borxhit të brendshëm, si edhe u vijua me aktivitete në drejtim të zhvillimit të tregut të titujve shtetërorë.</w:t>
      </w:r>
      <w:r>
        <w:rPr>
          <w:rFonts w:asciiTheme="minorHAnsi" w:eastAsia="MS Mincho" w:hAnsiTheme="minorHAnsi"/>
          <w:lang w:val="sq-AL"/>
        </w:rPr>
        <w:t xml:space="preserve"> </w:t>
      </w:r>
      <w:r w:rsidRPr="00A666F4">
        <w:rPr>
          <w:rFonts w:asciiTheme="minorHAnsi" w:eastAsia="MS Mincho" w:hAnsiTheme="minorHAnsi"/>
          <w:lang w:val="sq-AL"/>
        </w:rPr>
        <w:t xml:space="preserve">Në drejtim të reduktimit të risqeve ndikim ka pasur realizimi i huamarrjes së re më së shumti nëpërmjet titujve afatgjatë me norma interesi fikse, duke mundësuar rritjen e peshës së këtyre titujve në portofolin e borxhit. </w:t>
      </w:r>
      <w:r w:rsidRPr="00A666F4">
        <w:rPr>
          <w:rFonts w:asciiTheme="minorHAnsi" w:hAnsiTheme="minorHAnsi"/>
          <w:noProof/>
          <w:color w:val="000000"/>
          <w:szCs w:val="23"/>
        </w:rPr>
        <w:t xml:space="preserve">Në vazhdim të angazhimit të ndërmarrë në lidhje me përmirësimin e mëtejshëm të tregut primar dhe zhvillimin e tregut sekondar </w:t>
      </w:r>
      <w:r w:rsidRPr="00A666F4">
        <w:rPr>
          <w:rFonts w:asciiTheme="minorHAnsi" w:hAnsiTheme="minorHAnsi"/>
          <w:noProof/>
          <w:color w:val="000000"/>
          <w:szCs w:val="23"/>
        </w:rPr>
        <w:lastRenderedPageBreak/>
        <w:t>të titujve shtetërorë, përgjatë tremujorit të parë të vitit 202</w:t>
      </w:r>
      <w:r>
        <w:rPr>
          <w:rFonts w:asciiTheme="minorHAnsi" w:hAnsiTheme="minorHAnsi"/>
          <w:noProof/>
          <w:color w:val="000000"/>
          <w:szCs w:val="23"/>
        </w:rPr>
        <w:t>1</w:t>
      </w:r>
      <w:r w:rsidRPr="00A666F4">
        <w:rPr>
          <w:rFonts w:asciiTheme="minorHAnsi" w:hAnsiTheme="minorHAnsi"/>
          <w:noProof/>
          <w:color w:val="000000"/>
          <w:szCs w:val="23"/>
        </w:rPr>
        <w:t xml:space="preserve"> është vijuar me praktikat që kontribuojnë në krijimin e madhësive referencë dhe konsolidimin e kurbës së yield-it.</w:t>
      </w:r>
    </w:p>
    <w:p w:rsidR="004F651C" w:rsidRDefault="004F651C" w:rsidP="004F651C">
      <w:pPr>
        <w:spacing w:line="276" w:lineRule="auto"/>
        <w:jc w:val="both"/>
        <w:rPr>
          <w:rFonts w:asciiTheme="minorHAnsi" w:eastAsia="MS Mincho" w:hAnsiTheme="minorHAnsi"/>
          <w:lang w:val="sq-AL"/>
        </w:rPr>
      </w:pPr>
      <w:r w:rsidRPr="00A666F4">
        <w:rPr>
          <w:rFonts w:asciiTheme="minorHAnsi" w:hAnsiTheme="minorHAnsi"/>
          <w:noProof/>
          <w:szCs w:val="23"/>
        </w:rPr>
        <w:t>Për sa i përket zhvillimeve në tregun primar, kërkesa për tituj shtetërorë, megjithëse mbetet ende jo shumë e diversifikuar dhe e bazuar kryesisht tek sektori bankar, gjatë tremujorit të parë të vitit 202</w:t>
      </w:r>
      <w:r>
        <w:rPr>
          <w:rFonts w:asciiTheme="minorHAnsi" w:hAnsiTheme="minorHAnsi"/>
          <w:noProof/>
          <w:szCs w:val="23"/>
        </w:rPr>
        <w:t>1</w:t>
      </w:r>
      <w:r w:rsidRPr="00A666F4">
        <w:rPr>
          <w:rFonts w:asciiTheme="minorHAnsi" w:hAnsiTheme="minorHAnsi"/>
          <w:noProof/>
          <w:szCs w:val="23"/>
        </w:rPr>
        <w:t xml:space="preserve"> ka qenë e kënaqshme dhe ka mbuluar plotësisht nevojat e qeverisë për huamarrje të brendshme.</w:t>
      </w:r>
      <w:r>
        <w:rPr>
          <w:rFonts w:asciiTheme="minorHAnsi" w:eastAsia="MS Mincho" w:hAnsiTheme="minorHAnsi"/>
          <w:lang w:val="sq-AL"/>
        </w:rPr>
        <w:t xml:space="preserve"> </w:t>
      </w:r>
      <w:r w:rsidRPr="00A666F4">
        <w:rPr>
          <w:rFonts w:asciiTheme="minorHAnsi" w:eastAsia="MS Mincho" w:hAnsiTheme="minorHAnsi"/>
          <w:lang w:val="sq-AL"/>
        </w:rPr>
        <w:t xml:space="preserve">Normat e interesit në tregun e titujve shtetërorë kanë </w:t>
      </w:r>
      <w:r>
        <w:rPr>
          <w:rFonts w:asciiTheme="minorHAnsi" w:eastAsia="MS Mincho" w:hAnsiTheme="minorHAnsi"/>
          <w:lang w:val="sq-AL"/>
        </w:rPr>
        <w:t>qendruar pothuaj në një nivel me normat e një viti më parë. Vlerësohet një rritje e lehtë në normat e titujve afatmesëm, atyre 2 vjeçarë dhe 3 vjeçarë. Viti 2021 ashtu si dhe 2020-ta karakterizohet nga një nevojë e lartë për financim të buxhetit të shtetit nga tregu i brendshëm, gjë e cila sjell edhe këtë efekt të lehtë rritës në normat e interesit në krahasi me periudhat e zakonshme si viti 2019</w:t>
      </w:r>
      <w:r w:rsidRPr="00A666F4">
        <w:rPr>
          <w:rFonts w:asciiTheme="minorHAnsi" w:eastAsia="MS Mincho" w:hAnsiTheme="minorHAnsi"/>
          <w:lang w:val="sq-AL"/>
        </w:rPr>
        <w:t xml:space="preserve">. </w:t>
      </w:r>
    </w:p>
    <w:p w:rsidR="00D7570A" w:rsidRDefault="00D7570A" w:rsidP="004F651C">
      <w:pPr>
        <w:spacing w:line="276" w:lineRule="auto"/>
        <w:jc w:val="both"/>
        <w:rPr>
          <w:rFonts w:asciiTheme="minorHAnsi" w:eastAsia="MS Mincho" w:hAnsiTheme="minorHAnsi"/>
          <w:lang w:val="sq-AL"/>
        </w:rPr>
      </w:pPr>
    </w:p>
    <w:p w:rsidR="00591367" w:rsidRDefault="00CB4875" w:rsidP="002334F6">
      <w:pPr>
        <w:pStyle w:val="Heading2"/>
      </w:pPr>
      <w:bookmarkStart w:id="43" w:name="_Toc76470025"/>
      <w:r w:rsidRPr="0065598A">
        <w:t>I</w:t>
      </w:r>
      <w:r w:rsidR="006C73CF" w:rsidRPr="0065598A">
        <w:t>V.1</w:t>
      </w:r>
      <w:r w:rsidR="006C73CF" w:rsidRPr="0065598A">
        <w:tab/>
        <w:t xml:space="preserve">Stoku i Borxhit </w:t>
      </w:r>
      <w:r w:rsidR="00996855" w:rsidRPr="0065598A">
        <w:t>Publik</w:t>
      </w:r>
      <w:bookmarkEnd w:id="43"/>
    </w:p>
    <w:p w:rsidR="004F651C" w:rsidRDefault="004F651C" w:rsidP="004F651C">
      <w:pPr>
        <w:spacing w:line="276" w:lineRule="auto"/>
        <w:jc w:val="both"/>
        <w:rPr>
          <w:rFonts w:asciiTheme="minorHAnsi" w:hAnsiTheme="minorHAnsi"/>
          <w:lang w:val="sq-AL"/>
        </w:rPr>
      </w:pPr>
      <w:r w:rsidRPr="00591367">
        <w:rPr>
          <w:rFonts w:asciiTheme="minorHAnsi" w:hAnsiTheme="minorHAnsi"/>
          <w:lang w:val="sq-AL"/>
        </w:rPr>
        <w:t>Në fund të muajit mars 202</w:t>
      </w:r>
      <w:r>
        <w:rPr>
          <w:rFonts w:asciiTheme="minorHAnsi" w:hAnsiTheme="minorHAnsi"/>
          <w:lang w:val="sq-AL"/>
        </w:rPr>
        <w:t>1</w:t>
      </w:r>
      <w:r w:rsidRPr="00591367">
        <w:rPr>
          <w:rFonts w:asciiTheme="minorHAnsi" w:hAnsiTheme="minorHAnsi"/>
          <w:lang w:val="sq-AL"/>
        </w:rPr>
        <w:t>, borxhi publik u vlerësua në nivelin 1,</w:t>
      </w:r>
      <w:r>
        <w:rPr>
          <w:rFonts w:asciiTheme="minorHAnsi" w:hAnsiTheme="minorHAnsi"/>
          <w:lang w:val="sq-AL"/>
        </w:rPr>
        <w:t>220</w:t>
      </w:r>
      <w:r w:rsidRPr="00591367">
        <w:rPr>
          <w:rFonts w:asciiTheme="minorHAnsi" w:hAnsiTheme="minorHAnsi"/>
          <w:lang w:val="sq-AL"/>
        </w:rPr>
        <w:t>.</w:t>
      </w:r>
      <w:r>
        <w:rPr>
          <w:rFonts w:asciiTheme="minorHAnsi" w:hAnsiTheme="minorHAnsi"/>
          <w:lang w:val="sq-AL"/>
        </w:rPr>
        <w:t>9</w:t>
      </w:r>
      <w:r w:rsidRPr="00591367">
        <w:rPr>
          <w:rFonts w:asciiTheme="minorHAnsi" w:hAnsiTheme="minorHAnsi"/>
          <w:lang w:val="sq-AL"/>
        </w:rPr>
        <w:t xml:space="preserve"> miliard Lekë ose </w:t>
      </w:r>
      <w:r>
        <w:rPr>
          <w:rFonts w:asciiTheme="minorHAnsi" w:hAnsiTheme="minorHAnsi"/>
          <w:lang w:val="sq-AL"/>
        </w:rPr>
        <w:t>75.5</w:t>
      </w:r>
      <w:r w:rsidRPr="00591367">
        <w:rPr>
          <w:rFonts w:asciiTheme="minorHAnsi" w:hAnsiTheme="minorHAnsi"/>
          <w:lang w:val="sq-AL"/>
        </w:rPr>
        <w:t xml:space="preserve">% e PBB . Në terma nominal, stoku i borxhit publik është rritur më rreth </w:t>
      </w:r>
      <w:r>
        <w:rPr>
          <w:rFonts w:asciiTheme="minorHAnsi" w:hAnsiTheme="minorHAnsi"/>
          <w:lang w:val="sq-AL"/>
        </w:rPr>
        <w:t>45.7</w:t>
      </w:r>
      <w:r w:rsidRPr="00591367">
        <w:rPr>
          <w:rFonts w:asciiTheme="minorHAnsi" w:hAnsiTheme="minorHAnsi"/>
          <w:lang w:val="sq-AL"/>
        </w:rPr>
        <w:t xml:space="preserve"> miliard Lekë krahasuar me fundin e vitit 20</w:t>
      </w:r>
      <w:r>
        <w:rPr>
          <w:rFonts w:asciiTheme="minorHAnsi" w:hAnsiTheme="minorHAnsi"/>
          <w:lang w:val="sq-AL"/>
        </w:rPr>
        <w:t>20</w:t>
      </w:r>
      <w:r w:rsidRPr="00591367">
        <w:rPr>
          <w:rFonts w:asciiTheme="minorHAnsi" w:hAnsiTheme="minorHAnsi"/>
          <w:lang w:val="sq-AL"/>
        </w:rPr>
        <w:t xml:space="preserve">, nga të cilat </w:t>
      </w:r>
      <w:r>
        <w:rPr>
          <w:rFonts w:asciiTheme="minorHAnsi" w:hAnsiTheme="minorHAnsi"/>
          <w:lang w:val="sq-AL"/>
        </w:rPr>
        <w:t>23.8</w:t>
      </w:r>
      <w:r w:rsidRPr="00591367">
        <w:rPr>
          <w:rFonts w:asciiTheme="minorHAnsi" w:hAnsiTheme="minorHAnsi"/>
          <w:lang w:val="sq-AL"/>
        </w:rPr>
        <w:t xml:space="preserve"> miliard Lekë i korrespondojnë rritjes së borxhit të brendshëm dhe </w:t>
      </w:r>
      <w:r>
        <w:rPr>
          <w:rFonts w:asciiTheme="minorHAnsi" w:hAnsiTheme="minorHAnsi"/>
          <w:lang w:val="sq-AL"/>
        </w:rPr>
        <w:t>21.9</w:t>
      </w:r>
      <w:r w:rsidRPr="00591367">
        <w:rPr>
          <w:rFonts w:asciiTheme="minorHAnsi" w:hAnsiTheme="minorHAnsi"/>
          <w:lang w:val="sq-AL"/>
        </w:rPr>
        <w:t xml:space="preserve"> miliard Lekë borxhit të jashtëm. Rritja e stokut të borxhit të jashtëm i atribuohet kryesisht </w:t>
      </w:r>
      <w:r>
        <w:rPr>
          <w:rFonts w:asciiTheme="minorHAnsi" w:hAnsiTheme="minorHAnsi"/>
          <w:lang w:val="sq-AL"/>
        </w:rPr>
        <w:t>disbursimit të dy mbështetjeve buxhetore procesi i sigurimit të të cilave kishte filluar në vitin 2020 por për shkak të procedurave të gjata, disbursimi i tyre u bë i mundur vetëm në tremujorin e parë të këtij viti</w:t>
      </w:r>
      <w:r w:rsidRPr="00591367">
        <w:rPr>
          <w:rFonts w:asciiTheme="minorHAnsi" w:hAnsiTheme="minorHAnsi"/>
          <w:lang w:val="sq-AL"/>
        </w:rPr>
        <w:t xml:space="preserve">. </w:t>
      </w:r>
    </w:p>
    <w:p w:rsidR="004F651C" w:rsidRPr="004F651C" w:rsidRDefault="004F651C" w:rsidP="004F651C">
      <w:pPr>
        <w:ind w:right="-46"/>
        <w:rPr>
          <w:rFonts w:asciiTheme="minorHAnsi" w:hAnsiTheme="minorHAnsi"/>
          <w:i/>
          <w:noProof/>
          <w:sz w:val="8"/>
          <w:szCs w:val="8"/>
        </w:rPr>
      </w:pPr>
    </w:p>
    <w:p w:rsidR="004F651C" w:rsidRPr="004F651C" w:rsidRDefault="004F651C" w:rsidP="004F651C">
      <w:pPr>
        <w:spacing w:line="276" w:lineRule="auto"/>
        <w:ind w:right="-46"/>
        <w:rPr>
          <w:rFonts w:asciiTheme="minorHAnsi" w:hAnsiTheme="minorHAnsi"/>
          <w:i/>
          <w:noProof/>
          <w:sz w:val="22"/>
        </w:rPr>
      </w:pPr>
      <w:bookmarkStart w:id="44" w:name="_Toc76470124"/>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3C5F40">
        <w:rPr>
          <w:rFonts w:asciiTheme="minorHAnsi" w:hAnsiTheme="minorHAnsi"/>
          <w:i/>
          <w:noProof/>
          <w:sz w:val="22"/>
        </w:rPr>
        <w:t>5</w:t>
      </w:r>
      <w:r w:rsidRPr="004F651C">
        <w:rPr>
          <w:rFonts w:asciiTheme="minorHAnsi" w:hAnsiTheme="minorHAnsi"/>
          <w:i/>
          <w:noProof/>
          <w:sz w:val="22"/>
        </w:rPr>
        <w:fldChar w:fldCharType="end"/>
      </w:r>
      <w:r w:rsidRPr="004F651C">
        <w:rPr>
          <w:rFonts w:asciiTheme="minorHAnsi" w:hAnsiTheme="minorHAnsi"/>
          <w:i/>
          <w:noProof/>
          <w:sz w:val="22"/>
        </w:rPr>
        <w:t>: Borxhi publik në vlerë absolute dhe relative ndaj PBB (2016–Mars 2021)</w:t>
      </w:r>
      <w:bookmarkEnd w:id="44"/>
    </w:p>
    <w:p w:rsidR="004F651C" w:rsidRPr="00EB3166" w:rsidRDefault="004F651C" w:rsidP="004F651C">
      <w:pPr>
        <w:spacing w:line="276" w:lineRule="auto"/>
        <w:ind w:right="-46"/>
        <w:rPr>
          <w:rFonts w:asciiTheme="minorHAnsi" w:hAnsiTheme="minorHAnsi"/>
          <w:i/>
        </w:rPr>
      </w:pPr>
      <w:r>
        <w:rPr>
          <w:noProof/>
        </w:rPr>
        <w:drawing>
          <wp:inline distT="0" distB="0" distL="0" distR="0" wp14:anchorId="5D7B5C33" wp14:editId="608D0111">
            <wp:extent cx="6115050" cy="2103120"/>
            <wp:effectExtent l="0" t="0" r="0" b="0"/>
            <wp:docPr id="50" name="Chart 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F651C" w:rsidRPr="00591367" w:rsidRDefault="004F651C" w:rsidP="004F651C">
      <w:pPr>
        <w:tabs>
          <w:tab w:val="left" w:pos="540"/>
        </w:tabs>
        <w:spacing w:line="276" w:lineRule="auto"/>
        <w:rPr>
          <w:rFonts w:asciiTheme="minorHAnsi" w:hAnsiTheme="minorHAnsi"/>
          <w:i/>
          <w:sz w:val="20"/>
          <w:lang w:val="sq-AL"/>
        </w:rPr>
      </w:pPr>
      <w:r w:rsidRPr="00591367">
        <w:rPr>
          <w:rFonts w:asciiTheme="minorHAnsi" w:hAnsiTheme="minorHAnsi"/>
          <w:i/>
          <w:sz w:val="20"/>
          <w:lang w:val="sq-AL"/>
        </w:rPr>
        <w:t>Burimi: Ministria e Financave dhe Ekonomisë (202</w:t>
      </w:r>
      <w:r>
        <w:rPr>
          <w:rFonts w:asciiTheme="minorHAnsi" w:hAnsiTheme="minorHAnsi"/>
          <w:i/>
          <w:sz w:val="20"/>
          <w:lang w:val="sq-AL"/>
        </w:rPr>
        <w:t>1</w:t>
      </w:r>
      <w:r w:rsidRPr="00591367">
        <w:rPr>
          <w:rFonts w:asciiTheme="minorHAnsi" w:hAnsiTheme="minorHAnsi"/>
          <w:i/>
          <w:sz w:val="20"/>
          <w:lang w:val="sq-AL"/>
        </w:rPr>
        <w:t>)</w:t>
      </w:r>
    </w:p>
    <w:p w:rsidR="004F651C" w:rsidRDefault="004F651C" w:rsidP="004F651C">
      <w:pPr>
        <w:tabs>
          <w:tab w:val="left" w:pos="540"/>
        </w:tabs>
        <w:spacing w:line="276" w:lineRule="auto"/>
        <w:jc w:val="both"/>
        <w:rPr>
          <w:rFonts w:asciiTheme="minorHAnsi" w:eastAsia="MS Mincho" w:hAnsiTheme="minorHAnsi"/>
          <w:lang w:val="sq-AL"/>
        </w:rPr>
      </w:pPr>
    </w:p>
    <w:p w:rsidR="004F651C" w:rsidRDefault="004F651C" w:rsidP="004F651C">
      <w:pPr>
        <w:tabs>
          <w:tab w:val="left" w:pos="540"/>
        </w:tabs>
        <w:spacing w:line="276" w:lineRule="auto"/>
        <w:jc w:val="both"/>
        <w:rPr>
          <w:rFonts w:asciiTheme="minorHAnsi" w:eastAsia="MS Mincho" w:hAnsiTheme="minorHAnsi"/>
          <w:lang w:val="sq-AL"/>
        </w:rPr>
      </w:pPr>
      <w:r w:rsidRPr="00591367">
        <w:rPr>
          <w:rFonts w:asciiTheme="minorHAnsi" w:eastAsia="MS Mincho" w:hAnsiTheme="minorHAnsi"/>
          <w:lang w:val="sq-AL"/>
        </w:rPr>
        <w:t>Niveli i borxhit të brendshëm dhe atij të jashtëm i qeverisë qendrore në raport me totalin e borxhit publik janë përkatësisht rreth 52.</w:t>
      </w:r>
      <w:r>
        <w:rPr>
          <w:rFonts w:asciiTheme="minorHAnsi" w:eastAsia="MS Mincho" w:hAnsiTheme="minorHAnsi"/>
          <w:lang w:val="sq-AL"/>
        </w:rPr>
        <w:t>6</w:t>
      </w:r>
      <w:r w:rsidRPr="00591367">
        <w:rPr>
          <w:rFonts w:asciiTheme="minorHAnsi" w:eastAsia="MS Mincho" w:hAnsiTheme="minorHAnsi"/>
          <w:lang w:val="sq-AL"/>
        </w:rPr>
        <w:t>% dhe 47.</w:t>
      </w:r>
      <w:r>
        <w:rPr>
          <w:rFonts w:asciiTheme="minorHAnsi" w:eastAsia="MS Mincho" w:hAnsiTheme="minorHAnsi"/>
          <w:lang w:val="sq-AL"/>
        </w:rPr>
        <w:t>4</w:t>
      </w:r>
      <w:r w:rsidRPr="00591367">
        <w:rPr>
          <w:rFonts w:asciiTheme="minorHAnsi" w:eastAsia="MS Mincho" w:hAnsiTheme="minorHAnsi"/>
          <w:lang w:val="sq-AL"/>
        </w:rPr>
        <w:t xml:space="preserve">%, </w:t>
      </w:r>
      <w:r>
        <w:rPr>
          <w:rFonts w:asciiTheme="minorHAnsi" w:eastAsia="MS Mincho" w:hAnsiTheme="minorHAnsi"/>
          <w:lang w:val="sq-AL"/>
        </w:rPr>
        <w:t xml:space="preserve">duke ruajtur të njëjtin raport si në fund të </w:t>
      </w:r>
      <w:r>
        <w:rPr>
          <w:rFonts w:eastAsia="MS Mincho"/>
        </w:rPr>
        <w:t>vitit 2020</w:t>
      </w:r>
      <w:r w:rsidRPr="00591367">
        <w:rPr>
          <w:rFonts w:asciiTheme="minorHAnsi" w:eastAsia="MS Mincho" w:hAnsiTheme="minorHAnsi"/>
          <w:lang w:val="sq-AL"/>
        </w:rPr>
        <w:t>. Për sa i përket kompozimit të portofolit të borxhit publik sipas instrumenteve, më shumë se gjysmën e peshës vazhdojnë ta mbajnë instrumentet e tregtueshme (bono thesari, obligacione, eurobond), ndjekur nga huatë e huaja me destinacion financimin e projekteve dhe huatë në formën e mbështetjes buxhetore.</w:t>
      </w:r>
    </w:p>
    <w:p w:rsidR="007000D1" w:rsidRDefault="007000D1" w:rsidP="004F651C">
      <w:pPr>
        <w:tabs>
          <w:tab w:val="left" w:pos="540"/>
        </w:tabs>
        <w:spacing w:line="276" w:lineRule="auto"/>
        <w:jc w:val="both"/>
        <w:rPr>
          <w:rFonts w:asciiTheme="minorHAnsi" w:eastAsia="MS Mincho" w:hAnsiTheme="minorHAnsi"/>
          <w:lang w:val="sq-AL"/>
        </w:rPr>
      </w:pPr>
    </w:p>
    <w:p w:rsidR="007000D1" w:rsidRDefault="007000D1" w:rsidP="004F651C">
      <w:pPr>
        <w:tabs>
          <w:tab w:val="left" w:pos="540"/>
        </w:tabs>
        <w:spacing w:line="276" w:lineRule="auto"/>
        <w:jc w:val="both"/>
        <w:rPr>
          <w:rFonts w:asciiTheme="minorHAnsi" w:eastAsia="MS Mincho" w:hAnsiTheme="minorHAnsi"/>
          <w:lang w:val="sq-AL"/>
        </w:rPr>
      </w:pPr>
    </w:p>
    <w:p w:rsidR="007000D1" w:rsidRDefault="007000D1" w:rsidP="004F651C">
      <w:pPr>
        <w:tabs>
          <w:tab w:val="left" w:pos="540"/>
        </w:tabs>
        <w:spacing w:line="276" w:lineRule="auto"/>
        <w:jc w:val="both"/>
        <w:rPr>
          <w:rFonts w:asciiTheme="minorHAnsi" w:eastAsia="MS Mincho" w:hAnsiTheme="minorHAnsi"/>
          <w:lang w:val="sq-AL"/>
        </w:rPr>
      </w:pPr>
    </w:p>
    <w:p w:rsidR="007000D1" w:rsidRPr="00591367" w:rsidRDefault="007000D1" w:rsidP="004F651C">
      <w:pPr>
        <w:tabs>
          <w:tab w:val="left" w:pos="540"/>
        </w:tabs>
        <w:spacing w:line="276" w:lineRule="auto"/>
        <w:jc w:val="both"/>
        <w:rPr>
          <w:rFonts w:asciiTheme="minorHAnsi" w:eastAsia="MS Mincho" w:hAnsiTheme="minorHAnsi"/>
          <w:lang w:val="sq-AL"/>
        </w:rPr>
      </w:pPr>
    </w:p>
    <w:p w:rsidR="004F651C" w:rsidRPr="00591367" w:rsidRDefault="004F651C" w:rsidP="004F651C">
      <w:pPr>
        <w:spacing w:line="276" w:lineRule="auto"/>
        <w:ind w:right="-46"/>
        <w:jc w:val="both"/>
        <w:rPr>
          <w:rFonts w:asciiTheme="minorHAnsi" w:eastAsia="MS Mincho" w:hAnsiTheme="minorHAnsi"/>
          <w:sz w:val="8"/>
          <w:szCs w:val="8"/>
          <w:lang w:val="sq-AL"/>
        </w:rPr>
      </w:pPr>
    </w:p>
    <w:p w:rsidR="004F651C" w:rsidRPr="004F651C" w:rsidRDefault="004F651C" w:rsidP="004F651C">
      <w:pPr>
        <w:spacing w:line="276" w:lineRule="auto"/>
        <w:ind w:right="-46"/>
        <w:rPr>
          <w:rFonts w:asciiTheme="minorHAnsi" w:hAnsiTheme="minorHAnsi"/>
          <w:i/>
          <w:noProof/>
          <w:sz w:val="22"/>
        </w:rPr>
      </w:pPr>
      <w:bookmarkStart w:id="45" w:name="_Toc76470125"/>
      <w:r w:rsidRPr="004F651C">
        <w:rPr>
          <w:rFonts w:asciiTheme="minorHAnsi" w:hAnsiTheme="minorHAnsi"/>
          <w:i/>
          <w:noProof/>
          <w:sz w:val="22"/>
        </w:rPr>
        <w:lastRenderedPageBreak/>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3C5F40">
        <w:rPr>
          <w:rFonts w:asciiTheme="minorHAnsi" w:hAnsiTheme="minorHAnsi"/>
          <w:i/>
          <w:noProof/>
          <w:sz w:val="22"/>
        </w:rPr>
        <w:t>6</w:t>
      </w:r>
      <w:r w:rsidRPr="004F651C">
        <w:rPr>
          <w:rFonts w:asciiTheme="minorHAnsi" w:hAnsiTheme="minorHAnsi"/>
          <w:i/>
          <w:noProof/>
          <w:sz w:val="22"/>
        </w:rPr>
        <w:fldChar w:fldCharType="end"/>
      </w:r>
      <w:r w:rsidRPr="004F651C">
        <w:rPr>
          <w:rFonts w:asciiTheme="minorHAnsi" w:hAnsiTheme="minorHAnsi"/>
          <w:i/>
          <w:noProof/>
          <w:sz w:val="22"/>
        </w:rPr>
        <w:t>: Përbërja e borxhit të qeverisjes qendrore në raport me totalin (2016-Mars 2021)</w:t>
      </w:r>
      <w:bookmarkEnd w:id="45"/>
    </w:p>
    <w:p w:rsidR="004F651C" w:rsidRPr="00EB3166" w:rsidRDefault="004F651C" w:rsidP="004F651C">
      <w:pPr>
        <w:spacing w:line="276" w:lineRule="auto"/>
        <w:ind w:right="-46"/>
        <w:jc w:val="center"/>
        <w:rPr>
          <w:rFonts w:asciiTheme="minorHAnsi" w:hAnsiTheme="minorHAnsi"/>
          <w:i/>
          <w:noProof/>
        </w:rPr>
      </w:pPr>
      <w:r>
        <w:rPr>
          <w:noProof/>
        </w:rPr>
        <w:drawing>
          <wp:inline distT="0" distB="0" distL="0" distR="0" wp14:anchorId="1C6EE2A3" wp14:editId="64F94B8C">
            <wp:extent cx="6010275" cy="1666875"/>
            <wp:effectExtent l="0" t="0" r="0" b="0"/>
            <wp:docPr id="51" name="Chart 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F651C" w:rsidRPr="00591367" w:rsidRDefault="004F651C" w:rsidP="004F651C">
      <w:pPr>
        <w:tabs>
          <w:tab w:val="left" w:pos="540"/>
        </w:tabs>
        <w:spacing w:line="276" w:lineRule="auto"/>
        <w:rPr>
          <w:rFonts w:asciiTheme="minorHAnsi" w:hAnsiTheme="minorHAnsi"/>
          <w:i/>
          <w:sz w:val="20"/>
          <w:lang w:val="sq-AL"/>
        </w:rPr>
      </w:pPr>
      <w:r w:rsidRPr="00C73D23">
        <w:rPr>
          <w:rFonts w:asciiTheme="minorHAnsi" w:hAnsiTheme="minorHAnsi"/>
          <w:i/>
          <w:sz w:val="20"/>
          <w:lang w:val="sq-AL"/>
        </w:rPr>
        <w:t xml:space="preserve">Burimi: </w:t>
      </w:r>
      <w:r w:rsidRPr="00591367">
        <w:rPr>
          <w:rFonts w:asciiTheme="minorHAnsi" w:hAnsiTheme="minorHAnsi"/>
          <w:i/>
          <w:sz w:val="20"/>
          <w:lang w:val="sq-AL"/>
        </w:rPr>
        <w:t>Ministria e Financave dhe Ekonomisë (202</w:t>
      </w:r>
      <w:r>
        <w:rPr>
          <w:rFonts w:asciiTheme="minorHAnsi" w:hAnsiTheme="minorHAnsi"/>
          <w:i/>
          <w:sz w:val="20"/>
          <w:lang w:val="sq-AL"/>
        </w:rPr>
        <w:t>1</w:t>
      </w:r>
      <w:r w:rsidRPr="00591367">
        <w:rPr>
          <w:rFonts w:asciiTheme="minorHAnsi" w:hAnsiTheme="minorHAnsi"/>
          <w:i/>
          <w:sz w:val="20"/>
          <w:lang w:val="sq-AL"/>
        </w:rPr>
        <w:t>)</w:t>
      </w:r>
    </w:p>
    <w:p w:rsidR="007000D1" w:rsidRDefault="007000D1" w:rsidP="004F651C">
      <w:pPr>
        <w:spacing w:line="276" w:lineRule="auto"/>
        <w:jc w:val="both"/>
        <w:rPr>
          <w:rFonts w:asciiTheme="minorHAnsi" w:hAnsiTheme="minorHAnsi"/>
          <w:i/>
          <w:u w:val="single"/>
          <w:lang w:val="sq-AL"/>
        </w:rPr>
      </w:pPr>
    </w:p>
    <w:p w:rsidR="004F651C" w:rsidRPr="00D43A95" w:rsidRDefault="004F651C" w:rsidP="004F651C">
      <w:pPr>
        <w:spacing w:line="276" w:lineRule="auto"/>
        <w:jc w:val="both"/>
        <w:rPr>
          <w:rFonts w:asciiTheme="minorHAnsi" w:hAnsiTheme="minorHAnsi"/>
          <w:i/>
          <w:u w:val="single"/>
          <w:lang w:val="sq-AL"/>
        </w:rPr>
      </w:pPr>
      <w:r w:rsidRPr="00D43A95">
        <w:rPr>
          <w:rFonts w:asciiTheme="minorHAnsi" w:hAnsiTheme="minorHAnsi"/>
          <w:i/>
          <w:u w:val="single"/>
          <w:lang w:val="sq-AL"/>
        </w:rPr>
        <w:t>Përbërja e Borxhit Shtetëror</w:t>
      </w:r>
    </w:p>
    <w:p w:rsidR="004F651C" w:rsidRDefault="004F651C" w:rsidP="004F651C">
      <w:pPr>
        <w:tabs>
          <w:tab w:val="left" w:pos="9000"/>
        </w:tabs>
        <w:spacing w:line="276" w:lineRule="auto"/>
        <w:ind w:right="-46"/>
        <w:jc w:val="both"/>
        <w:rPr>
          <w:rFonts w:asciiTheme="minorHAnsi" w:hAnsiTheme="minorHAnsi"/>
          <w:noProof/>
        </w:rPr>
      </w:pPr>
      <w:r w:rsidRPr="00591367">
        <w:rPr>
          <w:rFonts w:asciiTheme="minorHAnsi" w:hAnsiTheme="minorHAnsi"/>
          <w:noProof/>
        </w:rPr>
        <w:t>Gjatë periudhës janar-mars të vitit 202</w:t>
      </w:r>
      <w:r>
        <w:rPr>
          <w:rFonts w:asciiTheme="minorHAnsi" w:hAnsiTheme="minorHAnsi"/>
          <w:noProof/>
        </w:rPr>
        <w:t>1</w:t>
      </w:r>
      <w:r w:rsidRPr="00591367">
        <w:rPr>
          <w:rFonts w:asciiTheme="minorHAnsi" w:hAnsiTheme="minorHAnsi"/>
          <w:noProof/>
        </w:rPr>
        <w:t xml:space="preserve"> portofoli i borxhit shtetëror vazhdon të dominohet mbi 50% nga titujt shtetërorë të tregtuar</w:t>
      </w:r>
      <w:r w:rsidRPr="00591367">
        <w:rPr>
          <w:rFonts w:asciiTheme="minorHAnsi" w:hAnsiTheme="minorHAnsi"/>
          <w:i/>
          <w:noProof/>
        </w:rPr>
        <w:t xml:space="preserve"> </w:t>
      </w:r>
      <w:r w:rsidRPr="00591367">
        <w:rPr>
          <w:rFonts w:asciiTheme="minorHAnsi" w:hAnsiTheme="minorHAnsi"/>
          <w:noProof/>
        </w:rPr>
        <w:t>në tregun vendas, në përputhje me objektivat strategjikë për mbajtjen nën kontroll të riskut të kursit të këmbimit.</w:t>
      </w:r>
    </w:p>
    <w:p w:rsidR="004F651C" w:rsidRPr="00591367" w:rsidRDefault="004F651C" w:rsidP="004F651C">
      <w:pPr>
        <w:pStyle w:val="ListParagraph"/>
        <w:tabs>
          <w:tab w:val="left" w:pos="9000"/>
        </w:tabs>
        <w:spacing w:line="276" w:lineRule="auto"/>
        <w:ind w:right="-188"/>
        <w:jc w:val="both"/>
        <w:rPr>
          <w:rFonts w:asciiTheme="minorHAnsi" w:hAnsiTheme="minorHAnsi"/>
          <w:noProof/>
          <w:sz w:val="8"/>
          <w:szCs w:val="8"/>
        </w:rPr>
      </w:pPr>
    </w:p>
    <w:p w:rsidR="004F651C" w:rsidRPr="004F651C" w:rsidRDefault="004F651C" w:rsidP="004F651C">
      <w:pPr>
        <w:spacing w:line="276" w:lineRule="auto"/>
        <w:ind w:left="-1418" w:right="-188" w:firstLine="1418"/>
        <w:rPr>
          <w:rFonts w:asciiTheme="minorHAnsi" w:hAnsiTheme="minorHAnsi"/>
          <w:i/>
          <w:noProof/>
          <w:sz w:val="22"/>
        </w:rPr>
      </w:pPr>
      <w:bookmarkStart w:id="46" w:name="_Toc76470126"/>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3C5F40">
        <w:rPr>
          <w:rFonts w:asciiTheme="minorHAnsi" w:hAnsiTheme="minorHAnsi"/>
          <w:i/>
          <w:noProof/>
          <w:sz w:val="22"/>
        </w:rPr>
        <w:t>7</w:t>
      </w:r>
      <w:r w:rsidRPr="004F651C">
        <w:rPr>
          <w:rFonts w:asciiTheme="minorHAnsi" w:hAnsiTheme="minorHAnsi"/>
          <w:i/>
          <w:noProof/>
          <w:sz w:val="22"/>
        </w:rPr>
        <w:fldChar w:fldCharType="end"/>
      </w:r>
      <w:r w:rsidRPr="004F651C">
        <w:rPr>
          <w:rFonts w:asciiTheme="minorHAnsi" w:hAnsiTheme="minorHAnsi"/>
          <w:i/>
          <w:noProof/>
          <w:sz w:val="22"/>
        </w:rPr>
        <w:t>: Kompozimi i portofolit të borxhit shtetëror sipas instrumenteve (2016–Mars 2021)</w:t>
      </w:r>
      <w:bookmarkEnd w:id="46"/>
    </w:p>
    <w:p w:rsidR="004F651C" w:rsidRPr="00EB3166" w:rsidRDefault="004F651C" w:rsidP="004F651C">
      <w:pPr>
        <w:spacing w:line="276" w:lineRule="auto"/>
        <w:ind w:left="-1418" w:right="-188" w:firstLine="1418"/>
        <w:jc w:val="center"/>
        <w:rPr>
          <w:rFonts w:asciiTheme="minorHAnsi" w:eastAsia="MS Mincho" w:hAnsiTheme="minorHAnsi"/>
          <w:i/>
          <w:noProof/>
          <w:lang w:val="sq-AL"/>
        </w:rPr>
      </w:pPr>
      <w:r>
        <w:rPr>
          <w:noProof/>
        </w:rPr>
        <w:drawing>
          <wp:inline distT="0" distB="0" distL="0" distR="0" wp14:anchorId="4AD42CE0" wp14:editId="48CA603F">
            <wp:extent cx="5991225" cy="1973580"/>
            <wp:effectExtent l="0" t="0" r="0" b="7620"/>
            <wp:docPr id="1" name="Chart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F651C" w:rsidRPr="00591367" w:rsidRDefault="004F651C" w:rsidP="004F651C">
      <w:pPr>
        <w:spacing w:line="276" w:lineRule="auto"/>
        <w:ind w:right="-188" w:firstLine="720"/>
        <w:rPr>
          <w:rFonts w:asciiTheme="minorHAnsi" w:hAnsiTheme="minorHAnsi"/>
          <w:i/>
          <w:noProof/>
          <w:sz w:val="20"/>
          <w:szCs w:val="20"/>
        </w:rPr>
      </w:pPr>
      <w:r w:rsidRPr="00591367">
        <w:rPr>
          <w:rFonts w:asciiTheme="minorHAnsi" w:hAnsiTheme="minorHAnsi"/>
          <w:i/>
          <w:noProof/>
          <w:sz w:val="20"/>
          <w:szCs w:val="20"/>
        </w:rPr>
        <w:t>Burimi: Ministria e Financave dhe Ekonomisë (202</w:t>
      </w:r>
      <w:r>
        <w:rPr>
          <w:rFonts w:asciiTheme="minorHAnsi" w:hAnsiTheme="minorHAnsi"/>
          <w:i/>
          <w:noProof/>
          <w:sz w:val="20"/>
          <w:szCs w:val="20"/>
        </w:rPr>
        <w:t>1</w:t>
      </w:r>
      <w:r w:rsidRPr="00591367">
        <w:rPr>
          <w:rFonts w:asciiTheme="minorHAnsi" w:hAnsiTheme="minorHAnsi"/>
          <w:i/>
          <w:noProof/>
          <w:sz w:val="20"/>
          <w:szCs w:val="20"/>
        </w:rPr>
        <w:t>)</w:t>
      </w:r>
    </w:p>
    <w:p w:rsidR="004F651C" w:rsidRPr="00796E6A" w:rsidRDefault="004F651C" w:rsidP="004F651C">
      <w:pPr>
        <w:spacing w:line="276" w:lineRule="auto"/>
        <w:jc w:val="both"/>
        <w:rPr>
          <w:rFonts w:asciiTheme="minorHAnsi" w:eastAsia="MS Mincho" w:hAnsiTheme="minorHAnsi"/>
          <w:sz w:val="8"/>
          <w:szCs w:val="8"/>
          <w:lang w:val="sq-AL"/>
        </w:rPr>
      </w:pPr>
    </w:p>
    <w:p w:rsidR="004F651C" w:rsidRDefault="004F651C" w:rsidP="004F651C">
      <w:pPr>
        <w:spacing w:line="276" w:lineRule="auto"/>
        <w:jc w:val="both"/>
        <w:rPr>
          <w:rFonts w:asciiTheme="minorHAnsi" w:eastAsia="MS Mincho" w:hAnsiTheme="minorHAnsi"/>
          <w:lang w:val="sq-AL"/>
        </w:rPr>
      </w:pPr>
      <w:r w:rsidRPr="00591367">
        <w:rPr>
          <w:rFonts w:asciiTheme="minorHAnsi" w:eastAsia="MS Mincho" w:hAnsiTheme="minorHAnsi"/>
          <w:lang w:val="sq-AL"/>
        </w:rPr>
        <w:t>Për sa i përket kompozimit të borxhit të brendshëm, pesh</w:t>
      </w:r>
      <w:r>
        <w:rPr>
          <w:rFonts w:asciiTheme="minorHAnsi" w:eastAsia="MS Mincho" w:hAnsiTheme="minorHAnsi"/>
          <w:lang w:val="sq-AL"/>
        </w:rPr>
        <w:t>a</w:t>
      </w:r>
      <w:r w:rsidRPr="00591367">
        <w:rPr>
          <w:rFonts w:asciiTheme="minorHAnsi" w:eastAsia="MS Mincho" w:hAnsiTheme="minorHAnsi"/>
          <w:lang w:val="sq-AL"/>
        </w:rPr>
        <w:t xml:space="preserve"> </w:t>
      </w:r>
      <w:r>
        <w:rPr>
          <w:rFonts w:asciiTheme="minorHAnsi" w:eastAsia="MS Mincho" w:hAnsiTheme="minorHAnsi"/>
          <w:lang w:val="sq-AL"/>
        </w:rPr>
        <w:t>e</w:t>
      </w:r>
      <w:r w:rsidRPr="00591367">
        <w:rPr>
          <w:rFonts w:asciiTheme="minorHAnsi" w:eastAsia="MS Mincho" w:hAnsiTheme="minorHAnsi"/>
          <w:lang w:val="sq-AL"/>
        </w:rPr>
        <w:t xml:space="preserve"> tituj</w:t>
      </w:r>
      <w:r>
        <w:rPr>
          <w:rFonts w:asciiTheme="minorHAnsi" w:eastAsia="MS Mincho" w:hAnsiTheme="minorHAnsi"/>
          <w:lang w:val="sq-AL"/>
        </w:rPr>
        <w:t>ve</w:t>
      </w:r>
      <w:r w:rsidRPr="00591367">
        <w:rPr>
          <w:rFonts w:asciiTheme="minorHAnsi" w:eastAsia="MS Mincho" w:hAnsiTheme="minorHAnsi"/>
          <w:lang w:val="sq-AL"/>
        </w:rPr>
        <w:t xml:space="preserve"> afatgjatë </w:t>
      </w:r>
      <w:r>
        <w:rPr>
          <w:rFonts w:asciiTheme="minorHAnsi" w:eastAsia="MS Mincho" w:hAnsiTheme="minorHAnsi"/>
          <w:lang w:val="sq-AL"/>
        </w:rPr>
        <w:t xml:space="preserve">ka pësuar një rënie të lehtë </w:t>
      </w:r>
      <w:r w:rsidRPr="00591367">
        <w:rPr>
          <w:rFonts w:asciiTheme="minorHAnsi" w:eastAsia="MS Mincho" w:hAnsiTheme="minorHAnsi"/>
          <w:lang w:val="sq-AL"/>
        </w:rPr>
        <w:t xml:space="preserve">në </w:t>
      </w:r>
      <w:r>
        <w:rPr>
          <w:rFonts w:asciiTheme="minorHAnsi" w:eastAsia="MS Mincho" w:hAnsiTheme="minorHAnsi"/>
          <w:lang w:val="sq-AL"/>
        </w:rPr>
        <w:t>krahasim me atë të fundit të vitit 2020</w:t>
      </w:r>
      <w:r w:rsidRPr="00591367">
        <w:rPr>
          <w:rFonts w:asciiTheme="minorHAnsi" w:eastAsia="MS Mincho" w:hAnsiTheme="minorHAnsi"/>
          <w:lang w:val="sq-AL"/>
        </w:rPr>
        <w:t>. Ndërkohë, pesha e titujve me norma interesi të ndryshueshme është reduktuar, pasi edhe gjatë kësaj periudhe nuk ka patur emetime të titujve me norma interesi të ndryshueshme, në përputhje me objektivat për reduktimin e riskut të normave të interesit dhe shmangien e fragmentimit të kërkesës për titujt me maturitet të ngjashëm.</w:t>
      </w:r>
    </w:p>
    <w:p w:rsidR="004F651C" w:rsidRPr="004F651C" w:rsidRDefault="004F651C" w:rsidP="004F651C">
      <w:pPr>
        <w:spacing w:line="276" w:lineRule="auto"/>
        <w:jc w:val="both"/>
        <w:rPr>
          <w:rFonts w:asciiTheme="minorHAnsi" w:hAnsiTheme="minorHAnsi"/>
          <w:b/>
          <w:bCs/>
          <w:i/>
          <w:noProof/>
          <w:sz w:val="8"/>
          <w:szCs w:val="8"/>
        </w:rPr>
      </w:pPr>
    </w:p>
    <w:p w:rsidR="004F651C" w:rsidRPr="004F651C" w:rsidRDefault="004F651C" w:rsidP="004F651C">
      <w:pPr>
        <w:spacing w:line="276" w:lineRule="auto"/>
        <w:ind w:left="-1418" w:right="-188" w:firstLine="1418"/>
        <w:rPr>
          <w:rFonts w:asciiTheme="minorHAnsi" w:hAnsiTheme="minorHAnsi"/>
          <w:i/>
          <w:noProof/>
          <w:sz w:val="22"/>
        </w:rPr>
      </w:pPr>
      <w:bookmarkStart w:id="47" w:name="_Toc76470127"/>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3C5F40">
        <w:rPr>
          <w:rFonts w:asciiTheme="minorHAnsi" w:hAnsiTheme="minorHAnsi"/>
          <w:i/>
          <w:noProof/>
          <w:sz w:val="22"/>
        </w:rPr>
        <w:t>8</w:t>
      </w:r>
      <w:r w:rsidRPr="004F651C">
        <w:rPr>
          <w:rFonts w:asciiTheme="minorHAnsi" w:hAnsiTheme="minorHAnsi"/>
          <w:i/>
          <w:noProof/>
          <w:sz w:val="22"/>
        </w:rPr>
        <w:fldChar w:fldCharType="end"/>
      </w:r>
      <w:r w:rsidRPr="004F651C">
        <w:rPr>
          <w:rFonts w:asciiTheme="minorHAnsi" w:hAnsiTheme="minorHAnsi"/>
          <w:i/>
          <w:noProof/>
          <w:sz w:val="22"/>
        </w:rPr>
        <w:t>: Kompozimi i borxhit të brendshëm shtetëror (2016-Mars 2021)</w:t>
      </w:r>
      <w:bookmarkEnd w:id="47"/>
    </w:p>
    <w:p w:rsidR="004F651C" w:rsidRPr="00591367" w:rsidRDefault="004F651C" w:rsidP="004F651C">
      <w:pPr>
        <w:spacing w:line="276" w:lineRule="auto"/>
        <w:jc w:val="both"/>
        <w:rPr>
          <w:rFonts w:asciiTheme="minorHAnsi" w:hAnsiTheme="minorHAnsi"/>
          <w:b/>
          <w:sz w:val="8"/>
          <w:szCs w:val="8"/>
          <w:lang w:val="sq-AL"/>
        </w:rPr>
      </w:pPr>
      <w:r>
        <w:rPr>
          <w:noProof/>
        </w:rPr>
        <w:drawing>
          <wp:anchor distT="0" distB="0" distL="114300" distR="114300" simplePos="0" relativeHeight="251659776" behindDoc="0" locked="0" layoutInCell="1" allowOverlap="1" wp14:anchorId="68703752" wp14:editId="34072F6A">
            <wp:simplePos x="0" y="0"/>
            <wp:positionH relativeFrom="column">
              <wp:posOffset>3810</wp:posOffset>
            </wp:positionH>
            <wp:positionV relativeFrom="paragraph">
              <wp:posOffset>29210</wp:posOffset>
            </wp:positionV>
            <wp:extent cx="3209925" cy="1775460"/>
            <wp:effectExtent l="0" t="0" r="0" b="0"/>
            <wp:wrapSquare wrapText="bothSides"/>
            <wp:docPr id="52" name="Chart 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V relativeFrom="margin">
              <wp14:pctHeight>0</wp14:pctHeight>
            </wp14:sizeRelV>
          </wp:anchor>
        </w:drawing>
      </w:r>
    </w:p>
    <w:p w:rsidR="004F651C" w:rsidRPr="00D549D7" w:rsidRDefault="007000D1" w:rsidP="004F651C">
      <w:r>
        <w:rPr>
          <w:noProof/>
        </w:rPr>
        <w:drawing>
          <wp:inline distT="0" distB="0" distL="0" distR="0" wp14:anchorId="4E5A1719" wp14:editId="7134F891">
            <wp:extent cx="2783205" cy="1783080"/>
            <wp:effectExtent l="0" t="0" r="0" b="7620"/>
            <wp:docPr id="53" name="Chart 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4F651C" w:rsidRPr="00847FA6" w:rsidRDefault="004F651C" w:rsidP="004F651C">
      <w:pPr>
        <w:spacing w:line="276" w:lineRule="auto"/>
        <w:rPr>
          <w:rFonts w:asciiTheme="minorHAnsi" w:hAnsiTheme="minorHAnsi"/>
          <w:i/>
          <w:lang w:val="sq-AL"/>
        </w:rPr>
      </w:pPr>
      <w:r w:rsidRPr="00591367">
        <w:rPr>
          <w:rFonts w:asciiTheme="minorHAnsi" w:eastAsia="MS Mincho" w:hAnsiTheme="minorHAnsi"/>
          <w:i/>
          <w:sz w:val="20"/>
          <w:lang w:val="sq-AL"/>
        </w:rPr>
        <w:t xml:space="preserve">Burimi: </w:t>
      </w:r>
      <w:r w:rsidRPr="00591367">
        <w:rPr>
          <w:rFonts w:asciiTheme="minorHAnsi" w:hAnsiTheme="minorHAnsi"/>
          <w:i/>
          <w:sz w:val="20"/>
          <w:lang w:val="sq-AL"/>
        </w:rPr>
        <w:t>Ministria e Financave dhe Ekonomisë (202</w:t>
      </w:r>
      <w:r>
        <w:rPr>
          <w:rFonts w:asciiTheme="minorHAnsi" w:hAnsiTheme="minorHAnsi"/>
          <w:i/>
          <w:sz w:val="20"/>
          <w:lang w:val="sq-AL"/>
        </w:rPr>
        <w:t>1</w:t>
      </w:r>
      <w:r w:rsidRPr="00591367">
        <w:rPr>
          <w:rFonts w:asciiTheme="minorHAnsi" w:hAnsiTheme="minorHAnsi"/>
          <w:i/>
          <w:sz w:val="20"/>
          <w:lang w:val="sq-AL"/>
        </w:rPr>
        <w:t>)</w:t>
      </w:r>
    </w:p>
    <w:p w:rsidR="004F651C" w:rsidRPr="00591367" w:rsidRDefault="004F651C" w:rsidP="004F651C">
      <w:pPr>
        <w:tabs>
          <w:tab w:val="left" w:pos="1916"/>
        </w:tabs>
        <w:spacing w:line="276" w:lineRule="auto"/>
        <w:jc w:val="both"/>
        <w:rPr>
          <w:rFonts w:asciiTheme="minorHAnsi" w:hAnsiTheme="minorHAnsi"/>
          <w:sz w:val="12"/>
          <w:szCs w:val="12"/>
          <w:lang w:val="sq-AL"/>
        </w:rPr>
      </w:pPr>
    </w:p>
    <w:p w:rsidR="004F651C" w:rsidRDefault="004F651C" w:rsidP="004F651C">
      <w:pPr>
        <w:tabs>
          <w:tab w:val="left" w:pos="1916"/>
        </w:tabs>
        <w:spacing w:line="276" w:lineRule="auto"/>
        <w:jc w:val="both"/>
        <w:rPr>
          <w:rFonts w:asciiTheme="minorHAnsi" w:hAnsiTheme="minorHAnsi"/>
          <w:lang w:val="sq-AL"/>
        </w:rPr>
      </w:pPr>
      <w:r w:rsidRPr="00591367">
        <w:rPr>
          <w:rFonts w:asciiTheme="minorHAnsi" w:hAnsiTheme="minorHAnsi"/>
          <w:lang w:val="sq-AL"/>
        </w:rPr>
        <w:lastRenderedPageBreak/>
        <w:t xml:space="preserve">Në portofolin e borxhit të jashtëm, mbi 50% të peshës e mban borxhi me normë interesi fikse. Ndërkohë, për sa i përket kompozimit sipas instrumenteve, pavarësisht diversifikimit të portofolit drejt instrumenteve të tregtueshme </w:t>
      </w:r>
      <w:r w:rsidRPr="00591367">
        <w:rPr>
          <w:rFonts w:asciiTheme="minorHAnsi" w:hAnsiTheme="minorHAnsi"/>
          <w:i/>
          <w:lang w:val="sq-AL"/>
        </w:rPr>
        <w:t>(p.sh. Eurobond-i)</w:t>
      </w:r>
      <w:r w:rsidRPr="00591367">
        <w:rPr>
          <w:rFonts w:asciiTheme="minorHAnsi" w:hAnsiTheme="minorHAnsi"/>
          <w:lang w:val="sq-AL"/>
        </w:rPr>
        <w:t xml:space="preserve">, peshën më të madhe vazhdojnë ta mbajnë kreditë me burim kreditorët dypalësh dhe shumëpalësh, me destinacion financimin e projekteve me natyrë zhvillimore. </w:t>
      </w:r>
    </w:p>
    <w:p w:rsidR="004F651C" w:rsidRPr="0035044A" w:rsidRDefault="004F651C" w:rsidP="004F651C">
      <w:pPr>
        <w:tabs>
          <w:tab w:val="left" w:pos="1916"/>
        </w:tabs>
        <w:spacing w:line="276" w:lineRule="auto"/>
        <w:jc w:val="both"/>
        <w:rPr>
          <w:rFonts w:asciiTheme="minorHAnsi" w:hAnsiTheme="minorHAnsi"/>
          <w:sz w:val="8"/>
          <w:szCs w:val="8"/>
          <w:lang w:val="sq-AL"/>
        </w:rPr>
      </w:pPr>
    </w:p>
    <w:p w:rsidR="004F651C" w:rsidRPr="004F651C" w:rsidRDefault="004F651C" w:rsidP="004F651C">
      <w:pPr>
        <w:pStyle w:val="Caption"/>
        <w:rPr>
          <w:rFonts w:asciiTheme="minorHAnsi" w:hAnsiTheme="minorHAnsi"/>
          <w:i/>
          <w:sz w:val="22"/>
          <w:szCs w:val="22"/>
          <w:lang w:val="sq-AL"/>
        </w:rPr>
      </w:pPr>
      <w:bookmarkStart w:id="48" w:name="_Toc76470128"/>
      <w:r w:rsidRPr="004F651C">
        <w:rPr>
          <w:rFonts w:asciiTheme="minorHAnsi" w:hAnsiTheme="minorHAnsi"/>
          <w:b w:val="0"/>
          <w:bCs w:val="0"/>
          <w:i/>
          <w:noProof/>
          <w:color w:val="auto"/>
          <w:sz w:val="22"/>
          <w:szCs w:val="22"/>
        </w:rPr>
        <w:t xml:space="preserve">Grafiku </w:t>
      </w:r>
      <w:r w:rsidRPr="004F651C">
        <w:rPr>
          <w:rFonts w:asciiTheme="minorHAnsi" w:hAnsiTheme="minorHAnsi"/>
          <w:b w:val="0"/>
          <w:bCs w:val="0"/>
          <w:i/>
          <w:noProof/>
          <w:color w:val="auto"/>
          <w:sz w:val="22"/>
          <w:szCs w:val="22"/>
        </w:rPr>
        <w:fldChar w:fldCharType="begin"/>
      </w:r>
      <w:r w:rsidRPr="004F651C">
        <w:rPr>
          <w:rFonts w:asciiTheme="minorHAnsi" w:hAnsiTheme="minorHAnsi"/>
          <w:b w:val="0"/>
          <w:bCs w:val="0"/>
          <w:i/>
          <w:noProof/>
          <w:color w:val="auto"/>
          <w:sz w:val="22"/>
          <w:szCs w:val="22"/>
        </w:rPr>
        <w:instrText xml:space="preserve"> SEQ Grafiku \* ARABIC </w:instrText>
      </w:r>
      <w:r w:rsidRPr="004F651C">
        <w:rPr>
          <w:rFonts w:asciiTheme="minorHAnsi" w:hAnsiTheme="minorHAnsi"/>
          <w:b w:val="0"/>
          <w:bCs w:val="0"/>
          <w:i/>
          <w:noProof/>
          <w:color w:val="auto"/>
          <w:sz w:val="22"/>
          <w:szCs w:val="22"/>
        </w:rPr>
        <w:fldChar w:fldCharType="separate"/>
      </w:r>
      <w:r w:rsidR="003C5F40">
        <w:rPr>
          <w:rFonts w:asciiTheme="minorHAnsi" w:hAnsiTheme="minorHAnsi"/>
          <w:b w:val="0"/>
          <w:bCs w:val="0"/>
          <w:i/>
          <w:noProof/>
          <w:color w:val="auto"/>
          <w:sz w:val="22"/>
          <w:szCs w:val="22"/>
        </w:rPr>
        <w:t>9</w:t>
      </w:r>
      <w:r w:rsidRPr="004F651C">
        <w:rPr>
          <w:rFonts w:asciiTheme="minorHAnsi" w:hAnsiTheme="minorHAnsi"/>
          <w:b w:val="0"/>
          <w:bCs w:val="0"/>
          <w:i/>
          <w:noProof/>
          <w:color w:val="auto"/>
          <w:sz w:val="22"/>
          <w:szCs w:val="22"/>
        </w:rPr>
        <w:fldChar w:fldCharType="end"/>
      </w:r>
      <w:r w:rsidRPr="004F651C">
        <w:rPr>
          <w:rFonts w:asciiTheme="minorHAnsi" w:hAnsiTheme="minorHAnsi"/>
          <w:b w:val="0"/>
          <w:bCs w:val="0"/>
          <w:i/>
          <w:noProof/>
          <w:color w:val="auto"/>
          <w:sz w:val="22"/>
          <w:szCs w:val="22"/>
        </w:rPr>
        <w:t>: Kompozimi i borxhit të jashtëm shtetëror sipas interesit&amp;instrumenteve (2016-Mars 2021)</w:t>
      </w:r>
      <w:bookmarkEnd w:id="48"/>
    </w:p>
    <w:p w:rsidR="004F651C" w:rsidRDefault="004F651C" w:rsidP="004F651C">
      <w:pPr>
        <w:pStyle w:val="Caption"/>
        <w:spacing w:after="0"/>
        <w:rPr>
          <w:noProof/>
        </w:rPr>
      </w:pPr>
      <w:r>
        <w:rPr>
          <w:noProof/>
        </w:rPr>
        <w:drawing>
          <wp:anchor distT="0" distB="0" distL="114300" distR="114300" simplePos="0" relativeHeight="251663872" behindDoc="0" locked="0" layoutInCell="1" allowOverlap="1" wp14:anchorId="25E37405" wp14:editId="21E6A75E">
            <wp:simplePos x="0" y="0"/>
            <wp:positionH relativeFrom="column">
              <wp:posOffset>49530</wp:posOffset>
            </wp:positionH>
            <wp:positionV relativeFrom="paragraph">
              <wp:posOffset>27305</wp:posOffset>
            </wp:positionV>
            <wp:extent cx="3086100" cy="2933700"/>
            <wp:effectExtent l="0" t="0" r="0" b="0"/>
            <wp:wrapSquare wrapText="bothSides"/>
            <wp:docPr id="54" name="Chart 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rsidR="007000D1" w:rsidRPr="007000D1" w:rsidRDefault="007000D1" w:rsidP="007000D1">
      <w:pPr>
        <w:rPr>
          <w:highlight w:val="yellow"/>
        </w:rPr>
      </w:pPr>
      <w:r>
        <w:rPr>
          <w:noProof/>
        </w:rPr>
        <w:drawing>
          <wp:inline distT="0" distB="0" distL="0" distR="0" wp14:anchorId="7A885E89" wp14:editId="5C9F97DE">
            <wp:extent cx="2849880" cy="2689860"/>
            <wp:effectExtent l="0" t="0" r="7620" b="0"/>
            <wp:docPr id="55" name="Chart 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F651C" w:rsidRPr="00796E6A" w:rsidRDefault="004F651C" w:rsidP="004F651C">
      <w:pPr>
        <w:pStyle w:val="Caption"/>
        <w:rPr>
          <w:rFonts w:asciiTheme="minorHAnsi" w:hAnsiTheme="minorHAnsi"/>
          <w:i/>
          <w:sz w:val="10"/>
          <w:lang w:val="sq-AL"/>
        </w:rPr>
      </w:pPr>
    </w:p>
    <w:p w:rsidR="004F651C" w:rsidRDefault="004F651C" w:rsidP="004F651C">
      <w:pPr>
        <w:spacing w:line="276" w:lineRule="auto"/>
        <w:rPr>
          <w:rFonts w:asciiTheme="minorHAnsi" w:hAnsiTheme="minorHAnsi"/>
          <w:i/>
          <w:sz w:val="20"/>
          <w:lang w:val="sq-AL"/>
        </w:rPr>
      </w:pPr>
      <w:r w:rsidRPr="00591367">
        <w:rPr>
          <w:rFonts w:asciiTheme="minorHAnsi" w:eastAsia="MS Mincho" w:hAnsiTheme="minorHAnsi"/>
          <w:i/>
          <w:sz w:val="20"/>
          <w:lang w:val="sq-AL"/>
        </w:rPr>
        <w:t xml:space="preserve">Burimi: </w:t>
      </w:r>
      <w:r w:rsidRPr="00591367">
        <w:rPr>
          <w:rFonts w:asciiTheme="minorHAnsi" w:hAnsiTheme="minorHAnsi"/>
          <w:i/>
          <w:sz w:val="20"/>
          <w:lang w:val="sq-AL"/>
        </w:rPr>
        <w:t>Ministria e Financave dhe Ekonomisë (202</w:t>
      </w:r>
      <w:r>
        <w:rPr>
          <w:rFonts w:asciiTheme="minorHAnsi" w:hAnsiTheme="minorHAnsi"/>
          <w:i/>
          <w:sz w:val="20"/>
          <w:lang w:val="sq-AL"/>
        </w:rPr>
        <w:t>1</w:t>
      </w:r>
      <w:r w:rsidRPr="00591367">
        <w:rPr>
          <w:rFonts w:asciiTheme="minorHAnsi" w:hAnsiTheme="minorHAnsi"/>
          <w:i/>
          <w:sz w:val="20"/>
          <w:lang w:val="sq-AL"/>
        </w:rPr>
        <w:t>)</w:t>
      </w:r>
    </w:p>
    <w:p w:rsidR="0035044A" w:rsidRDefault="0035044A" w:rsidP="004F651C">
      <w:pPr>
        <w:spacing w:line="276" w:lineRule="auto"/>
        <w:rPr>
          <w:rFonts w:asciiTheme="minorHAnsi" w:hAnsiTheme="minorHAnsi"/>
          <w:i/>
          <w:sz w:val="20"/>
          <w:lang w:val="sq-AL"/>
        </w:rPr>
      </w:pPr>
    </w:p>
    <w:p w:rsidR="0035044A" w:rsidRDefault="0035044A" w:rsidP="004F651C">
      <w:pPr>
        <w:spacing w:line="276" w:lineRule="auto"/>
        <w:rPr>
          <w:rFonts w:asciiTheme="minorHAnsi" w:hAnsiTheme="minorHAnsi"/>
          <w:i/>
          <w:sz w:val="20"/>
          <w:lang w:val="sq-AL"/>
        </w:rPr>
      </w:pPr>
    </w:p>
    <w:p w:rsidR="00D85320" w:rsidRPr="0065598A" w:rsidRDefault="006654D7" w:rsidP="002334F6">
      <w:pPr>
        <w:pStyle w:val="Heading2"/>
      </w:pPr>
      <w:bookmarkStart w:id="49" w:name="_Toc76470026"/>
      <w:r w:rsidRPr="0065598A">
        <w:t>I</w:t>
      </w:r>
      <w:r w:rsidR="00D85320" w:rsidRPr="0065598A">
        <w:t>V.2</w:t>
      </w:r>
      <w:r w:rsidR="00D85320" w:rsidRPr="0065598A">
        <w:tab/>
        <w:t>Menaxhimi i Borxhit</w:t>
      </w:r>
      <w:bookmarkEnd w:id="49"/>
    </w:p>
    <w:p w:rsidR="00513A75" w:rsidRPr="00EB0002" w:rsidRDefault="00513A75" w:rsidP="00513A75">
      <w:pPr>
        <w:tabs>
          <w:tab w:val="left" w:pos="360"/>
        </w:tabs>
        <w:spacing w:after="240" w:line="276" w:lineRule="auto"/>
        <w:jc w:val="both"/>
        <w:rPr>
          <w:rFonts w:asciiTheme="minorHAnsi" w:hAnsiTheme="minorHAnsi"/>
          <w:lang w:val="sq-AL"/>
        </w:rPr>
      </w:pPr>
      <w:r w:rsidRPr="00EB0002">
        <w:rPr>
          <w:rFonts w:asciiTheme="minorHAnsi" w:hAnsiTheme="minorHAnsi"/>
          <w:lang w:val="sq-AL"/>
        </w:rPr>
        <w:t>Huamarrja gjatë tremujorit të parë 202</w:t>
      </w:r>
      <w:r>
        <w:rPr>
          <w:rFonts w:asciiTheme="minorHAnsi" w:hAnsiTheme="minorHAnsi"/>
          <w:lang w:val="sq-AL"/>
        </w:rPr>
        <w:t>1</w:t>
      </w:r>
      <w:r w:rsidRPr="00EB0002">
        <w:rPr>
          <w:rFonts w:asciiTheme="minorHAnsi" w:hAnsiTheme="minorHAnsi"/>
          <w:lang w:val="sq-AL"/>
        </w:rPr>
        <w:t xml:space="preserve"> u realizua në linjë me buxhetin e vitit 202</w:t>
      </w:r>
      <w:r>
        <w:rPr>
          <w:rFonts w:asciiTheme="minorHAnsi" w:hAnsiTheme="minorHAnsi"/>
          <w:lang w:val="sq-AL"/>
        </w:rPr>
        <w:t>1</w:t>
      </w:r>
      <w:r w:rsidRPr="00EB0002">
        <w:rPr>
          <w:rFonts w:asciiTheme="minorHAnsi" w:hAnsiTheme="minorHAnsi"/>
          <w:lang w:val="sq-AL"/>
        </w:rPr>
        <w:t xml:space="preserve"> dhe </w:t>
      </w:r>
      <w:r>
        <w:rPr>
          <w:rFonts w:asciiTheme="minorHAnsi" w:hAnsiTheme="minorHAnsi"/>
          <w:lang w:val="sq-AL"/>
        </w:rPr>
        <w:t xml:space="preserve">kryesisht </w:t>
      </w:r>
      <w:r w:rsidRPr="00EB0002">
        <w:rPr>
          <w:rFonts w:asciiTheme="minorHAnsi" w:hAnsiTheme="minorHAnsi"/>
          <w:lang w:val="sq-AL"/>
        </w:rPr>
        <w:t>në përputhje me objektivat strategjikë për reduktimin risqeve dhe zhvillimin e tregut të titujve. Nëpërmjet huamarrjes u mundësua rifinancimi i borxhit ekzistues, menaxhimi i nevojave për likuiditet, si edhe financimi i deficit</w:t>
      </w:r>
      <w:r>
        <w:rPr>
          <w:rFonts w:asciiTheme="minorHAnsi" w:hAnsiTheme="minorHAnsi"/>
          <w:lang w:val="sq-AL"/>
        </w:rPr>
        <w:t>it të planifikuar</w:t>
      </w:r>
      <w:r w:rsidRPr="00EB0002">
        <w:rPr>
          <w:rFonts w:asciiTheme="minorHAnsi" w:hAnsiTheme="minorHAnsi"/>
          <w:lang w:val="sq-AL"/>
        </w:rPr>
        <w:t>.</w:t>
      </w:r>
      <w:r>
        <w:rPr>
          <w:rFonts w:asciiTheme="minorHAnsi" w:hAnsiTheme="minorHAnsi"/>
          <w:lang w:val="sq-AL"/>
        </w:rPr>
        <w:t xml:space="preserve"> </w:t>
      </w:r>
      <w:r w:rsidRPr="00EB0002">
        <w:rPr>
          <w:rFonts w:asciiTheme="minorHAnsi" w:hAnsiTheme="minorHAnsi"/>
          <w:lang w:val="sq-AL"/>
        </w:rPr>
        <w:t xml:space="preserve">Huamarrja në terma bruto u realizua në vlerën </w:t>
      </w:r>
      <w:r>
        <w:rPr>
          <w:rFonts w:asciiTheme="minorHAnsi" w:hAnsiTheme="minorHAnsi"/>
          <w:lang w:val="sq-AL"/>
        </w:rPr>
        <w:t>119.2</w:t>
      </w:r>
      <w:r w:rsidRPr="00EB0002">
        <w:rPr>
          <w:rFonts w:asciiTheme="minorHAnsi" w:hAnsiTheme="minorHAnsi"/>
          <w:lang w:val="sq-AL"/>
        </w:rPr>
        <w:t xml:space="preserve"> miliard Lekë, nga të cilat </w:t>
      </w:r>
      <w:r>
        <w:rPr>
          <w:rFonts w:asciiTheme="minorHAnsi" w:hAnsiTheme="minorHAnsi"/>
          <w:lang w:val="sq-AL"/>
        </w:rPr>
        <w:t>79.8</w:t>
      </w:r>
      <w:r w:rsidRPr="00EB0002">
        <w:rPr>
          <w:rFonts w:asciiTheme="minorHAnsi" w:hAnsiTheme="minorHAnsi"/>
          <w:lang w:val="sq-AL"/>
        </w:rPr>
        <w:t>% (</w:t>
      </w:r>
      <w:r w:rsidRPr="00EB0002">
        <w:rPr>
          <w:rFonts w:asciiTheme="minorHAnsi" w:hAnsiTheme="minorHAnsi"/>
          <w:i/>
          <w:lang w:val="sq-AL"/>
        </w:rPr>
        <w:t xml:space="preserve">ose </w:t>
      </w:r>
      <w:r>
        <w:rPr>
          <w:rFonts w:asciiTheme="minorHAnsi" w:hAnsiTheme="minorHAnsi"/>
          <w:i/>
          <w:lang w:val="sq-AL"/>
        </w:rPr>
        <w:t>95.2</w:t>
      </w:r>
      <w:r w:rsidRPr="00EB0002">
        <w:rPr>
          <w:rFonts w:asciiTheme="minorHAnsi" w:hAnsiTheme="minorHAnsi"/>
          <w:i/>
          <w:lang w:val="sq-AL"/>
        </w:rPr>
        <w:t xml:space="preserve"> miliard Lekë</w:t>
      </w:r>
      <w:r w:rsidRPr="00EB0002">
        <w:rPr>
          <w:rFonts w:asciiTheme="minorHAnsi" w:hAnsiTheme="minorHAnsi"/>
          <w:lang w:val="sq-AL"/>
        </w:rPr>
        <w:t xml:space="preserve">) u financuan nëpërmjet burimeve të brendshme dhe </w:t>
      </w:r>
      <w:r>
        <w:rPr>
          <w:rFonts w:asciiTheme="minorHAnsi" w:hAnsiTheme="minorHAnsi"/>
          <w:lang w:val="sq-AL"/>
        </w:rPr>
        <w:t>20.2</w:t>
      </w:r>
      <w:r w:rsidRPr="00EB0002">
        <w:rPr>
          <w:rFonts w:asciiTheme="minorHAnsi" w:hAnsiTheme="minorHAnsi"/>
          <w:lang w:val="sq-AL"/>
        </w:rPr>
        <w:t>% (</w:t>
      </w:r>
      <w:r w:rsidRPr="00EB0002">
        <w:rPr>
          <w:rFonts w:asciiTheme="minorHAnsi" w:hAnsiTheme="minorHAnsi"/>
          <w:i/>
          <w:lang w:val="sq-AL"/>
        </w:rPr>
        <w:t xml:space="preserve">ose </w:t>
      </w:r>
      <w:r>
        <w:rPr>
          <w:rFonts w:asciiTheme="minorHAnsi" w:hAnsiTheme="minorHAnsi"/>
          <w:i/>
          <w:lang w:val="sq-AL"/>
        </w:rPr>
        <w:t>24</w:t>
      </w:r>
      <w:r w:rsidRPr="00EB0002">
        <w:rPr>
          <w:rFonts w:asciiTheme="minorHAnsi" w:hAnsiTheme="minorHAnsi"/>
          <w:i/>
          <w:lang w:val="sq-AL"/>
        </w:rPr>
        <w:t xml:space="preserve"> miliard Lekë</w:t>
      </w:r>
      <w:r w:rsidRPr="00EB0002">
        <w:rPr>
          <w:rFonts w:asciiTheme="minorHAnsi" w:hAnsiTheme="minorHAnsi"/>
          <w:lang w:val="sq-AL"/>
        </w:rPr>
        <w:t xml:space="preserve">) nëpërmjet burimeve të huaja. Rreth 85.6 miliard Lekë shërbyen për rifinancimin e borxhit ekzistues, ndërsa pjesa tjetër për mbulimin e deficitit buxhetor të planifikuar. </w:t>
      </w:r>
    </w:p>
    <w:p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Huamarrja e Brendshme</w:t>
      </w:r>
    </w:p>
    <w:p w:rsidR="00513A75" w:rsidRDefault="00513A75" w:rsidP="00513A75">
      <w:pPr>
        <w:tabs>
          <w:tab w:val="left" w:pos="360"/>
        </w:tabs>
        <w:spacing w:line="276" w:lineRule="auto"/>
        <w:jc w:val="both"/>
        <w:rPr>
          <w:rFonts w:asciiTheme="minorHAnsi" w:hAnsiTheme="minorHAnsi"/>
          <w:lang w:val="sq-AL"/>
        </w:rPr>
      </w:pPr>
      <w:r w:rsidRPr="00EB0002">
        <w:rPr>
          <w:rFonts w:asciiTheme="minorHAnsi" w:hAnsiTheme="minorHAnsi"/>
          <w:lang w:val="sq-AL"/>
        </w:rPr>
        <w:t xml:space="preserve">Gjatë periudhës janar-mars 2020, Ministria e Financave dhe Ekonomisë ka emetuar në tregun e brendshëm tituj shtetërorë në vlerën 91.1 miliard Lekë, nga të cilat 62.0 miliard Lekë nëpërmjet titujve afatshkurtër dhe 29.1 miliard Lekë nëpërmjet titujve afatgjatë. Rreth </w:t>
      </w:r>
      <w:r>
        <w:rPr>
          <w:rFonts w:asciiTheme="minorHAnsi" w:hAnsiTheme="minorHAnsi"/>
          <w:lang w:val="sq-AL"/>
        </w:rPr>
        <w:t>81.8</w:t>
      </w:r>
      <w:r w:rsidRPr="00EB0002">
        <w:rPr>
          <w:rFonts w:asciiTheme="minorHAnsi" w:hAnsiTheme="minorHAnsi"/>
          <w:lang w:val="sq-AL"/>
        </w:rPr>
        <w:t xml:space="preserve">% e huamarrjes së brendshme ka shërbyer për rifinancimin e titujve ekzistues dhe pjesa tjetër për të </w:t>
      </w:r>
      <w:r>
        <w:rPr>
          <w:rFonts w:asciiTheme="minorHAnsi" w:hAnsiTheme="minorHAnsi"/>
          <w:lang w:val="sq-AL"/>
        </w:rPr>
        <w:t>plotësuar</w:t>
      </w:r>
      <w:r w:rsidRPr="00EB0002">
        <w:rPr>
          <w:rFonts w:asciiTheme="minorHAnsi" w:hAnsiTheme="minorHAnsi"/>
          <w:lang w:val="sq-AL"/>
        </w:rPr>
        <w:t xml:space="preserve"> nevojat buxhetore.</w:t>
      </w:r>
      <w:r>
        <w:rPr>
          <w:rFonts w:asciiTheme="minorHAnsi" w:hAnsiTheme="minorHAnsi"/>
          <w:lang w:val="sq-AL"/>
        </w:rPr>
        <w:t xml:space="preserve"> </w:t>
      </w:r>
    </w:p>
    <w:p w:rsidR="00513A75" w:rsidRPr="00796E6A" w:rsidRDefault="00513A75" w:rsidP="00513A75">
      <w:pPr>
        <w:tabs>
          <w:tab w:val="left" w:pos="360"/>
        </w:tabs>
        <w:spacing w:line="276" w:lineRule="auto"/>
        <w:jc w:val="both"/>
        <w:rPr>
          <w:rFonts w:asciiTheme="minorHAnsi" w:hAnsiTheme="minorHAnsi"/>
          <w:i/>
          <w:noProof/>
          <w:sz w:val="8"/>
        </w:rPr>
      </w:pPr>
    </w:p>
    <w:p w:rsidR="007000D1" w:rsidRDefault="007000D1" w:rsidP="00513A75">
      <w:pPr>
        <w:tabs>
          <w:tab w:val="left" w:pos="360"/>
        </w:tabs>
        <w:spacing w:line="276" w:lineRule="auto"/>
        <w:jc w:val="both"/>
        <w:rPr>
          <w:rFonts w:asciiTheme="minorHAnsi" w:hAnsiTheme="minorHAnsi"/>
          <w:i/>
          <w:noProof/>
        </w:rPr>
      </w:pPr>
    </w:p>
    <w:p w:rsidR="007000D1" w:rsidRDefault="007000D1" w:rsidP="00513A75">
      <w:pPr>
        <w:tabs>
          <w:tab w:val="left" w:pos="360"/>
        </w:tabs>
        <w:spacing w:line="276" w:lineRule="auto"/>
        <w:jc w:val="both"/>
        <w:rPr>
          <w:rFonts w:asciiTheme="minorHAnsi" w:hAnsiTheme="minorHAnsi"/>
          <w:i/>
          <w:noProof/>
        </w:rPr>
      </w:pPr>
    </w:p>
    <w:p w:rsidR="007000D1" w:rsidRDefault="007000D1" w:rsidP="00513A75">
      <w:pPr>
        <w:tabs>
          <w:tab w:val="left" w:pos="360"/>
        </w:tabs>
        <w:spacing w:line="276" w:lineRule="auto"/>
        <w:jc w:val="both"/>
        <w:rPr>
          <w:rFonts w:asciiTheme="minorHAnsi" w:hAnsiTheme="minorHAnsi"/>
          <w:i/>
          <w:noProof/>
        </w:rPr>
      </w:pPr>
    </w:p>
    <w:p w:rsidR="00513A75" w:rsidRDefault="00513A75" w:rsidP="00513A75">
      <w:pPr>
        <w:tabs>
          <w:tab w:val="left" w:pos="360"/>
        </w:tabs>
        <w:spacing w:line="276" w:lineRule="auto"/>
        <w:jc w:val="both"/>
        <w:rPr>
          <w:rFonts w:asciiTheme="minorHAnsi" w:hAnsiTheme="minorHAnsi"/>
          <w:i/>
          <w:noProof/>
          <w:sz w:val="22"/>
        </w:rPr>
      </w:pPr>
      <w:bookmarkStart w:id="50" w:name="_Toc76470059"/>
      <w:r w:rsidRPr="00721DE4">
        <w:rPr>
          <w:rFonts w:asciiTheme="minorHAnsi" w:hAnsiTheme="minorHAnsi"/>
          <w:i/>
          <w:noProof/>
        </w:rPr>
        <w:lastRenderedPageBreak/>
        <w:t xml:space="preserve">Tabela </w:t>
      </w:r>
      <w:r w:rsidRPr="00721DE4">
        <w:rPr>
          <w:rFonts w:asciiTheme="minorHAnsi" w:hAnsiTheme="minorHAnsi"/>
          <w:i/>
          <w:noProof/>
        </w:rPr>
        <w:fldChar w:fldCharType="begin"/>
      </w:r>
      <w:r w:rsidRPr="00721DE4">
        <w:rPr>
          <w:rFonts w:asciiTheme="minorHAnsi" w:hAnsiTheme="minorHAnsi"/>
          <w:i/>
          <w:noProof/>
        </w:rPr>
        <w:instrText xml:space="preserve"> SEQ Tabela \* ARABIC </w:instrText>
      </w:r>
      <w:r w:rsidRPr="00721DE4">
        <w:rPr>
          <w:rFonts w:asciiTheme="minorHAnsi" w:hAnsiTheme="minorHAnsi"/>
          <w:i/>
          <w:noProof/>
        </w:rPr>
        <w:fldChar w:fldCharType="separate"/>
      </w:r>
      <w:r w:rsidR="003C5F40">
        <w:rPr>
          <w:rFonts w:asciiTheme="minorHAnsi" w:hAnsiTheme="minorHAnsi"/>
          <w:i/>
          <w:noProof/>
        </w:rPr>
        <w:t>5</w:t>
      </w:r>
      <w:r w:rsidRPr="00721DE4">
        <w:rPr>
          <w:rFonts w:asciiTheme="minorHAnsi" w:hAnsiTheme="minorHAnsi"/>
          <w:i/>
          <w:noProof/>
        </w:rPr>
        <w:fldChar w:fldCharType="end"/>
      </w:r>
      <w:r w:rsidRPr="00721DE4">
        <w:rPr>
          <w:rFonts w:asciiTheme="minorHAnsi" w:hAnsiTheme="minorHAnsi"/>
          <w:i/>
          <w:noProof/>
        </w:rPr>
        <w:t xml:space="preserve">: Huamarrja shtetërore nga burime të brendshme në terma bruto&amp;neto </w:t>
      </w:r>
      <w:r w:rsidRPr="00796E6A">
        <w:rPr>
          <w:rFonts w:asciiTheme="minorHAnsi" w:hAnsiTheme="minorHAnsi"/>
          <w:i/>
          <w:noProof/>
          <w:sz w:val="22"/>
        </w:rPr>
        <w:t>(Janar-Mars 202</w:t>
      </w:r>
      <w:r>
        <w:rPr>
          <w:rFonts w:asciiTheme="minorHAnsi" w:hAnsiTheme="minorHAnsi"/>
          <w:i/>
          <w:noProof/>
          <w:sz w:val="22"/>
        </w:rPr>
        <w:t>1</w:t>
      </w:r>
      <w:r w:rsidRPr="00796E6A">
        <w:rPr>
          <w:rFonts w:asciiTheme="minorHAnsi" w:hAnsiTheme="minorHAnsi"/>
          <w:i/>
          <w:noProof/>
          <w:sz w:val="22"/>
        </w:rPr>
        <w:t>)</w:t>
      </w:r>
      <w:bookmarkEnd w:id="50"/>
    </w:p>
    <w:p w:rsidR="00513A75" w:rsidRPr="00796E6A" w:rsidRDefault="00513A75" w:rsidP="00513A75">
      <w:pPr>
        <w:tabs>
          <w:tab w:val="left" w:pos="360"/>
        </w:tabs>
        <w:spacing w:line="276" w:lineRule="auto"/>
        <w:jc w:val="both"/>
        <w:rPr>
          <w:rFonts w:asciiTheme="minorHAnsi" w:hAnsiTheme="minorHAnsi"/>
          <w:i/>
          <w:sz w:val="22"/>
          <w:lang w:val="sq-AL"/>
        </w:rPr>
      </w:pPr>
      <w:r w:rsidRPr="009609FA">
        <w:rPr>
          <w:noProof/>
        </w:rPr>
        <w:drawing>
          <wp:inline distT="0" distB="0" distL="0" distR="0" wp14:anchorId="3F655D4D" wp14:editId="2EB91FDA">
            <wp:extent cx="6019165" cy="1623060"/>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67391" cy="1636064"/>
                    </a:xfrm>
                    <a:prstGeom prst="rect">
                      <a:avLst/>
                    </a:prstGeom>
                    <a:noFill/>
                    <a:ln>
                      <a:noFill/>
                    </a:ln>
                  </pic:spPr>
                </pic:pic>
              </a:graphicData>
            </a:graphic>
          </wp:inline>
        </w:drawing>
      </w:r>
    </w:p>
    <w:p w:rsidR="00513A75" w:rsidRPr="00EB0002" w:rsidRDefault="00513A75" w:rsidP="00513A75">
      <w:pPr>
        <w:tabs>
          <w:tab w:val="left" w:pos="360"/>
        </w:tabs>
        <w:spacing w:line="276" w:lineRule="auto"/>
        <w:jc w:val="both"/>
        <w:rPr>
          <w:rFonts w:asciiTheme="minorHAnsi" w:hAnsiTheme="minorHAnsi"/>
          <w:i/>
          <w:sz w:val="22"/>
          <w:lang w:val="sq-AL"/>
        </w:rPr>
      </w:pPr>
      <w:r>
        <w:rPr>
          <w:rFonts w:asciiTheme="minorHAnsi" w:hAnsiTheme="minorHAnsi"/>
          <w:i/>
          <w:sz w:val="22"/>
          <w:lang w:val="sq-AL"/>
        </w:rPr>
        <w:tab/>
      </w:r>
      <w:r w:rsidRPr="00EB0002">
        <w:rPr>
          <w:rFonts w:asciiTheme="minorHAnsi" w:hAnsiTheme="minorHAnsi"/>
          <w:i/>
          <w:sz w:val="22"/>
          <w:lang w:val="sq-AL"/>
        </w:rPr>
        <w:t>Burimi: Ministria e Financave dhe Ekonomisë (202</w:t>
      </w:r>
      <w:r>
        <w:rPr>
          <w:rFonts w:asciiTheme="minorHAnsi" w:hAnsiTheme="minorHAnsi"/>
          <w:i/>
          <w:sz w:val="22"/>
          <w:lang w:val="sq-AL"/>
        </w:rPr>
        <w:t>1</w:t>
      </w:r>
      <w:r w:rsidRPr="00EB0002">
        <w:rPr>
          <w:rFonts w:asciiTheme="minorHAnsi" w:hAnsiTheme="minorHAnsi"/>
          <w:i/>
          <w:sz w:val="22"/>
          <w:lang w:val="sq-AL"/>
        </w:rPr>
        <w:t>)</w:t>
      </w:r>
    </w:p>
    <w:p w:rsidR="00513A75" w:rsidRPr="00796E6A" w:rsidRDefault="00513A75" w:rsidP="00513A75">
      <w:pPr>
        <w:tabs>
          <w:tab w:val="left" w:pos="360"/>
        </w:tabs>
        <w:jc w:val="both"/>
        <w:rPr>
          <w:rFonts w:asciiTheme="minorHAnsi" w:hAnsiTheme="minorHAnsi"/>
          <w:sz w:val="12"/>
        </w:rPr>
      </w:pPr>
    </w:p>
    <w:p w:rsidR="00513A75" w:rsidRDefault="00513A75" w:rsidP="00513A75">
      <w:pPr>
        <w:tabs>
          <w:tab w:val="left" w:pos="360"/>
        </w:tabs>
        <w:spacing w:line="276" w:lineRule="auto"/>
        <w:jc w:val="both"/>
        <w:rPr>
          <w:rFonts w:asciiTheme="minorHAnsi" w:hAnsiTheme="minorHAnsi"/>
          <w:lang w:val="sq-AL"/>
        </w:rPr>
      </w:pPr>
      <w:r w:rsidRPr="00EB0002">
        <w:rPr>
          <w:rFonts w:asciiTheme="minorHAnsi" w:hAnsiTheme="minorHAnsi"/>
        </w:rPr>
        <w:t xml:space="preserve">Krahasuar me tremujorin e vitit të kaluar, huamarrja e brendshme është rritur me rreth </w:t>
      </w:r>
      <w:r>
        <w:rPr>
          <w:rFonts w:asciiTheme="minorHAnsi" w:hAnsiTheme="minorHAnsi"/>
        </w:rPr>
        <w:t>4.1</w:t>
      </w:r>
      <w:r w:rsidRPr="00EB0002">
        <w:rPr>
          <w:rFonts w:asciiTheme="minorHAnsi" w:hAnsiTheme="minorHAnsi"/>
        </w:rPr>
        <w:t xml:space="preserve"> miliard Lekë, </w:t>
      </w:r>
      <w:r>
        <w:rPr>
          <w:rFonts w:asciiTheme="minorHAnsi" w:hAnsiTheme="minorHAnsi"/>
          <w:lang w:val="sq-AL"/>
        </w:rPr>
        <w:t>përshkak të nevojave për financim më të larta, në kushtet e një deficiti të lartë buxhetor që karakterizon edhe vitin 2021 si rrjedhojë e krizës së shkaktuar prej pandemisë</w:t>
      </w:r>
      <w:r w:rsidRPr="00EB0002">
        <w:rPr>
          <w:rFonts w:asciiTheme="minorHAnsi" w:hAnsiTheme="minorHAnsi"/>
          <w:lang w:val="sq-AL"/>
        </w:rPr>
        <w:t>. Për sa i përket raportit të huamarrjes së brendshme me të ardhurat tatimore vërehet një r</w:t>
      </w:r>
      <w:r>
        <w:rPr>
          <w:rFonts w:asciiTheme="minorHAnsi" w:hAnsiTheme="minorHAnsi"/>
          <w:lang w:val="sq-AL"/>
        </w:rPr>
        <w:t>ënie</w:t>
      </w:r>
      <w:r w:rsidRPr="00EB0002">
        <w:rPr>
          <w:rFonts w:asciiTheme="minorHAnsi" w:hAnsiTheme="minorHAnsi"/>
          <w:lang w:val="sq-AL"/>
        </w:rPr>
        <w:t xml:space="preserve"> e </w:t>
      </w:r>
      <w:r>
        <w:rPr>
          <w:rFonts w:asciiTheme="minorHAnsi" w:hAnsiTheme="minorHAnsi"/>
          <w:lang w:val="sq-AL"/>
        </w:rPr>
        <w:t>kë</w:t>
      </w:r>
      <w:r w:rsidRPr="00EB0002">
        <w:rPr>
          <w:rFonts w:asciiTheme="minorHAnsi" w:hAnsiTheme="minorHAnsi"/>
          <w:lang w:val="sq-AL"/>
        </w:rPr>
        <w:t xml:space="preserve">ij raporti krahasuar me të njëjtën periudhë të vitit të mëparshëm, </w:t>
      </w:r>
      <w:r>
        <w:rPr>
          <w:rFonts w:asciiTheme="minorHAnsi" w:hAnsiTheme="minorHAnsi"/>
          <w:lang w:val="sq-AL"/>
        </w:rPr>
        <w:t>e</w:t>
      </w:r>
      <w:r w:rsidRPr="00EB0002">
        <w:rPr>
          <w:rFonts w:asciiTheme="minorHAnsi" w:hAnsiTheme="minorHAnsi"/>
          <w:lang w:val="sq-AL"/>
        </w:rPr>
        <w:t xml:space="preserve"> ndikuar kryesisht nga </w:t>
      </w:r>
      <w:r>
        <w:rPr>
          <w:rFonts w:asciiTheme="minorHAnsi" w:hAnsiTheme="minorHAnsi"/>
          <w:lang w:val="sq-AL"/>
        </w:rPr>
        <w:t>një përmirësim i ndjeshëm i të ardhurave</w:t>
      </w:r>
      <w:r w:rsidRPr="00EB0002">
        <w:rPr>
          <w:rFonts w:asciiTheme="minorHAnsi" w:hAnsiTheme="minorHAnsi"/>
          <w:lang w:val="sq-AL"/>
        </w:rPr>
        <w:t>.</w:t>
      </w:r>
    </w:p>
    <w:p w:rsidR="00513A75" w:rsidRPr="005625A1" w:rsidRDefault="00513A75" w:rsidP="00513A75">
      <w:pPr>
        <w:tabs>
          <w:tab w:val="left" w:pos="360"/>
        </w:tabs>
        <w:spacing w:line="276" w:lineRule="auto"/>
        <w:jc w:val="both"/>
        <w:rPr>
          <w:rFonts w:asciiTheme="minorHAnsi" w:hAnsiTheme="minorHAnsi"/>
          <w:sz w:val="8"/>
          <w:szCs w:val="8"/>
          <w:lang w:val="sq-AL"/>
        </w:rPr>
      </w:pPr>
    </w:p>
    <w:p w:rsidR="00513A75" w:rsidRPr="005625A1" w:rsidRDefault="00513A75" w:rsidP="00513A75">
      <w:pPr>
        <w:pStyle w:val="Caption"/>
        <w:keepNext/>
        <w:jc w:val="both"/>
        <w:rPr>
          <w:rFonts w:asciiTheme="minorHAnsi" w:hAnsiTheme="minorHAnsi"/>
          <w:b w:val="0"/>
          <w:bCs w:val="0"/>
          <w:i/>
          <w:noProof/>
          <w:color w:val="auto"/>
          <w:sz w:val="22"/>
          <w:szCs w:val="24"/>
        </w:rPr>
      </w:pPr>
      <w:bookmarkStart w:id="51" w:name="_Toc76470129"/>
      <w:r w:rsidRPr="005625A1">
        <w:rPr>
          <w:rFonts w:asciiTheme="minorHAnsi" w:hAnsiTheme="minorHAnsi"/>
          <w:b w:val="0"/>
          <w:bCs w:val="0"/>
          <w:i/>
          <w:noProof/>
          <w:color w:val="auto"/>
          <w:sz w:val="22"/>
          <w:szCs w:val="24"/>
        </w:rPr>
        <w:t xml:space="preserve">Grafiku </w:t>
      </w:r>
      <w:r w:rsidRPr="005625A1">
        <w:rPr>
          <w:rFonts w:asciiTheme="minorHAnsi" w:hAnsiTheme="minorHAnsi"/>
          <w:b w:val="0"/>
          <w:bCs w:val="0"/>
          <w:i/>
          <w:noProof/>
          <w:color w:val="auto"/>
          <w:sz w:val="22"/>
          <w:szCs w:val="24"/>
        </w:rPr>
        <w:fldChar w:fldCharType="begin"/>
      </w:r>
      <w:r w:rsidRPr="005625A1">
        <w:rPr>
          <w:rFonts w:asciiTheme="minorHAnsi" w:hAnsiTheme="minorHAnsi"/>
          <w:b w:val="0"/>
          <w:bCs w:val="0"/>
          <w:i/>
          <w:noProof/>
          <w:color w:val="auto"/>
          <w:sz w:val="22"/>
          <w:szCs w:val="24"/>
        </w:rPr>
        <w:instrText xml:space="preserve"> SEQ Grafiku \* ARABIC </w:instrText>
      </w:r>
      <w:r w:rsidRPr="005625A1">
        <w:rPr>
          <w:rFonts w:asciiTheme="minorHAnsi" w:hAnsiTheme="minorHAnsi"/>
          <w:b w:val="0"/>
          <w:bCs w:val="0"/>
          <w:i/>
          <w:noProof/>
          <w:color w:val="auto"/>
          <w:sz w:val="22"/>
          <w:szCs w:val="24"/>
        </w:rPr>
        <w:fldChar w:fldCharType="separate"/>
      </w:r>
      <w:r w:rsidR="003C5F40">
        <w:rPr>
          <w:rFonts w:asciiTheme="minorHAnsi" w:hAnsiTheme="minorHAnsi"/>
          <w:b w:val="0"/>
          <w:bCs w:val="0"/>
          <w:i/>
          <w:noProof/>
          <w:color w:val="auto"/>
          <w:sz w:val="22"/>
          <w:szCs w:val="24"/>
        </w:rPr>
        <w:t>10</w:t>
      </w:r>
      <w:r w:rsidRPr="005625A1">
        <w:rPr>
          <w:rFonts w:asciiTheme="minorHAnsi" w:hAnsiTheme="minorHAnsi"/>
          <w:b w:val="0"/>
          <w:bCs w:val="0"/>
          <w:i/>
          <w:noProof/>
          <w:color w:val="auto"/>
          <w:sz w:val="22"/>
          <w:szCs w:val="24"/>
        </w:rPr>
        <w:fldChar w:fldCharType="end"/>
      </w:r>
      <w:r w:rsidRPr="005625A1">
        <w:rPr>
          <w:rFonts w:asciiTheme="minorHAnsi" w:hAnsiTheme="minorHAnsi"/>
          <w:b w:val="0"/>
          <w:bCs w:val="0"/>
          <w:i/>
          <w:noProof/>
          <w:color w:val="auto"/>
          <w:sz w:val="22"/>
          <w:szCs w:val="24"/>
        </w:rPr>
        <w:t>: Huamarrja e brendshme në raport me të ardhurat tatimore (TM. I 2016-TM. I 2021)</w:t>
      </w:r>
      <w:bookmarkEnd w:id="51"/>
      <w:r w:rsidRPr="005625A1">
        <w:rPr>
          <w:rFonts w:asciiTheme="minorHAnsi" w:hAnsiTheme="minorHAnsi"/>
          <w:b w:val="0"/>
          <w:bCs w:val="0"/>
          <w:i/>
          <w:noProof/>
          <w:color w:val="auto"/>
          <w:sz w:val="22"/>
          <w:szCs w:val="24"/>
        </w:rPr>
        <w:t xml:space="preserve">  </w:t>
      </w:r>
    </w:p>
    <w:p w:rsidR="00513A75" w:rsidRPr="00F163EE" w:rsidRDefault="00513A75" w:rsidP="005625A1">
      <w:pPr>
        <w:jc w:val="center"/>
      </w:pPr>
      <w:r>
        <w:rPr>
          <w:noProof/>
        </w:rPr>
        <w:drawing>
          <wp:inline distT="0" distB="0" distL="0" distR="0" wp14:anchorId="0F07AF9C" wp14:editId="34E8BD1A">
            <wp:extent cx="5905500" cy="1752600"/>
            <wp:effectExtent l="0" t="0" r="0" b="0"/>
            <wp:docPr id="57" name="Chart 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513A75" w:rsidRPr="00EB0002" w:rsidRDefault="00513A75" w:rsidP="00513A75">
      <w:pPr>
        <w:tabs>
          <w:tab w:val="left" w:pos="360"/>
        </w:tabs>
        <w:spacing w:after="240" w:line="276" w:lineRule="auto"/>
        <w:jc w:val="both"/>
        <w:rPr>
          <w:rFonts w:asciiTheme="minorHAnsi" w:hAnsiTheme="minorHAnsi"/>
          <w:i/>
          <w:sz w:val="20"/>
          <w:lang w:val="sq-AL"/>
        </w:rPr>
      </w:pPr>
      <w:r w:rsidRPr="00EB0002">
        <w:rPr>
          <w:rFonts w:asciiTheme="minorHAnsi" w:hAnsiTheme="minorHAnsi"/>
          <w:i/>
          <w:sz w:val="20"/>
          <w:lang w:val="sq-AL"/>
        </w:rPr>
        <w:t>Burimi: Ministria e Financave dhe Ekonomisë (202</w:t>
      </w:r>
      <w:r>
        <w:rPr>
          <w:rFonts w:asciiTheme="minorHAnsi" w:hAnsiTheme="minorHAnsi"/>
          <w:i/>
          <w:sz w:val="20"/>
          <w:lang w:val="sq-AL"/>
        </w:rPr>
        <w:t>1</w:t>
      </w:r>
      <w:r w:rsidRPr="00EB0002">
        <w:rPr>
          <w:rFonts w:asciiTheme="minorHAnsi" w:hAnsiTheme="minorHAnsi"/>
          <w:i/>
          <w:sz w:val="20"/>
          <w:lang w:val="sq-AL"/>
        </w:rPr>
        <w:t>)</w:t>
      </w:r>
    </w:p>
    <w:p w:rsidR="00513A75" w:rsidRPr="006E68A7" w:rsidRDefault="00513A75" w:rsidP="00513A75">
      <w:pPr>
        <w:tabs>
          <w:tab w:val="left" w:pos="360"/>
        </w:tabs>
        <w:spacing w:line="276" w:lineRule="auto"/>
        <w:jc w:val="both"/>
        <w:rPr>
          <w:rFonts w:asciiTheme="minorHAnsi" w:hAnsiTheme="minorHAnsi"/>
          <w:i/>
          <w:u w:val="single"/>
          <w:lang w:val="sq-AL"/>
        </w:rPr>
      </w:pPr>
      <w:bookmarkStart w:id="52" w:name="_Toc485372197"/>
      <w:r w:rsidRPr="006E68A7">
        <w:rPr>
          <w:rFonts w:asciiTheme="minorHAnsi" w:hAnsiTheme="minorHAnsi"/>
          <w:i/>
          <w:u w:val="single"/>
          <w:lang w:val="sq-AL"/>
        </w:rPr>
        <w:t>Huamarrja e Huaj</w:t>
      </w:r>
      <w:bookmarkEnd w:id="52"/>
      <w:r w:rsidRPr="006E68A7">
        <w:rPr>
          <w:rFonts w:asciiTheme="minorHAnsi" w:hAnsiTheme="minorHAnsi"/>
          <w:i/>
          <w:u w:val="single"/>
          <w:lang w:val="sq-AL"/>
        </w:rPr>
        <w:t xml:space="preserve"> </w:t>
      </w:r>
    </w:p>
    <w:p w:rsidR="00513A75" w:rsidRPr="00721DE4" w:rsidRDefault="00513A75" w:rsidP="00513A75">
      <w:pPr>
        <w:tabs>
          <w:tab w:val="left" w:pos="360"/>
        </w:tabs>
        <w:spacing w:line="276" w:lineRule="auto"/>
        <w:jc w:val="both"/>
        <w:rPr>
          <w:rFonts w:asciiTheme="minorHAnsi" w:hAnsiTheme="minorHAnsi"/>
        </w:rPr>
      </w:pPr>
      <w:r w:rsidRPr="00EB0002">
        <w:rPr>
          <w:rFonts w:asciiTheme="minorHAnsi" w:hAnsiTheme="minorHAnsi"/>
        </w:rPr>
        <w:t>Gjatë periudhës janar-mars të vitit 202</w:t>
      </w:r>
      <w:r>
        <w:rPr>
          <w:rFonts w:asciiTheme="minorHAnsi" w:hAnsiTheme="minorHAnsi"/>
        </w:rPr>
        <w:t>1</w:t>
      </w:r>
      <w:r w:rsidRPr="00EB0002">
        <w:rPr>
          <w:rFonts w:asciiTheme="minorHAnsi" w:hAnsiTheme="minorHAnsi"/>
        </w:rPr>
        <w:t xml:space="preserve">, huamarrja e huaj u realizua në nivelin </w:t>
      </w:r>
      <w:r>
        <w:rPr>
          <w:rFonts w:asciiTheme="minorHAnsi" w:hAnsiTheme="minorHAnsi"/>
        </w:rPr>
        <w:t>prej 24</w:t>
      </w:r>
      <w:r w:rsidRPr="00EB0002">
        <w:rPr>
          <w:rFonts w:asciiTheme="minorHAnsi" w:hAnsiTheme="minorHAnsi"/>
        </w:rPr>
        <w:t xml:space="preserve"> miliard Lekë. Krahasuar me të njëjtën periudhë të vitit të kaluar, huamarrja e huaj është </w:t>
      </w:r>
      <w:r>
        <w:rPr>
          <w:rFonts w:asciiTheme="minorHAnsi" w:hAnsiTheme="minorHAnsi"/>
        </w:rPr>
        <w:t>rritur</w:t>
      </w:r>
      <w:r w:rsidRPr="00EB0002">
        <w:rPr>
          <w:rFonts w:asciiTheme="minorHAnsi" w:hAnsiTheme="minorHAnsi"/>
        </w:rPr>
        <w:t xml:space="preserve"> me rreth </w:t>
      </w:r>
      <w:r>
        <w:rPr>
          <w:rFonts w:asciiTheme="minorHAnsi" w:hAnsiTheme="minorHAnsi"/>
        </w:rPr>
        <w:t>20.5</w:t>
      </w:r>
      <w:r w:rsidRPr="00EB0002">
        <w:rPr>
          <w:rFonts w:asciiTheme="minorHAnsi" w:hAnsiTheme="minorHAnsi"/>
        </w:rPr>
        <w:t xml:space="preserve"> miliard Lekë. </w:t>
      </w:r>
      <w:r>
        <w:rPr>
          <w:rFonts w:asciiTheme="minorHAnsi" w:hAnsiTheme="minorHAnsi"/>
        </w:rPr>
        <w:t>Më tepër se 80%</w:t>
      </w:r>
      <w:r w:rsidRPr="00EB0002">
        <w:rPr>
          <w:rFonts w:asciiTheme="minorHAnsi" w:hAnsiTheme="minorHAnsi"/>
        </w:rPr>
        <w:t xml:space="preserve"> e huamarrjes së huaj bruto është realizuar </w:t>
      </w:r>
      <w:r>
        <w:rPr>
          <w:rFonts w:asciiTheme="minorHAnsi" w:hAnsiTheme="minorHAnsi"/>
        </w:rPr>
        <w:t xml:space="preserve">nëpërmjet kredive për mbështetje buxhetore, dhe pjesa tjetër nëpërmjet kredive për financim të </w:t>
      </w:r>
      <w:r>
        <w:t>projekteve në fushën e transportit, ujësjellës-kanalizime, energji etj</w:t>
      </w:r>
      <w:r w:rsidRPr="00EB0002">
        <w:rPr>
          <w:rFonts w:asciiTheme="minorHAnsi" w:hAnsiTheme="minorHAnsi"/>
        </w:rPr>
        <w:t>.</w:t>
      </w:r>
    </w:p>
    <w:p w:rsidR="00513A75" w:rsidRPr="00796E6A" w:rsidRDefault="00513A75" w:rsidP="00513A75">
      <w:pPr>
        <w:pStyle w:val="Caption"/>
        <w:spacing w:after="0"/>
        <w:rPr>
          <w:rFonts w:asciiTheme="minorHAnsi" w:hAnsiTheme="minorHAnsi"/>
          <w:b w:val="0"/>
          <w:bCs w:val="0"/>
          <w:i/>
          <w:noProof/>
          <w:color w:val="auto"/>
          <w:sz w:val="8"/>
          <w:szCs w:val="24"/>
        </w:rPr>
      </w:pPr>
    </w:p>
    <w:p w:rsidR="00513A75" w:rsidRDefault="00513A75" w:rsidP="00513A75">
      <w:pPr>
        <w:pStyle w:val="Caption"/>
        <w:spacing w:after="0"/>
        <w:rPr>
          <w:rFonts w:asciiTheme="minorHAnsi" w:hAnsiTheme="minorHAnsi"/>
          <w:b w:val="0"/>
          <w:bCs w:val="0"/>
          <w:i/>
          <w:noProof/>
          <w:color w:val="auto"/>
          <w:sz w:val="24"/>
          <w:szCs w:val="24"/>
        </w:rPr>
      </w:pPr>
      <w:bookmarkStart w:id="53" w:name="_Toc76470060"/>
      <w:r w:rsidRPr="005625A1">
        <w:rPr>
          <w:rFonts w:asciiTheme="minorHAnsi" w:hAnsiTheme="minorHAnsi"/>
          <w:b w:val="0"/>
          <w:bCs w:val="0"/>
          <w:i/>
          <w:noProof/>
          <w:color w:val="auto"/>
          <w:sz w:val="22"/>
          <w:szCs w:val="24"/>
        </w:rPr>
        <w:t xml:space="preserve">Tabela </w:t>
      </w:r>
      <w:r w:rsidRPr="005625A1">
        <w:rPr>
          <w:rFonts w:asciiTheme="minorHAnsi" w:hAnsiTheme="minorHAnsi"/>
          <w:b w:val="0"/>
          <w:bCs w:val="0"/>
          <w:i/>
          <w:noProof/>
          <w:color w:val="auto"/>
          <w:sz w:val="22"/>
          <w:szCs w:val="24"/>
        </w:rPr>
        <w:fldChar w:fldCharType="begin"/>
      </w:r>
      <w:r w:rsidRPr="005625A1">
        <w:rPr>
          <w:rFonts w:asciiTheme="minorHAnsi" w:hAnsiTheme="minorHAnsi"/>
          <w:b w:val="0"/>
          <w:bCs w:val="0"/>
          <w:i/>
          <w:noProof/>
          <w:color w:val="auto"/>
          <w:sz w:val="22"/>
          <w:szCs w:val="24"/>
        </w:rPr>
        <w:instrText xml:space="preserve"> SEQ Tabela \* ARABIC </w:instrText>
      </w:r>
      <w:r w:rsidRPr="005625A1">
        <w:rPr>
          <w:rFonts w:asciiTheme="minorHAnsi" w:hAnsiTheme="minorHAnsi"/>
          <w:b w:val="0"/>
          <w:bCs w:val="0"/>
          <w:i/>
          <w:noProof/>
          <w:color w:val="auto"/>
          <w:sz w:val="22"/>
          <w:szCs w:val="24"/>
        </w:rPr>
        <w:fldChar w:fldCharType="separate"/>
      </w:r>
      <w:r w:rsidR="003C5F40">
        <w:rPr>
          <w:rFonts w:asciiTheme="minorHAnsi" w:hAnsiTheme="minorHAnsi"/>
          <w:b w:val="0"/>
          <w:bCs w:val="0"/>
          <w:i/>
          <w:noProof/>
          <w:color w:val="auto"/>
          <w:sz w:val="22"/>
          <w:szCs w:val="24"/>
        </w:rPr>
        <w:t>6</w:t>
      </w:r>
      <w:r w:rsidRPr="005625A1">
        <w:rPr>
          <w:rFonts w:asciiTheme="minorHAnsi" w:hAnsiTheme="minorHAnsi"/>
          <w:b w:val="0"/>
          <w:bCs w:val="0"/>
          <w:i/>
          <w:noProof/>
          <w:color w:val="auto"/>
          <w:sz w:val="22"/>
          <w:szCs w:val="24"/>
        </w:rPr>
        <w:fldChar w:fldCharType="end"/>
      </w:r>
      <w:r w:rsidRPr="005625A1">
        <w:rPr>
          <w:rFonts w:asciiTheme="minorHAnsi" w:hAnsiTheme="minorHAnsi"/>
          <w:b w:val="0"/>
          <w:bCs w:val="0"/>
          <w:i/>
          <w:noProof/>
          <w:color w:val="auto"/>
          <w:sz w:val="22"/>
          <w:szCs w:val="24"/>
        </w:rPr>
        <w:t>: Huamarrja e huaj në terma bruto (TM. I 2020-TM. I 2021)</w:t>
      </w:r>
      <w:bookmarkEnd w:id="53"/>
      <w:r w:rsidRPr="00721DE4">
        <w:rPr>
          <w:rFonts w:asciiTheme="minorHAnsi" w:hAnsiTheme="minorHAnsi"/>
          <w:b w:val="0"/>
          <w:bCs w:val="0"/>
          <w:i/>
          <w:noProof/>
          <w:color w:val="auto"/>
          <w:sz w:val="24"/>
          <w:szCs w:val="24"/>
        </w:rPr>
        <w:t xml:space="preserve">  </w:t>
      </w:r>
    </w:p>
    <w:p w:rsidR="00513A75" w:rsidRPr="00960F4D" w:rsidRDefault="00513A75" w:rsidP="005625A1">
      <w:pPr>
        <w:jc w:val="center"/>
      </w:pPr>
      <w:r w:rsidRPr="00960F4D">
        <w:rPr>
          <w:noProof/>
        </w:rPr>
        <w:drawing>
          <wp:inline distT="0" distB="0" distL="0" distR="0" wp14:anchorId="5FAB6895" wp14:editId="4DD809AC">
            <wp:extent cx="6066790" cy="15621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40474" cy="1581072"/>
                    </a:xfrm>
                    <a:prstGeom prst="rect">
                      <a:avLst/>
                    </a:prstGeom>
                    <a:noFill/>
                    <a:ln>
                      <a:noFill/>
                    </a:ln>
                  </pic:spPr>
                </pic:pic>
              </a:graphicData>
            </a:graphic>
          </wp:inline>
        </w:drawing>
      </w:r>
    </w:p>
    <w:p w:rsidR="00513A75" w:rsidRDefault="00513A75"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B</w:t>
      </w:r>
      <w:r w:rsidRPr="00EB0002">
        <w:rPr>
          <w:rFonts w:asciiTheme="minorHAnsi" w:hAnsiTheme="minorHAnsi"/>
          <w:i/>
          <w:sz w:val="20"/>
          <w:lang w:val="sq-AL"/>
        </w:rPr>
        <w:t>urimi: Ministria e Financave dhe Ekonomisë (202</w:t>
      </w:r>
      <w:r>
        <w:rPr>
          <w:rFonts w:asciiTheme="minorHAnsi" w:hAnsiTheme="minorHAnsi"/>
          <w:i/>
          <w:sz w:val="20"/>
          <w:lang w:val="sq-AL"/>
        </w:rPr>
        <w:t>1</w:t>
      </w:r>
      <w:r w:rsidRPr="00EB0002">
        <w:rPr>
          <w:rFonts w:asciiTheme="minorHAnsi" w:hAnsiTheme="minorHAnsi"/>
          <w:i/>
          <w:sz w:val="20"/>
          <w:lang w:val="sq-AL"/>
        </w:rPr>
        <w:t>)</w:t>
      </w:r>
    </w:p>
    <w:p w:rsidR="00513A75" w:rsidRPr="006E68A7" w:rsidRDefault="00513A75" w:rsidP="00513A75">
      <w:pPr>
        <w:tabs>
          <w:tab w:val="left" w:pos="360"/>
        </w:tabs>
        <w:spacing w:line="276" w:lineRule="auto"/>
        <w:jc w:val="both"/>
        <w:rPr>
          <w:rFonts w:asciiTheme="minorHAnsi" w:hAnsiTheme="minorHAnsi"/>
          <w:i/>
          <w:u w:val="single"/>
          <w:lang w:val="sq-AL"/>
        </w:rPr>
      </w:pPr>
      <w:bookmarkStart w:id="54" w:name="_Toc485372198"/>
      <w:r w:rsidRPr="006E68A7">
        <w:rPr>
          <w:rFonts w:asciiTheme="minorHAnsi" w:hAnsiTheme="minorHAnsi"/>
          <w:i/>
          <w:u w:val="single"/>
          <w:lang w:val="sq-AL"/>
        </w:rPr>
        <w:lastRenderedPageBreak/>
        <w:t xml:space="preserve">Kostot </w:t>
      </w:r>
      <w:bookmarkEnd w:id="54"/>
    </w:p>
    <w:p w:rsidR="00513A75" w:rsidRPr="00EB3166" w:rsidRDefault="00513A75" w:rsidP="00513A75">
      <w:pPr>
        <w:tabs>
          <w:tab w:val="left" w:pos="360"/>
        </w:tabs>
        <w:spacing w:line="276" w:lineRule="auto"/>
        <w:jc w:val="both"/>
        <w:rPr>
          <w:rFonts w:asciiTheme="minorHAnsi" w:hAnsiTheme="minorHAnsi"/>
          <w:lang w:val="sq-AL"/>
        </w:rPr>
      </w:pPr>
      <w:r w:rsidRPr="00EB0002">
        <w:rPr>
          <w:rFonts w:asciiTheme="minorHAnsi" w:hAnsiTheme="minorHAnsi"/>
          <w:lang w:val="sq-AL"/>
        </w:rPr>
        <w:t>Krahasuar me tremujorin e parë të vitit 20</w:t>
      </w:r>
      <w:r>
        <w:rPr>
          <w:rFonts w:asciiTheme="minorHAnsi" w:hAnsiTheme="minorHAnsi"/>
          <w:lang w:val="sq-AL"/>
        </w:rPr>
        <w:t>20</w:t>
      </w:r>
      <w:r w:rsidRPr="00EB0002">
        <w:rPr>
          <w:rFonts w:asciiTheme="minorHAnsi" w:hAnsiTheme="minorHAnsi"/>
          <w:lang w:val="sq-AL"/>
        </w:rPr>
        <w:t xml:space="preserve">, shpenzimet për interesa vlerësohen rreth </w:t>
      </w:r>
      <w:r>
        <w:rPr>
          <w:rFonts w:asciiTheme="minorHAnsi" w:hAnsiTheme="minorHAnsi"/>
          <w:lang w:val="sq-AL"/>
        </w:rPr>
        <w:t>600</w:t>
      </w:r>
      <w:r w:rsidRPr="00EB0002">
        <w:rPr>
          <w:rFonts w:asciiTheme="minorHAnsi" w:hAnsiTheme="minorHAnsi"/>
          <w:lang w:val="sq-AL"/>
        </w:rPr>
        <w:t xml:space="preserve"> milion Lekë më të </w:t>
      </w:r>
      <w:r>
        <w:rPr>
          <w:rFonts w:asciiTheme="minorHAnsi" w:hAnsiTheme="minorHAnsi"/>
          <w:lang w:val="sq-AL"/>
        </w:rPr>
        <w:t>larta</w:t>
      </w:r>
      <w:r w:rsidRPr="00EB0002">
        <w:rPr>
          <w:rFonts w:asciiTheme="minorHAnsi" w:hAnsiTheme="minorHAnsi"/>
          <w:lang w:val="sq-AL"/>
        </w:rPr>
        <w:t xml:space="preserve">, </w:t>
      </w:r>
      <w:r>
        <w:rPr>
          <w:rFonts w:asciiTheme="minorHAnsi" w:hAnsiTheme="minorHAnsi"/>
          <w:lang w:val="sq-AL"/>
        </w:rPr>
        <w:t>për shkak të rritjes së nivelit të borxhit</w:t>
      </w:r>
      <w:r w:rsidRPr="00EB3166">
        <w:rPr>
          <w:rFonts w:asciiTheme="minorHAnsi" w:hAnsiTheme="minorHAnsi"/>
          <w:lang w:val="sq-AL"/>
        </w:rPr>
        <w:t>.</w:t>
      </w:r>
    </w:p>
    <w:p w:rsidR="00513A75" w:rsidRPr="00796E6A" w:rsidRDefault="00513A75" w:rsidP="00513A75">
      <w:pPr>
        <w:tabs>
          <w:tab w:val="left" w:pos="360"/>
        </w:tabs>
        <w:spacing w:line="276" w:lineRule="auto"/>
        <w:jc w:val="both"/>
        <w:rPr>
          <w:rFonts w:asciiTheme="minorHAnsi" w:hAnsiTheme="minorHAnsi"/>
          <w:i/>
          <w:noProof/>
          <w:sz w:val="8"/>
        </w:rPr>
      </w:pPr>
    </w:p>
    <w:p w:rsidR="00513A75" w:rsidRDefault="00513A75" w:rsidP="00513A75">
      <w:pPr>
        <w:tabs>
          <w:tab w:val="left" w:pos="360"/>
        </w:tabs>
        <w:spacing w:line="276" w:lineRule="auto"/>
        <w:jc w:val="both"/>
        <w:rPr>
          <w:rFonts w:asciiTheme="minorHAnsi" w:hAnsiTheme="minorHAnsi"/>
          <w:i/>
          <w:noProof/>
          <w:sz w:val="22"/>
        </w:rPr>
      </w:pPr>
      <w:bookmarkStart w:id="55" w:name="_Toc76470130"/>
      <w:r w:rsidRPr="00796E6A">
        <w:rPr>
          <w:rFonts w:asciiTheme="minorHAnsi" w:hAnsiTheme="minorHAnsi"/>
          <w:i/>
          <w:noProof/>
          <w:sz w:val="22"/>
        </w:rPr>
        <w:t xml:space="preserve">Grafiku </w:t>
      </w:r>
      <w:r w:rsidRPr="00796E6A">
        <w:rPr>
          <w:rFonts w:asciiTheme="minorHAnsi" w:hAnsiTheme="minorHAnsi"/>
          <w:i/>
          <w:noProof/>
          <w:sz w:val="22"/>
        </w:rPr>
        <w:fldChar w:fldCharType="begin"/>
      </w:r>
      <w:r w:rsidRPr="00796E6A">
        <w:rPr>
          <w:rFonts w:asciiTheme="minorHAnsi" w:hAnsiTheme="minorHAnsi"/>
          <w:i/>
          <w:noProof/>
          <w:sz w:val="22"/>
        </w:rPr>
        <w:instrText xml:space="preserve"> SEQ Grafiku \* ARABIC </w:instrText>
      </w:r>
      <w:r w:rsidRPr="00796E6A">
        <w:rPr>
          <w:rFonts w:asciiTheme="minorHAnsi" w:hAnsiTheme="minorHAnsi"/>
          <w:i/>
          <w:noProof/>
          <w:sz w:val="22"/>
        </w:rPr>
        <w:fldChar w:fldCharType="separate"/>
      </w:r>
      <w:r w:rsidR="003C5F40">
        <w:rPr>
          <w:rFonts w:asciiTheme="minorHAnsi" w:hAnsiTheme="minorHAnsi"/>
          <w:i/>
          <w:noProof/>
          <w:sz w:val="22"/>
        </w:rPr>
        <w:t>11</w:t>
      </w:r>
      <w:r w:rsidRPr="00796E6A">
        <w:rPr>
          <w:rFonts w:asciiTheme="minorHAnsi" w:hAnsiTheme="minorHAnsi"/>
          <w:i/>
          <w:noProof/>
          <w:sz w:val="22"/>
        </w:rPr>
        <w:fldChar w:fldCharType="end"/>
      </w:r>
      <w:r w:rsidRPr="00796E6A">
        <w:rPr>
          <w:rFonts w:asciiTheme="minorHAnsi" w:hAnsiTheme="minorHAnsi"/>
          <w:i/>
          <w:noProof/>
          <w:sz w:val="22"/>
        </w:rPr>
        <w:t>: Interesat e borxhit shtetëror në vlerë absolute dhe relative, ndaj PBB dhe të ardhurave tatimore (TM. I 2016-TM. I 202</w:t>
      </w:r>
      <w:r>
        <w:rPr>
          <w:rFonts w:asciiTheme="minorHAnsi" w:hAnsiTheme="minorHAnsi"/>
          <w:i/>
          <w:noProof/>
          <w:sz w:val="22"/>
        </w:rPr>
        <w:t>1</w:t>
      </w:r>
      <w:r w:rsidRPr="00796E6A">
        <w:rPr>
          <w:rFonts w:asciiTheme="minorHAnsi" w:hAnsiTheme="minorHAnsi"/>
          <w:i/>
          <w:noProof/>
          <w:sz w:val="22"/>
        </w:rPr>
        <w:t>)</w:t>
      </w:r>
      <w:bookmarkEnd w:id="55"/>
      <w:r w:rsidRPr="00796E6A">
        <w:rPr>
          <w:rFonts w:asciiTheme="minorHAnsi" w:hAnsiTheme="minorHAnsi"/>
          <w:i/>
          <w:noProof/>
          <w:sz w:val="22"/>
        </w:rPr>
        <w:t xml:space="preserve">   </w:t>
      </w:r>
    </w:p>
    <w:p w:rsidR="00513A75" w:rsidRPr="00796E6A" w:rsidRDefault="00513A75" w:rsidP="00513A75">
      <w:pPr>
        <w:tabs>
          <w:tab w:val="left" w:pos="360"/>
        </w:tabs>
        <w:spacing w:line="276" w:lineRule="auto"/>
        <w:jc w:val="both"/>
        <w:rPr>
          <w:rFonts w:asciiTheme="minorHAnsi" w:hAnsiTheme="minorHAnsi"/>
          <w:i/>
          <w:noProof/>
          <w:sz w:val="22"/>
        </w:rPr>
      </w:pPr>
      <w:r>
        <w:rPr>
          <w:noProof/>
        </w:rPr>
        <w:drawing>
          <wp:inline distT="0" distB="0" distL="0" distR="0" wp14:anchorId="73F7FAC0" wp14:editId="0B5B8DD7">
            <wp:extent cx="6248400" cy="2552700"/>
            <wp:effectExtent l="0" t="0" r="0" b="0"/>
            <wp:docPr id="59" name="Chart 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513A75" w:rsidRPr="00CD06A3" w:rsidRDefault="00513A75"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ab/>
      </w:r>
      <w:r w:rsidRPr="00CD06A3">
        <w:rPr>
          <w:rFonts w:asciiTheme="minorHAnsi" w:hAnsiTheme="minorHAnsi"/>
          <w:i/>
          <w:sz w:val="20"/>
          <w:lang w:val="sq-AL"/>
        </w:rPr>
        <w:t>Burimi: Ministria e Financave dhe Ekonomisë (202</w:t>
      </w:r>
      <w:r>
        <w:rPr>
          <w:rFonts w:asciiTheme="minorHAnsi" w:hAnsiTheme="minorHAnsi"/>
          <w:i/>
          <w:sz w:val="20"/>
          <w:lang w:val="sq-AL"/>
        </w:rPr>
        <w:t>1</w:t>
      </w:r>
      <w:r w:rsidRPr="00CD06A3">
        <w:rPr>
          <w:rFonts w:asciiTheme="minorHAnsi" w:hAnsiTheme="minorHAnsi"/>
          <w:i/>
          <w:sz w:val="20"/>
          <w:lang w:val="sq-AL"/>
        </w:rPr>
        <w:t>)</w:t>
      </w:r>
    </w:p>
    <w:p w:rsidR="00513A75" w:rsidRDefault="00513A75" w:rsidP="00513A75">
      <w:pPr>
        <w:tabs>
          <w:tab w:val="left" w:pos="360"/>
        </w:tabs>
        <w:spacing w:line="276" w:lineRule="auto"/>
        <w:jc w:val="both"/>
        <w:rPr>
          <w:rFonts w:asciiTheme="minorHAnsi" w:hAnsiTheme="minorHAnsi"/>
          <w:lang w:val="sq-AL"/>
        </w:rPr>
      </w:pPr>
      <w:bookmarkStart w:id="56" w:name="_Toc497222543"/>
      <w:r w:rsidRPr="00EB0002">
        <w:rPr>
          <w:rFonts w:asciiTheme="minorHAnsi" w:hAnsiTheme="minorHAnsi"/>
          <w:lang w:val="sq-AL"/>
        </w:rPr>
        <w:t>Nga ana tjetër, kosto mesatare e borxhit të brendshëm shtetëror është ulur nga 3.</w:t>
      </w:r>
      <w:r>
        <w:rPr>
          <w:rFonts w:asciiTheme="minorHAnsi" w:hAnsiTheme="minorHAnsi"/>
          <w:lang w:val="sq-AL"/>
        </w:rPr>
        <w:t>65</w:t>
      </w:r>
      <w:r w:rsidRPr="00EB0002">
        <w:rPr>
          <w:rFonts w:asciiTheme="minorHAnsi" w:hAnsiTheme="minorHAnsi"/>
          <w:lang w:val="sq-AL"/>
        </w:rPr>
        <w:t>% në fundin e vitit 20</w:t>
      </w:r>
      <w:r>
        <w:rPr>
          <w:rFonts w:asciiTheme="minorHAnsi" w:hAnsiTheme="minorHAnsi"/>
          <w:lang w:val="sq-AL"/>
        </w:rPr>
        <w:t>20</w:t>
      </w:r>
      <w:r w:rsidRPr="00EB0002">
        <w:rPr>
          <w:rFonts w:asciiTheme="minorHAnsi" w:hAnsiTheme="minorHAnsi"/>
          <w:lang w:val="sq-AL"/>
        </w:rPr>
        <w:t xml:space="preserve"> në 3.</w:t>
      </w:r>
      <w:r>
        <w:rPr>
          <w:rFonts w:asciiTheme="minorHAnsi" w:hAnsiTheme="minorHAnsi"/>
          <w:lang w:val="sq-AL"/>
        </w:rPr>
        <w:t>61</w:t>
      </w:r>
      <w:r w:rsidRPr="00EB0002">
        <w:rPr>
          <w:rFonts w:asciiTheme="minorHAnsi" w:hAnsiTheme="minorHAnsi"/>
          <w:lang w:val="sq-AL"/>
        </w:rPr>
        <w:t>% në mars 202</w:t>
      </w:r>
      <w:r>
        <w:rPr>
          <w:rFonts w:asciiTheme="minorHAnsi" w:hAnsiTheme="minorHAnsi"/>
          <w:lang w:val="sq-AL"/>
        </w:rPr>
        <w:t>1</w:t>
      </w:r>
      <w:r w:rsidRPr="00EB0002">
        <w:rPr>
          <w:rFonts w:asciiTheme="minorHAnsi" w:hAnsiTheme="minorHAnsi"/>
          <w:lang w:val="sq-AL"/>
        </w:rPr>
        <w:t>.</w:t>
      </w:r>
      <w:r>
        <w:rPr>
          <w:rFonts w:asciiTheme="minorHAnsi" w:hAnsiTheme="minorHAnsi"/>
          <w:lang w:val="sq-AL"/>
        </w:rPr>
        <w:t xml:space="preserve"> Nga ana tjetër treguesi i kohëzgjatjes së borxhit ka pësuar një rënie me kater dite në krahasim me treguesin e fundvitit 2020.</w:t>
      </w:r>
    </w:p>
    <w:p w:rsidR="00483D16" w:rsidRDefault="00483D16" w:rsidP="00513A75">
      <w:pPr>
        <w:tabs>
          <w:tab w:val="left" w:pos="360"/>
        </w:tabs>
        <w:spacing w:line="276" w:lineRule="auto"/>
        <w:jc w:val="both"/>
        <w:rPr>
          <w:rFonts w:asciiTheme="minorHAnsi" w:hAnsiTheme="minorHAnsi"/>
          <w:lang w:val="sq-AL"/>
        </w:rPr>
      </w:pPr>
    </w:p>
    <w:p w:rsidR="00513A75" w:rsidRPr="00796E6A" w:rsidRDefault="00513A75" w:rsidP="00513A75">
      <w:pPr>
        <w:tabs>
          <w:tab w:val="left" w:pos="360"/>
        </w:tabs>
        <w:spacing w:line="276" w:lineRule="auto"/>
        <w:jc w:val="both"/>
        <w:rPr>
          <w:rFonts w:asciiTheme="minorHAnsi" w:hAnsiTheme="minorHAnsi"/>
          <w:i/>
          <w:noProof/>
          <w:sz w:val="8"/>
          <w:szCs w:val="22"/>
        </w:rPr>
      </w:pPr>
    </w:p>
    <w:p w:rsidR="00513A75" w:rsidRDefault="00513A75" w:rsidP="00513A75">
      <w:pPr>
        <w:tabs>
          <w:tab w:val="left" w:pos="360"/>
        </w:tabs>
        <w:spacing w:line="276" w:lineRule="auto"/>
        <w:jc w:val="both"/>
        <w:rPr>
          <w:rFonts w:asciiTheme="minorHAnsi" w:hAnsiTheme="minorHAnsi"/>
          <w:i/>
          <w:noProof/>
          <w:sz w:val="22"/>
          <w:szCs w:val="22"/>
        </w:rPr>
      </w:pPr>
      <w:bookmarkStart w:id="57" w:name="_Toc76470131"/>
      <w:r w:rsidRPr="00796E6A">
        <w:rPr>
          <w:rFonts w:asciiTheme="minorHAnsi" w:hAnsiTheme="minorHAnsi"/>
          <w:i/>
          <w:noProof/>
          <w:sz w:val="22"/>
          <w:szCs w:val="22"/>
        </w:rPr>
        <w:t xml:space="preserve">Grafiku </w:t>
      </w:r>
      <w:r w:rsidRPr="00796E6A">
        <w:rPr>
          <w:rFonts w:asciiTheme="minorHAnsi" w:hAnsiTheme="minorHAnsi"/>
          <w:i/>
          <w:noProof/>
          <w:sz w:val="22"/>
          <w:szCs w:val="22"/>
        </w:rPr>
        <w:fldChar w:fldCharType="begin"/>
      </w:r>
      <w:r w:rsidRPr="00796E6A">
        <w:rPr>
          <w:rFonts w:asciiTheme="minorHAnsi" w:hAnsiTheme="minorHAnsi"/>
          <w:i/>
          <w:noProof/>
          <w:sz w:val="22"/>
          <w:szCs w:val="22"/>
        </w:rPr>
        <w:instrText xml:space="preserve"> SEQ Grafiku \* ARABIC </w:instrText>
      </w:r>
      <w:r w:rsidRPr="00796E6A">
        <w:rPr>
          <w:rFonts w:asciiTheme="minorHAnsi" w:hAnsiTheme="minorHAnsi"/>
          <w:i/>
          <w:noProof/>
          <w:sz w:val="22"/>
          <w:szCs w:val="22"/>
        </w:rPr>
        <w:fldChar w:fldCharType="separate"/>
      </w:r>
      <w:r w:rsidR="003C5F40">
        <w:rPr>
          <w:rFonts w:asciiTheme="minorHAnsi" w:hAnsiTheme="minorHAnsi"/>
          <w:i/>
          <w:noProof/>
          <w:sz w:val="22"/>
          <w:szCs w:val="22"/>
        </w:rPr>
        <w:t>12</w:t>
      </w:r>
      <w:r w:rsidRPr="00796E6A">
        <w:rPr>
          <w:rFonts w:asciiTheme="minorHAnsi" w:hAnsiTheme="minorHAnsi"/>
          <w:i/>
          <w:noProof/>
          <w:sz w:val="22"/>
          <w:szCs w:val="22"/>
        </w:rPr>
        <w:fldChar w:fldCharType="end"/>
      </w:r>
      <w:r w:rsidRPr="00796E6A">
        <w:rPr>
          <w:rFonts w:asciiTheme="minorHAnsi" w:hAnsiTheme="minorHAnsi"/>
          <w:i/>
          <w:noProof/>
          <w:sz w:val="22"/>
          <w:szCs w:val="22"/>
        </w:rPr>
        <w:t>: Jetëgjatësia&amp;kosto mesatare e portofolit të borxhit të brendshëm shtetëror (2016-Mars 202</w:t>
      </w:r>
      <w:r>
        <w:rPr>
          <w:rFonts w:asciiTheme="minorHAnsi" w:hAnsiTheme="minorHAnsi"/>
          <w:i/>
          <w:noProof/>
          <w:sz w:val="22"/>
          <w:szCs w:val="22"/>
        </w:rPr>
        <w:t>1</w:t>
      </w:r>
      <w:r w:rsidRPr="00796E6A">
        <w:rPr>
          <w:rFonts w:asciiTheme="minorHAnsi" w:hAnsiTheme="minorHAnsi"/>
          <w:i/>
          <w:noProof/>
          <w:sz w:val="22"/>
          <w:szCs w:val="22"/>
        </w:rPr>
        <w:t>)</w:t>
      </w:r>
      <w:bookmarkEnd w:id="57"/>
    </w:p>
    <w:p w:rsidR="00513A75" w:rsidRPr="00796E6A" w:rsidRDefault="00513A75" w:rsidP="005625A1">
      <w:pPr>
        <w:tabs>
          <w:tab w:val="left" w:pos="360"/>
        </w:tabs>
        <w:spacing w:line="276" w:lineRule="auto"/>
        <w:jc w:val="center"/>
        <w:rPr>
          <w:rFonts w:asciiTheme="minorHAnsi" w:hAnsiTheme="minorHAnsi"/>
          <w:i/>
          <w:noProof/>
          <w:sz w:val="22"/>
          <w:szCs w:val="22"/>
        </w:rPr>
      </w:pPr>
      <w:r>
        <w:rPr>
          <w:noProof/>
        </w:rPr>
        <w:drawing>
          <wp:inline distT="0" distB="0" distL="0" distR="0" wp14:anchorId="525D2EC5" wp14:editId="5BD82836">
            <wp:extent cx="6115050" cy="2004060"/>
            <wp:effectExtent l="0" t="0" r="0" b="15240"/>
            <wp:docPr id="60" name="Chart 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513A75" w:rsidRPr="00CD06A3" w:rsidRDefault="00513A75"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ab/>
      </w:r>
      <w:r w:rsidRPr="00CD06A3">
        <w:rPr>
          <w:rFonts w:asciiTheme="minorHAnsi" w:hAnsiTheme="minorHAnsi"/>
          <w:i/>
          <w:sz w:val="20"/>
          <w:lang w:val="sq-AL"/>
        </w:rPr>
        <w:t>Burimi: Ministria e Financave dhe Ekonomisë (202</w:t>
      </w:r>
      <w:r>
        <w:rPr>
          <w:rFonts w:asciiTheme="minorHAnsi" w:hAnsiTheme="minorHAnsi"/>
          <w:i/>
          <w:sz w:val="20"/>
          <w:lang w:val="sq-AL"/>
        </w:rPr>
        <w:t>1</w:t>
      </w:r>
      <w:r w:rsidRPr="00CD06A3">
        <w:rPr>
          <w:rFonts w:asciiTheme="minorHAnsi" w:hAnsiTheme="minorHAnsi"/>
          <w:i/>
          <w:sz w:val="20"/>
          <w:lang w:val="sq-AL"/>
        </w:rPr>
        <w:t>)</w:t>
      </w:r>
    </w:p>
    <w:p w:rsidR="00513A75" w:rsidRPr="006E68A7" w:rsidRDefault="00513A75" w:rsidP="004B6BA3">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Risqet</w:t>
      </w:r>
      <w:bookmarkEnd w:id="56"/>
    </w:p>
    <w:p w:rsidR="00513A75" w:rsidRPr="0064168E" w:rsidRDefault="00513A75" w:rsidP="00513A75">
      <w:pPr>
        <w:tabs>
          <w:tab w:val="left" w:pos="360"/>
        </w:tabs>
        <w:spacing w:line="276" w:lineRule="auto"/>
        <w:jc w:val="both"/>
        <w:rPr>
          <w:rFonts w:asciiTheme="minorHAnsi" w:hAnsiTheme="minorHAnsi"/>
          <w:i/>
          <w:lang w:val="sq-AL"/>
        </w:rPr>
      </w:pPr>
      <w:r w:rsidRPr="00EB0002">
        <w:rPr>
          <w:rFonts w:asciiTheme="minorHAnsi" w:hAnsiTheme="minorHAnsi"/>
          <w:lang w:val="sq-AL"/>
        </w:rPr>
        <w:t>Gjatë periudhës janar-mars 202</w:t>
      </w:r>
      <w:r>
        <w:rPr>
          <w:rFonts w:asciiTheme="minorHAnsi" w:hAnsiTheme="minorHAnsi"/>
          <w:lang w:val="sq-AL"/>
        </w:rPr>
        <w:t>1</w:t>
      </w:r>
      <w:r w:rsidRPr="00EB0002">
        <w:rPr>
          <w:rFonts w:asciiTheme="minorHAnsi" w:hAnsiTheme="minorHAnsi"/>
          <w:lang w:val="sq-AL"/>
        </w:rPr>
        <w:t>, menaxhimi i risqeve të portofolit të borxhit shtetëror ka evoluar në drejtim të objektivave strategjikë afatmesëm</w:t>
      </w:r>
      <w:r>
        <w:rPr>
          <w:rFonts w:asciiTheme="minorHAnsi" w:hAnsiTheme="minorHAnsi"/>
          <w:lang w:val="sq-AL"/>
        </w:rPr>
        <w:t xml:space="preserve"> vetëm për një pjesë të treguesve</w:t>
      </w:r>
      <w:r w:rsidRPr="00EB0002">
        <w:rPr>
          <w:rFonts w:asciiTheme="minorHAnsi" w:hAnsiTheme="minorHAnsi"/>
          <w:lang w:val="sq-AL"/>
        </w:rPr>
        <w:t xml:space="preserve">. Pesha e titujve me norma interesi të ndryshueshme </w:t>
      </w:r>
      <w:r>
        <w:rPr>
          <w:rFonts w:asciiTheme="minorHAnsi" w:hAnsiTheme="minorHAnsi"/>
          <w:lang w:val="sq-AL"/>
        </w:rPr>
        <w:t xml:space="preserve">është ulur në masën prej 0.6 pp duke kontribuar në ulje të riskut të normave të interesit. Ndërkohë rritja e peshës së titujve afatshkurtër me rreth 1.8 pp, ka sjelle mosrealizimin e objektivit për këtë periudhë në drejtim të uljes së riskut të rifinancimit. </w:t>
      </w:r>
    </w:p>
    <w:p w:rsidR="00513A75" w:rsidRDefault="00513A75" w:rsidP="00513A75">
      <w:pPr>
        <w:keepNext/>
        <w:tabs>
          <w:tab w:val="left" w:pos="360"/>
        </w:tabs>
      </w:pPr>
    </w:p>
    <w:p w:rsidR="007000D1" w:rsidRDefault="007000D1" w:rsidP="00513A75">
      <w:pPr>
        <w:pStyle w:val="Caption"/>
        <w:rPr>
          <w:rFonts w:asciiTheme="minorHAnsi" w:hAnsiTheme="minorHAnsi"/>
          <w:b w:val="0"/>
          <w:bCs w:val="0"/>
          <w:i/>
          <w:noProof/>
          <w:color w:val="auto"/>
          <w:sz w:val="22"/>
          <w:szCs w:val="24"/>
        </w:rPr>
      </w:pPr>
    </w:p>
    <w:p w:rsidR="00513A75" w:rsidRDefault="00513A75" w:rsidP="00513A75">
      <w:pPr>
        <w:pStyle w:val="Caption"/>
        <w:rPr>
          <w:rFonts w:asciiTheme="minorHAnsi" w:hAnsiTheme="minorHAnsi"/>
          <w:b w:val="0"/>
          <w:lang w:val="sq-AL"/>
        </w:rPr>
      </w:pPr>
      <w:bookmarkStart w:id="58" w:name="_Toc76470061"/>
      <w:r w:rsidRPr="004B6BA3">
        <w:rPr>
          <w:rFonts w:asciiTheme="minorHAnsi" w:hAnsiTheme="minorHAnsi"/>
          <w:b w:val="0"/>
          <w:bCs w:val="0"/>
          <w:i/>
          <w:noProof/>
          <w:color w:val="auto"/>
          <w:sz w:val="22"/>
          <w:szCs w:val="24"/>
        </w:rPr>
        <w:lastRenderedPageBreak/>
        <w:t xml:space="preserve">Tabela </w:t>
      </w:r>
      <w:r w:rsidRPr="004B6BA3">
        <w:rPr>
          <w:rFonts w:asciiTheme="minorHAnsi" w:hAnsiTheme="minorHAnsi"/>
          <w:b w:val="0"/>
          <w:bCs w:val="0"/>
          <w:i/>
          <w:noProof/>
          <w:color w:val="auto"/>
          <w:sz w:val="22"/>
          <w:szCs w:val="24"/>
        </w:rPr>
        <w:fldChar w:fldCharType="begin"/>
      </w:r>
      <w:r w:rsidRPr="004B6BA3">
        <w:rPr>
          <w:rFonts w:asciiTheme="minorHAnsi" w:hAnsiTheme="minorHAnsi"/>
          <w:b w:val="0"/>
          <w:bCs w:val="0"/>
          <w:i/>
          <w:noProof/>
          <w:color w:val="auto"/>
          <w:sz w:val="22"/>
          <w:szCs w:val="24"/>
        </w:rPr>
        <w:instrText xml:space="preserve"> SEQ Tabela \* ARABIC </w:instrText>
      </w:r>
      <w:r w:rsidRPr="004B6BA3">
        <w:rPr>
          <w:rFonts w:asciiTheme="minorHAnsi" w:hAnsiTheme="minorHAnsi"/>
          <w:b w:val="0"/>
          <w:bCs w:val="0"/>
          <w:i/>
          <w:noProof/>
          <w:color w:val="auto"/>
          <w:sz w:val="22"/>
          <w:szCs w:val="24"/>
        </w:rPr>
        <w:fldChar w:fldCharType="separate"/>
      </w:r>
      <w:r w:rsidR="003C5F40">
        <w:rPr>
          <w:rFonts w:asciiTheme="minorHAnsi" w:hAnsiTheme="minorHAnsi"/>
          <w:b w:val="0"/>
          <w:bCs w:val="0"/>
          <w:i/>
          <w:noProof/>
          <w:color w:val="auto"/>
          <w:sz w:val="22"/>
          <w:szCs w:val="24"/>
        </w:rPr>
        <w:t>7</w:t>
      </w:r>
      <w:r w:rsidRPr="004B6BA3">
        <w:rPr>
          <w:rFonts w:asciiTheme="minorHAnsi" w:hAnsiTheme="minorHAnsi"/>
          <w:b w:val="0"/>
          <w:bCs w:val="0"/>
          <w:i/>
          <w:noProof/>
          <w:color w:val="auto"/>
          <w:sz w:val="22"/>
          <w:szCs w:val="24"/>
        </w:rPr>
        <w:fldChar w:fldCharType="end"/>
      </w:r>
      <w:r w:rsidRPr="004B6BA3">
        <w:rPr>
          <w:rFonts w:asciiTheme="minorHAnsi" w:hAnsiTheme="minorHAnsi"/>
          <w:b w:val="0"/>
          <w:bCs w:val="0"/>
          <w:i/>
          <w:noProof/>
          <w:color w:val="auto"/>
          <w:sz w:val="22"/>
          <w:szCs w:val="24"/>
        </w:rPr>
        <w:t>: Treguesit e riskut të borxhit të brendshëm shtetëror (2018–Mars 2021)</w:t>
      </w:r>
      <w:bookmarkEnd w:id="58"/>
      <w:r w:rsidRPr="00EB0002">
        <w:rPr>
          <w:rFonts w:asciiTheme="minorHAnsi" w:hAnsiTheme="minorHAnsi"/>
          <w:b w:val="0"/>
          <w:lang w:val="sq-AL"/>
        </w:rPr>
        <w:t xml:space="preserve"> </w:t>
      </w:r>
    </w:p>
    <w:p w:rsidR="00513A75" w:rsidRPr="00C22C77" w:rsidRDefault="00513A75" w:rsidP="00513A75">
      <w:pPr>
        <w:rPr>
          <w:lang w:val="sq-AL"/>
        </w:rPr>
      </w:pPr>
      <w:r w:rsidRPr="00C22C77">
        <w:rPr>
          <w:noProof/>
        </w:rPr>
        <w:drawing>
          <wp:inline distT="0" distB="0" distL="0" distR="0" wp14:anchorId="0E8B87FF" wp14:editId="19ECF617">
            <wp:extent cx="6110605" cy="975360"/>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7342" cy="976435"/>
                    </a:xfrm>
                    <a:prstGeom prst="rect">
                      <a:avLst/>
                    </a:prstGeom>
                    <a:noFill/>
                    <a:ln>
                      <a:noFill/>
                    </a:ln>
                  </pic:spPr>
                </pic:pic>
              </a:graphicData>
            </a:graphic>
          </wp:inline>
        </w:drawing>
      </w:r>
    </w:p>
    <w:p w:rsidR="00513A75" w:rsidRPr="00CD06A3" w:rsidRDefault="00513A75" w:rsidP="00513A75">
      <w:pPr>
        <w:tabs>
          <w:tab w:val="left" w:pos="360"/>
        </w:tabs>
        <w:spacing w:line="276" w:lineRule="auto"/>
        <w:rPr>
          <w:rFonts w:asciiTheme="minorHAnsi" w:hAnsiTheme="minorHAnsi"/>
          <w:i/>
          <w:sz w:val="20"/>
          <w:lang w:val="sq-AL"/>
        </w:rPr>
      </w:pPr>
      <w:r>
        <w:rPr>
          <w:rFonts w:asciiTheme="minorHAnsi" w:hAnsiTheme="minorHAnsi"/>
          <w:i/>
          <w:sz w:val="20"/>
          <w:lang w:val="sq-AL"/>
        </w:rPr>
        <w:tab/>
      </w:r>
      <w:r w:rsidRPr="00CD06A3">
        <w:rPr>
          <w:rFonts w:asciiTheme="minorHAnsi" w:hAnsiTheme="minorHAnsi"/>
          <w:i/>
          <w:sz w:val="20"/>
          <w:lang w:val="sq-AL"/>
        </w:rPr>
        <w:t>Burimi: Ministria e Financave dhe Ekonomisë (202</w:t>
      </w:r>
      <w:r>
        <w:rPr>
          <w:rFonts w:asciiTheme="minorHAnsi" w:hAnsiTheme="minorHAnsi"/>
          <w:i/>
          <w:sz w:val="20"/>
          <w:lang w:val="sq-AL"/>
        </w:rPr>
        <w:t>1</w:t>
      </w:r>
      <w:r w:rsidRPr="00CD06A3">
        <w:rPr>
          <w:rFonts w:asciiTheme="minorHAnsi" w:hAnsiTheme="minorHAnsi"/>
          <w:i/>
          <w:sz w:val="20"/>
          <w:lang w:val="sq-AL"/>
        </w:rPr>
        <w:t>)</w:t>
      </w:r>
    </w:p>
    <w:p w:rsidR="00513A75" w:rsidRDefault="00513A75" w:rsidP="00513A75">
      <w:pPr>
        <w:tabs>
          <w:tab w:val="left" w:pos="360"/>
        </w:tabs>
        <w:spacing w:line="276" w:lineRule="auto"/>
        <w:jc w:val="both"/>
        <w:rPr>
          <w:rFonts w:asciiTheme="minorHAnsi" w:hAnsiTheme="minorHAnsi"/>
          <w:i/>
          <w:sz w:val="8"/>
          <w:szCs w:val="8"/>
          <w:lang w:val="sq-AL"/>
        </w:rPr>
      </w:pPr>
    </w:p>
    <w:p w:rsidR="007000D1" w:rsidRPr="005260A8" w:rsidRDefault="007000D1" w:rsidP="00513A75">
      <w:pPr>
        <w:tabs>
          <w:tab w:val="left" w:pos="360"/>
        </w:tabs>
        <w:spacing w:line="276" w:lineRule="auto"/>
        <w:jc w:val="both"/>
        <w:rPr>
          <w:rFonts w:asciiTheme="minorHAnsi" w:hAnsiTheme="minorHAnsi"/>
          <w:i/>
          <w:sz w:val="8"/>
          <w:szCs w:val="8"/>
          <w:lang w:val="sq-AL"/>
        </w:rPr>
      </w:pPr>
    </w:p>
    <w:p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Zhvillimet e Tregut Primar të Titujve Shtetërorë</w:t>
      </w:r>
    </w:p>
    <w:p w:rsidR="00513A75" w:rsidRPr="00EB0002" w:rsidRDefault="00513A75" w:rsidP="00513A75">
      <w:pPr>
        <w:tabs>
          <w:tab w:val="left" w:pos="360"/>
        </w:tabs>
        <w:spacing w:after="240" w:line="276" w:lineRule="auto"/>
        <w:jc w:val="both"/>
        <w:rPr>
          <w:rFonts w:asciiTheme="minorHAnsi" w:hAnsiTheme="minorHAnsi"/>
          <w:lang w:val="sq-AL"/>
        </w:rPr>
      </w:pPr>
      <w:bookmarkStart w:id="59" w:name="_Toc491861001"/>
      <w:bookmarkStart w:id="60" w:name="_Toc491954314"/>
      <w:bookmarkStart w:id="61" w:name="_Toc497222545"/>
      <w:r w:rsidRPr="00EB0002">
        <w:rPr>
          <w:rFonts w:asciiTheme="minorHAnsi" w:hAnsiTheme="minorHAnsi"/>
          <w:lang w:val="sq-AL"/>
        </w:rPr>
        <w:t>Tregu primar i titujve shtetërorë gjatë periudhës janar-mars të vitit 202</w:t>
      </w:r>
      <w:r>
        <w:rPr>
          <w:rFonts w:asciiTheme="minorHAnsi" w:hAnsiTheme="minorHAnsi"/>
          <w:lang w:val="sq-AL"/>
        </w:rPr>
        <w:t>1</w:t>
      </w:r>
      <w:r w:rsidRPr="00EB0002">
        <w:rPr>
          <w:rFonts w:asciiTheme="minorHAnsi" w:hAnsiTheme="minorHAnsi"/>
          <w:lang w:val="sq-AL"/>
        </w:rPr>
        <w:t xml:space="preserve"> përgjithësisht është karakterizuar nga zhvillime pozitive, ndër të cilat mund të përmenden: i) kërkesa e kënaqshme e tregut në raport me nevojat e qeverisë për huamarrje; ii) vijimi me projektin pilot për emetimin e obligacionit 5-vjeçar dhe 3-vjeçar referencë.</w:t>
      </w:r>
    </w:p>
    <w:p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Ecuria e ankandeve dhe kërkesa për titujt shtetërorë</w:t>
      </w:r>
      <w:bookmarkEnd w:id="59"/>
      <w:bookmarkEnd w:id="60"/>
      <w:bookmarkEnd w:id="61"/>
    </w:p>
    <w:p w:rsidR="00513A75" w:rsidRDefault="00513A75" w:rsidP="00513A75">
      <w:pPr>
        <w:tabs>
          <w:tab w:val="left" w:pos="360"/>
        </w:tabs>
        <w:spacing w:line="276" w:lineRule="auto"/>
        <w:jc w:val="both"/>
        <w:rPr>
          <w:rFonts w:asciiTheme="minorHAnsi" w:hAnsiTheme="minorHAnsi"/>
          <w:lang w:val="sq-AL"/>
        </w:rPr>
      </w:pPr>
      <w:r w:rsidRPr="00EB0002">
        <w:rPr>
          <w:rFonts w:asciiTheme="minorHAnsi" w:hAnsiTheme="minorHAnsi"/>
          <w:lang w:val="sq-AL"/>
        </w:rPr>
        <w:t>Gjatë periudhës janar-mars 202</w:t>
      </w:r>
      <w:r>
        <w:rPr>
          <w:rFonts w:asciiTheme="minorHAnsi" w:hAnsiTheme="minorHAnsi"/>
          <w:lang w:val="sq-AL"/>
        </w:rPr>
        <w:t>1</w:t>
      </w:r>
      <w:r w:rsidRPr="00EB0002">
        <w:rPr>
          <w:rFonts w:asciiTheme="minorHAnsi" w:hAnsiTheme="minorHAnsi"/>
          <w:lang w:val="sq-AL"/>
        </w:rPr>
        <w:t xml:space="preserve"> kërkesa për tituj shtetërorë ka rezultuar në vlerën </w:t>
      </w:r>
      <w:r>
        <w:rPr>
          <w:rFonts w:asciiTheme="minorHAnsi" w:hAnsiTheme="minorHAnsi"/>
          <w:lang w:val="sq-AL"/>
        </w:rPr>
        <w:t>123.9</w:t>
      </w:r>
      <w:r w:rsidRPr="00EB0002">
        <w:rPr>
          <w:rFonts w:asciiTheme="minorHAnsi" w:hAnsiTheme="minorHAnsi"/>
          <w:lang w:val="sq-AL"/>
        </w:rPr>
        <w:t xml:space="preserve"> miliard Lekë, nga të cilat </w:t>
      </w:r>
      <w:r>
        <w:rPr>
          <w:rFonts w:asciiTheme="minorHAnsi" w:hAnsiTheme="minorHAnsi"/>
          <w:lang w:val="sq-AL"/>
        </w:rPr>
        <w:t>75.4</w:t>
      </w:r>
      <w:r w:rsidRPr="00EB0002">
        <w:rPr>
          <w:rFonts w:asciiTheme="minorHAnsi" w:hAnsiTheme="minorHAnsi"/>
          <w:lang w:val="sq-AL"/>
        </w:rPr>
        <w:t xml:space="preserve"> miliard Lekë për bono thesari dhe </w:t>
      </w:r>
      <w:r>
        <w:rPr>
          <w:rFonts w:asciiTheme="minorHAnsi" w:hAnsiTheme="minorHAnsi"/>
          <w:lang w:val="sq-AL"/>
        </w:rPr>
        <w:t>48.5</w:t>
      </w:r>
      <w:r w:rsidRPr="00EB0002">
        <w:rPr>
          <w:rFonts w:asciiTheme="minorHAnsi" w:hAnsiTheme="minorHAnsi"/>
          <w:lang w:val="sq-AL"/>
        </w:rPr>
        <w:t xml:space="preserve"> miliard Lekë për obligacione. Kërkesa gjatë këtij tremujori ka qenë relativisht më e lartë se oferta </w:t>
      </w:r>
      <w:r>
        <w:rPr>
          <w:rFonts w:asciiTheme="minorHAnsi" w:hAnsiTheme="minorHAnsi"/>
          <w:lang w:val="sq-AL"/>
        </w:rPr>
        <w:t>e qeverisë për tituj shtetërorë</w:t>
      </w:r>
      <w:r w:rsidRPr="00EB0002">
        <w:rPr>
          <w:rFonts w:asciiTheme="minorHAnsi" w:hAnsiTheme="minorHAnsi"/>
          <w:lang w:val="sq-AL"/>
        </w:rPr>
        <w:t>.</w:t>
      </w:r>
    </w:p>
    <w:p w:rsidR="00513A75" w:rsidRPr="00796E6A" w:rsidRDefault="00513A75" w:rsidP="00513A75">
      <w:pPr>
        <w:tabs>
          <w:tab w:val="left" w:pos="360"/>
        </w:tabs>
        <w:spacing w:line="276" w:lineRule="auto"/>
        <w:jc w:val="both"/>
        <w:rPr>
          <w:rFonts w:asciiTheme="minorHAnsi" w:hAnsiTheme="minorHAnsi"/>
          <w:sz w:val="8"/>
          <w:szCs w:val="8"/>
          <w:lang w:val="sq-AL"/>
        </w:rPr>
      </w:pPr>
    </w:p>
    <w:p w:rsidR="00513A75" w:rsidRPr="00DB39B7" w:rsidRDefault="00513A75" w:rsidP="00513A75">
      <w:pPr>
        <w:pStyle w:val="Caption"/>
        <w:keepNext/>
        <w:rPr>
          <w:rFonts w:asciiTheme="minorHAnsi" w:hAnsiTheme="minorHAnsi"/>
          <w:b w:val="0"/>
          <w:bCs w:val="0"/>
          <w:i/>
          <w:noProof/>
          <w:color w:val="auto"/>
          <w:sz w:val="22"/>
          <w:szCs w:val="24"/>
        </w:rPr>
      </w:pPr>
      <w:bookmarkStart w:id="62" w:name="_Toc76470132"/>
      <w:r w:rsidRPr="00DB39B7">
        <w:rPr>
          <w:rFonts w:asciiTheme="minorHAnsi" w:hAnsiTheme="minorHAnsi"/>
          <w:b w:val="0"/>
          <w:bCs w:val="0"/>
          <w:i/>
          <w:noProof/>
          <w:color w:val="auto"/>
          <w:sz w:val="22"/>
          <w:szCs w:val="24"/>
        </w:rPr>
        <w:t xml:space="preserve">Grafiku </w:t>
      </w:r>
      <w:r w:rsidRPr="00DB39B7">
        <w:rPr>
          <w:rFonts w:asciiTheme="minorHAnsi" w:hAnsiTheme="minorHAnsi"/>
          <w:b w:val="0"/>
          <w:bCs w:val="0"/>
          <w:i/>
          <w:noProof/>
          <w:color w:val="auto"/>
          <w:sz w:val="22"/>
          <w:szCs w:val="24"/>
        </w:rPr>
        <w:fldChar w:fldCharType="begin"/>
      </w:r>
      <w:r w:rsidRPr="00DB39B7">
        <w:rPr>
          <w:rFonts w:asciiTheme="minorHAnsi" w:hAnsiTheme="minorHAnsi"/>
          <w:b w:val="0"/>
          <w:bCs w:val="0"/>
          <w:i/>
          <w:noProof/>
          <w:color w:val="auto"/>
          <w:sz w:val="22"/>
          <w:szCs w:val="24"/>
        </w:rPr>
        <w:instrText xml:space="preserve"> SEQ Grafiku \* ARABIC </w:instrText>
      </w:r>
      <w:r w:rsidRPr="00DB39B7">
        <w:rPr>
          <w:rFonts w:asciiTheme="minorHAnsi" w:hAnsiTheme="minorHAnsi"/>
          <w:b w:val="0"/>
          <w:bCs w:val="0"/>
          <w:i/>
          <w:noProof/>
          <w:color w:val="auto"/>
          <w:sz w:val="22"/>
          <w:szCs w:val="24"/>
        </w:rPr>
        <w:fldChar w:fldCharType="separate"/>
      </w:r>
      <w:r w:rsidR="003C5F40">
        <w:rPr>
          <w:rFonts w:asciiTheme="minorHAnsi" w:hAnsiTheme="minorHAnsi"/>
          <w:b w:val="0"/>
          <w:bCs w:val="0"/>
          <w:i/>
          <w:noProof/>
          <w:color w:val="auto"/>
          <w:sz w:val="22"/>
          <w:szCs w:val="24"/>
        </w:rPr>
        <w:t>13</w:t>
      </w:r>
      <w:r w:rsidRPr="00DB39B7">
        <w:rPr>
          <w:rFonts w:asciiTheme="minorHAnsi" w:hAnsiTheme="minorHAnsi"/>
          <w:b w:val="0"/>
          <w:bCs w:val="0"/>
          <w:i/>
          <w:noProof/>
          <w:color w:val="auto"/>
          <w:sz w:val="22"/>
          <w:szCs w:val="24"/>
        </w:rPr>
        <w:fldChar w:fldCharType="end"/>
      </w:r>
      <w:r w:rsidRPr="00DB39B7">
        <w:rPr>
          <w:rFonts w:asciiTheme="minorHAnsi" w:hAnsiTheme="minorHAnsi"/>
          <w:b w:val="0"/>
          <w:bCs w:val="0"/>
          <w:i/>
          <w:noProof/>
          <w:color w:val="auto"/>
          <w:sz w:val="22"/>
          <w:szCs w:val="24"/>
        </w:rPr>
        <w:t>: Raporti i mbulimit të ankandeve të titujve shtetërorë (Janar–Mars 2021)</w:t>
      </w:r>
      <w:bookmarkEnd w:id="62"/>
    </w:p>
    <w:p w:rsidR="00513A75" w:rsidRPr="00EE0157" w:rsidRDefault="00513A75" w:rsidP="00DB39B7">
      <w:pPr>
        <w:jc w:val="center"/>
      </w:pPr>
      <w:r>
        <w:rPr>
          <w:noProof/>
        </w:rPr>
        <w:drawing>
          <wp:inline distT="0" distB="0" distL="0" distR="0" wp14:anchorId="32A98987" wp14:editId="2D0DCA39">
            <wp:extent cx="5962650" cy="1238250"/>
            <wp:effectExtent l="0" t="0" r="0" b="0"/>
            <wp:docPr id="62" name="Chart 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13A75" w:rsidRPr="00EB0002" w:rsidRDefault="00513A75" w:rsidP="00513A75">
      <w:pPr>
        <w:tabs>
          <w:tab w:val="left" w:pos="360"/>
        </w:tabs>
        <w:spacing w:line="276" w:lineRule="auto"/>
        <w:jc w:val="center"/>
        <w:rPr>
          <w:rFonts w:asciiTheme="minorHAnsi" w:hAnsiTheme="minorHAnsi"/>
          <w:lang w:val="sq-AL"/>
        </w:rPr>
      </w:pPr>
    </w:p>
    <w:p w:rsidR="00513A75" w:rsidRPr="00CD06A3" w:rsidRDefault="00513A75" w:rsidP="00513A75">
      <w:pPr>
        <w:tabs>
          <w:tab w:val="left" w:pos="360"/>
        </w:tabs>
        <w:spacing w:line="276" w:lineRule="auto"/>
        <w:jc w:val="both"/>
        <w:rPr>
          <w:rFonts w:asciiTheme="minorHAnsi" w:hAnsiTheme="minorHAnsi"/>
          <w:i/>
          <w:sz w:val="20"/>
          <w:lang w:val="sq-AL"/>
        </w:rPr>
      </w:pPr>
      <w:r>
        <w:rPr>
          <w:rFonts w:asciiTheme="minorHAnsi" w:hAnsiTheme="minorHAnsi"/>
          <w:i/>
          <w:sz w:val="20"/>
          <w:lang w:val="sq-AL"/>
        </w:rPr>
        <w:tab/>
      </w:r>
      <w:r w:rsidRPr="00CD06A3">
        <w:rPr>
          <w:rFonts w:asciiTheme="minorHAnsi" w:hAnsiTheme="minorHAnsi"/>
          <w:i/>
          <w:sz w:val="20"/>
          <w:lang w:val="sq-AL"/>
        </w:rPr>
        <w:t>Burimi: Ministria e Financave dhe Ekonomisë (202</w:t>
      </w:r>
      <w:r>
        <w:rPr>
          <w:rFonts w:asciiTheme="minorHAnsi" w:hAnsiTheme="minorHAnsi"/>
          <w:i/>
          <w:sz w:val="20"/>
          <w:lang w:val="sq-AL"/>
        </w:rPr>
        <w:t>1</w:t>
      </w:r>
      <w:r w:rsidRPr="00CD06A3">
        <w:rPr>
          <w:rFonts w:asciiTheme="minorHAnsi" w:hAnsiTheme="minorHAnsi"/>
          <w:i/>
          <w:sz w:val="20"/>
          <w:lang w:val="sq-AL"/>
        </w:rPr>
        <w:t>)</w:t>
      </w:r>
    </w:p>
    <w:p w:rsidR="00513A75" w:rsidRPr="00796E6A" w:rsidRDefault="00513A75" w:rsidP="00513A75">
      <w:pPr>
        <w:tabs>
          <w:tab w:val="left" w:pos="360"/>
        </w:tabs>
        <w:spacing w:line="276" w:lineRule="auto"/>
        <w:jc w:val="both"/>
        <w:rPr>
          <w:rFonts w:asciiTheme="minorHAnsi" w:hAnsiTheme="minorHAnsi"/>
          <w:sz w:val="8"/>
          <w:lang w:val="sq-AL"/>
        </w:rPr>
      </w:pPr>
    </w:p>
    <w:p w:rsidR="00513A75" w:rsidRPr="00EB0002" w:rsidRDefault="00513A75" w:rsidP="00513A75">
      <w:pPr>
        <w:tabs>
          <w:tab w:val="left" w:pos="360"/>
        </w:tabs>
        <w:spacing w:after="240" w:line="276" w:lineRule="auto"/>
        <w:jc w:val="both"/>
        <w:rPr>
          <w:rFonts w:asciiTheme="minorHAnsi" w:hAnsiTheme="minorHAnsi"/>
          <w:lang w:val="sq-AL"/>
        </w:rPr>
      </w:pPr>
      <w:r w:rsidRPr="00EB0002">
        <w:rPr>
          <w:rFonts w:asciiTheme="minorHAnsi" w:hAnsiTheme="minorHAnsi"/>
          <w:lang w:val="sq-AL"/>
        </w:rPr>
        <w:t>Nga pikëpamja e investitorëve, baza e investitorëve, vijon të jetë e përqëndruar në mbi 60% tek sektori bankar duke e bërë portofolin e borxhit të brendshëm të ndjeshëm ndaj risqeve sistemike që mund të paraqesë ky sektor. Struktura e tregut primar të titujve ka vijuar të konsolidohet nëpërmjet strategjisë e cila synon emetimin e titujve referencë, si shtysë për zhvillimin e tregut sekondar në të ardhmen.</w:t>
      </w:r>
      <w:r>
        <w:rPr>
          <w:rFonts w:asciiTheme="minorHAnsi" w:hAnsiTheme="minorHAnsi"/>
          <w:lang w:val="sq-AL"/>
        </w:rPr>
        <w:t xml:space="preserve"> </w:t>
      </w:r>
      <w:r w:rsidRPr="00EB0002">
        <w:rPr>
          <w:rFonts w:asciiTheme="minorHAnsi" w:hAnsiTheme="minorHAnsi"/>
          <w:lang w:val="sq-AL"/>
        </w:rPr>
        <w:t>Në këtë drejtim, gjatë tremujorit të parë është vijuar me emetimin e obligacioneve 3 dhe 5 vjeçare referencë.</w:t>
      </w:r>
    </w:p>
    <w:p w:rsidR="00513A75" w:rsidRPr="006E68A7" w:rsidRDefault="00513A75" w:rsidP="00513A75">
      <w:pPr>
        <w:tabs>
          <w:tab w:val="left" w:pos="360"/>
        </w:tabs>
        <w:spacing w:after="240" w:line="276" w:lineRule="auto"/>
        <w:jc w:val="both"/>
        <w:rPr>
          <w:rFonts w:asciiTheme="minorHAnsi" w:hAnsiTheme="minorHAnsi"/>
          <w:i/>
          <w:u w:val="single"/>
          <w:lang w:val="sq-AL"/>
        </w:rPr>
      </w:pPr>
      <w:r w:rsidRPr="006E68A7">
        <w:rPr>
          <w:rFonts w:asciiTheme="minorHAnsi" w:hAnsiTheme="minorHAnsi"/>
          <w:i/>
          <w:u w:val="single"/>
          <w:lang w:val="sq-AL"/>
        </w:rPr>
        <w:t>Ecuria e normave të interesit</w:t>
      </w:r>
    </w:p>
    <w:p w:rsidR="00513A75" w:rsidRDefault="00513A75" w:rsidP="00513A75">
      <w:pPr>
        <w:tabs>
          <w:tab w:val="left" w:pos="360"/>
        </w:tabs>
        <w:spacing w:line="276" w:lineRule="auto"/>
        <w:jc w:val="both"/>
        <w:rPr>
          <w:rFonts w:asciiTheme="minorHAnsi" w:hAnsiTheme="minorHAnsi"/>
          <w:lang w:val="sq-AL"/>
        </w:rPr>
      </w:pPr>
      <w:r w:rsidRPr="00EB0002">
        <w:rPr>
          <w:rFonts w:asciiTheme="minorHAnsi" w:hAnsiTheme="minorHAnsi"/>
          <w:lang w:val="sq-AL"/>
        </w:rPr>
        <w:t>Gjatë tremujorit të parë 202</w:t>
      </w:r>
      <w:r>
        <w:rPr>
          <w:rFonts w:asciiTheme="minorHAnsi" w:hAnsiTheme="minorHAnsi"/>
          <w:lang w:val="sq-AL"/>
        </w:rPr>
        <w:t>1</w:t>
      </w:r>
      <w:r w:rsidRPr="00EB0002">
        <w:rPr>
          <w:rFonts w:asciiTheme="minorHAnsi" w:hAnsiTheme="minorHAnsi"/>
          <w:lang w:val="sq-AL"/>
        </w:rPr>
        <w:t xml:space="preserve"> normat e interesit në tregun e titujve shtetërorë kanë shfaqur një tendencë </w:t>
      </w:r>
      <w:r>
        <w:rPr>
          <w:rFonts w:asciiTheme="minorHAnsi" w:hAnsiTheme="minorHAnsi"/>
          <w:lang w:val="sq-AL"/>
        </w:rPr>
        <w:t>të një rritje minimale</w:t>
      </w:r>
      <w:r w:rsidRPr="00EB0002">
        <w:rPr>
          <w:rFonts w:asciiTheme="minorHAnsi" w:hAnsiTheme="minorHAnsi"/>
          <w:lang w:val="sq-AL"/>
        </w:rPr>
        <w:t xml:space="preserve"> </w:t>
      </w:r>
      <w:r>
        <w:rPr>
          <w:rFonts w:asciiTheme="minorHAnsi" w:hAnsiTheme="minorHAnsi"/>
          <w:lang w:val="sq-AL"/>
        </w:rPr>
        <w:t>në</w:t>
      </w:r>
      <w:r w:rsidRPr="00EB0002">
        <w:rPr>
          <w:rFonts w:asciiTheme="minorHAnsi" w:hAnsiTheme="minorHAnsi"/>
          <w:lang w:val="sq-AL"/>
        </w:rPr>
        <w:t xml:space="preserve"> maturitetet </w:t>
      </w:r>
      <w:r>
        <w:rPr>
          <w:rFonts w:asciiTheme="minorHAnsi" w:hAnsiTheme="minorHAnsi"/>
          <w:lang w:val="sq-AL"/>
        </w:rPr>
        <w:t>afatmesme të</w:t>
      </w:r>
      <w:r w:rsidRPr="00EB0002">
        <w:rPr>
          <w:rFonts w:asciiTheme="minorHAnsi" w:hAnsiTheme="minorHAnsi"/>
          <w:lang w:val="sq-AL"/>
        </w:rPr>
        <w:t xml:space="preserve"> titujve shtetërorë</w:t>
      </w:r>
      <w:r>
        <w:rPr>
          <w:rFonts w:asciiTheme="minorHAnsi" w:hAnsiTheme="minorHAnsi"/>
          <w:lang w:val="sq-AL"/>
        </w:rPr>
        <w:t xml:space="preserve"> (2 dhe 3 vjeçarë) nderkohe që për maturitetet e tjera normat kanë qëndruar pothuajse në të njëjtin nivel krahasuar me normat e vitit të kaluar</w:t>
      </w:r>
      <w:r w:rsidRPr="00EB0002">
        <w:rPr>
          <w:rFonts w:asciiTheme="minorHAnsi" w:hAnsiTheme="minorHAnsi"/>
          <w:lang w:val="sq-AL"/>
        </w:rPr>
        <w:t xml:space="preserve">. </w:t>
      </w:r>
    </w:p>
    <w:p w:rsidR="00513A75" w:rsidRPr="00796E6A" w:rsidRDefault="00513A75" w:rsidP="00513A75">
      <w:pPr>
        <w:tabs>
          <w:tab w:val="left" w:pos="360"/>
        </w:tabs>
        <w:spacing w:line="276" w:lineRule="auto"/>
        <w:jc w:val="both"/>
        <w:rPr>
          <w:rFonts w:asciiTheme="minorHAnsi" w:hAnsiTheme="minorHAnsi"/>
          <w:sz w:val="8"/>
          <w:lang w:val="sq-AL"/>
        </w:rPr>
      </w:pPr>
    </w:p>
    <w:p w:rsidR="00513A75" w:rsidRDefault="00513A75" w:rsidP="00513A75">
      <w:pPr>
        <w:pStyle w:val="Caption"/>
        <w:keepNext/>
        <w:rPr>
          <w:rFonts w:asciiTheme="minorHAnsi" w:hAnsiTheme="minorHAnsi"/>
          <w:b w:val="0"/>
          <w:bCs w:val="0"/>
          <w:i/>
          <w:noProof/>
          <w:color w:val="auto"/>
          <w:sz w:val="24"/>
          <w:szCs w:val="24"/>
        </w:rPr>
      </w:pPr>
      <w:bookmarkStart w:id="63" w:name="_Toc76470133"/>
      <w:r w:rsidRPr="006E68A7">
        <w:rPr>
          <w:rFonts w:asciiTheme="minorHAnsi" w:hAnsiTheme="minorHAnsi"/>
          <w:b w:val="0"/>
          <w:bCs w:val="0"/>
          <w:i/>
          <w:noProof/>
          <w:color w:val="auto"/>
          <w:sz w:val="24"/>
          <w:szCs w:val="24"/>
        </w:rPr>
        <w:lastRenderedPageBreak/>
        <w:t xml:space="preserve">Grafiku </w:t>
      </w:r>
      <w:r w:rsidRPr="006E68A7">
        <w:rPr>
          <w:rFonts w:asciiTheme="minorHAnsi" w:hAnsiTheme="minorHAnsi"/>
          <w:b w:val="0"/>
          <w:bCs w:val="0"/>
          <w:i/>
          <w:noProof/>
          <w:color w:val="auto"/>
          <w:sz w:val="24"/>
          <w:szCs w:val="24"/>
        </w:rPr>
        <w:fldChar w:fldCharType="begin"/>
      </w:r>
      <w:r w:rsidRPr="006E68A7">
        <w:rPr>
          <w:rFonts w:asciiTheme="minorHAnsi" w:hAnsiTheme="minorHAnsi"/>
          <w:b w:val="0"/>
          <w:bCs w:val="0"/>
          <w:i/>
          <w:noProof/>
          <w:color w:val="auto"/>
          <w:sz w:val="24"/>
          <w:szCs w:val="24"/>
        </w:rPr>
        <w:instrText xml:space="preserve"> SEQ Grafiku \* ARABIC </w:instrText>
      </w:r>
      <w:r w:rsidRPr="006E68A7">
        <w:rPr>
          <w:rFonts w:asciiTheme="minorHAnsi" w:hAnsiTheme="minorHAnsi"/>
          <w:b w:val="0"/>
          <w:bCs w:val="0"/>
          <w:i/>
          <w:noProof/>
          <w:color w:val="auto"/>
          <w:sz w:val="24"/>
          <w:szCs w:val="24"/>
        </w:rPr>
        <w:fldChar w:fldCharType="separate"/>
      </w:r>
      <w:r w:rsidR="003C5F40">
        <w:rPr>
          <w:rFonts w:asciiTheme="minorHAnsi" w:hAnsiTheme="minorHAnsi"/>
          <w:b w:val="0"/>
          <w:bCs w:val="0"/>
          <w:i/>
          <w:noProof/>
          <w:color w:val="auto"/>
          <w:sz w:val="24"/>
          <w:szCs w:val="24"/>
        </w:rPr>
        <w:t>14</w:t>
      </w:r>
      <w:r w:rsidRPr="006E68A7">
        <w:rPr>
          <w:rFonts w:asciiTheme="minorHAnsi" w:hAnsiTheme="minorHAnsi"/>
          <w:b w:val="0"/>
          <w:bCs w:val="0"/>
          <w:i/>
          <w:noProof/>
          <w:color w:val="auto"/>
          <w:sz w:val="24"/>
          <w:szCs w:val="24"/>
        </w:rPr>
        <w:fldChar w:fldCharType="end"/>
      </w:r>
      <w:r w:rsidRPr="006E68A7">
        <w:rPr>
          <w:rFonts w:asciiTheme="minorHAnsi" w:hAnsiTheme="minorHAnsi"/>
          <w:b w:val="0"/>
          <w:bCs w:val="0"/>
          <w:i/>
          <w:noProof/>
          <w:color w:val="auto"/>
          <w:sz w:val="24"/>
          <w:szCs w:val="24"/>
        </w:rPr>
        <w:t>: Norma mesatare e ponderuar e titujve shtetërorë</w:t>
      </w:r>
      <w:r w:rsidRPr="00B7098E">
        <w:rPr>
          <w:rFonts w:asciiTheme="minorHAnsi" w:hAnsiTheme="minorHAnsi"/>
          <w:b w:val="0"/>
          <w:bCs w:val="0"/>
          <w:i/>
          <w:noProof/>
          <w:color w:val="auto"/>
          <w:sz w:val="24"/>
          <w:szCs w:val="24"/>
          <w:vertAlign w:val="superscript"/>
        </w:rPr>
        <w:footnoteReference w:id="2"/>
      </w:r>
      <w:r w:rsidRPr="006E68A7">
        <w:rPr>
          <w:rFonts w:asciiTheme="minorHAnsi" w:hAnsiTheme="minorHAnsi"/>
          <w:b w:val="0"/>
          <w:bCs w:val="0"/>
          <w:i/>
          <w:noProof/>
          <w:color w:val="auto"/>
          <w:sz w:val="24"/>
          <w:szCs w:val="24"/>
        </w:rPr>
        <w:t xml:space="preserve"> (201</w:t>
      </w:r>
      <w:r>
        <w:rPr>
          <w:rFonts w:asciiTheme="minorHAnsi" w:hAnsiTheme="minorHAnsi"/>
          <w:b w:val="0"/>
          <w:bCs w:val="0"/>
          <w:i/>
          <w:noProof/>
          <w:color w:val="auto"/>
          <w:sz w:val="24"/>
          <w:szCs w:val="24"/>
        </w:rPr>
        <w:t>9</w:t>
      </w:r>
      <w:r w:rsidRPr="006E68A7">
        <w:rPr>
          <w:rFonts w:asciiTheme="minorHAnsi" w:hAnsiTheme="minorHAnsi"/>
          <w:b w:val="0"/>
          <w:bCs w:val="0"/>
          <w:i/>
          <w:noProof/>
          <w:color w:val="auto"/>
          <w:sz w:val="24"/>
          <w:szCs w:val="24"/>
        </w:rPr>
        <w:t>-Mars 202</w:t>
      </w:r>
      <w:r>
        <w:rPr>
          <w:rFonts w:asciiTheme="minorHAnsi" w:hAnsiTheme="minorHAnsi"/>
          <w:b w:val="0"/>
          <w:bCs w:val="0"/>
          <w:i/>
          <w:noProof/>
          <w:color w:val="auto"/>
          <w:sz w:val="24"/>
          <w:szCs w:val="24"/>
        </w:rPr>
        <w:t>1</w:t>
      </w:r>
      <w:r w:rsidRPr="006E68A7">
        <w:rPr>
          <w:rFonts w:asciiTheme="minorHAnsi" w:hAnsiTheme="minorHAnsi"/>
          <w:b w:val="0"/>
          <w:bCs w:val="0"/>
          <w:i/>
          <w:noProof/>
          <w:color w:val="auto"/>
          <w:sz w:val="24"/>
          <w:szCs w:val="24"/>
        </w:rPr>
        <w:t>)</w:t>
      </w:r>
      <w:bookmarkEnd w:id="63"/>
    </w:p>
    <w:p w:rsidR="00513A75" w:rsidRPr="00EE0157" w:rsidRDefault="00513A75" w:rsidP="00DE2307">
      <w:pPr>
        <w:jc w:val="center"/>
      </w:pPr>
      <w:r>
        <w:rPr>
          <w:noProof/>
        </w:rPr>
        <w:drawing>
          <wp:inline distT="0" distB="0" distL="0" distR="0" wp14:anchorId="0513BFCE" wp14:editId="61B2062B">
            <wp:extent cx="6096000" cy="2346960"/>
            <wp:effectExtent l="0" t="0" r="0" b="0"/>
            <wp:docPr id="63" name="Chart 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13A75" w:rsidRDefault="00513A75" w:rsidP="00513A75">
      <w:pPr>
        <w:tabs>
          <w:tab w:val="left" w:pos="360"/>
        </w:tabs>
        <w:spacing w:after="240" w:line="276" w:lineRule="auto"/>
        <w:jc w:val="both"/>
        <w:rPr>
          <w:rFonts w:asciiTheme="minorHAnsi" w:hAnsiTheme="minorHAnsi"/>
          <w:i/>
          <w:sz w:val="20"/>
          <w:lang w:val="sq-AL"/>
        </w:rPr>
      </w:pPr>
      <w:r w:rsidRPr="001E18DB">
        <w:rPr>
          <w:rFonts w:asciiTheme="minorHAnsi" w:hAnsiTheme="minorHAnsi"/>
          <w:i/>
          <w:sz w:val="20"/>
          <w:lang w:val="sq-AL"/>
        </w:rPr>
        <w:t>Burimi: Ministria e Financave dhe Ekonomisë (202</w:t>
      </w:r>
      <w:r>
        <w:rPr>
          <w:rFonts w:asciiTheme="minorHAnsi" w:hAnsiTheme="minorHAnsi"/>
          <w:i/>
          <w:sz w:val="20"/>
          <w:lang w:val="sq-AL"/>
        </w:rPr>
        <w:t>1</w:t>
      </w:r>
      <w:r w:rsidRPr="001E18DB">
        <w:rPr>
          <w:rFonts w:asciiTheme="minorHAnsi" w:hAnsiTheme="minorHAnsi"/>
          <w:i/>
          <w:sz w:val="20"/>
          <w:lang w:val="sq-AL"/>
        </w:rPr>
        <w:t>)</w:t>
      </w:r>
    </w:p>
    <w:p w:rsidR="00CB7741" w:rsidRPr="0065598A" w:rsidRDefault="00765663" w:rsidP="002334F6">
      <w:pPr>
        <w:pStyle w:val="Heading2"/>
      </w:pPr>
      <w:bookmarkStart w:id="64" w:name="_Toc76470027"/>
      <w:r w:rsidRPr="0065598A">
        <w:t>I</w:t>
      </w:r>
      <w:r w:rsidR="00CB7741" w:rsidRPr="0065598A">
        <w:t>V.3</w:t>
      </w:r>
      <w:r w:rsidR="00CB7741" w:rsidRPr="0065598A">
        <w:tab/>
        <w:t xml:space="preserve">Pritshmëritë </w:t>
      </w:r>
      <w:r w:rsidR="0085454B" w:rsidRPr="0065598A">
        <w:t xml:space="preserve">e Borxhit </w:t>
      </w:r>
      <w:r w:rsidR="00CB7741" w:rsidRPr="0065598A">
        <w:t>për vitin 20</w:t>
      </w:r>
      <w:r w:rsidR="001E18DB">
        <w:t>2</w:t>
      </w:r>
      <w:r w:rsidR="00FF6BC9">
        <w:t>1</w:t>
      </w:r>
      <w:bookmarkEnd w:id="64"/>
    </w:p>
    <w:p w:rsidR="00125DA8" w:rsidRPr="00125DA8" w:rsidRDefault="00125DA8" w:rsidP="00125DA8">
      <w:pPr>
        <w:tabs>
          <w:tab w:val="left" w:pos="2730"/>
        </w:tabs>
        <w:spacing w:line="276" w:lineRule="auto"/>
        <w:jc w:val="both"/>
        <w:rPr>
          <w:rFonts w:asciiTheme="minorHAnsi" w:hAnsiTheme="minorHAnsi"/>
          <w:sz w:val="8"/>
          <w:szCs w:val="8"/>
          <w:lang w:val="sq-AL"/>
        </w:rPr>
      </w:pPr>
      <w:bookmarkStart w:id="65" w:name="_Toc10033283"/>
      <w:bookmarkStart w:id="66" w:name="_Toc10721420"/>
      <w:bookmarkStart w:id="67" w:name="_Toc11134240"/>
      <w:bookmarkStart w:id="68" w:name="_Toc10033286"/>
      <w:bookmarkStart w:id="69" w:name="_Toc10721423"/>
      <w:bookmarkStart w:id="70" w:name="_Toc11134243"/>
    </w:p>
    <w:p w:rsidR="00FF6BC9" w:rsidRDefault="00FF6BC9" w:rsidP="00FF6BC9">
      <w:pPr>
        <w:tabs>
          <w:tab w:val="left" w:pos="2730"/>
        </w:tabs>
        <w:spacing w:line="276" w:lineRule="auto"/>
        <w:jc w:val="both"/>
        <w:rPr>
          <w:rFonts w:asciiTheme="minorHAnsi" w:hAnsiTheme="minorHAnsi"/>
          <w:lang w:val="sq-AL"/>
        </w:rPr>
      </w:pPr>
      <w:r w:rsidRPr="00125DA8">
        <w:rPr>
          <w:rFonts w:asciiTheme="minorHAnsi" w:hAnsiTheme="minorHAnsi"/>
          <w:lang w:val="sq-AL"/>
        </w:rPr>
        <w:t>Gjatë periudhës së mbetur të vitit 20</w:t>
      </w:r>
      <w:r>
        <w:rPr>
          <w:rFonts w:asciiTheme="minorHAnsi" w:hAnsiTheme="minorHAnsi"/>
          <w:lang w:val="sq-AL"/>
        </w:rPr>
        <w:t>21</w:t>
      </w:r>
      <w:r w:rsidRPr="00125DA8">
        <w:rPr>
          <w:rFonts w:asciiTheme="minorHAnsi" w:hAnsiTheme="minorHAnsi"/>
          <w:lang w:val="sq-AL"/>
        </w:rPr>
        <w:t xml:space="preserve">, menaxhimi i borxhit do të ketë në fokus </w:t>
      </w:r>
      <w:r>
        <w:rPr>
          <w:rFonts w:asciiTheme="minorHAnsi" w:hAnsiTheme="minorHAnsi"/>
          <w:lang w:val="sq-AL"/>
        </w:rPr>
        <w:t xml:space="preserve">plotësimin me financim të nevojave, edhe këtë vit veçanërisht të larta, si dhe </w:t>
      </w:r>
      <w:r w:rsidRPr="00125DA8">
        <w:rPr>
          <w:rFonts w:asciiTheme="minorHAnsi" w:hAnsiTheme="minorHAnsi"/>
          <w:lang w:val="sq-AL"/>
        </w:rPr>
        <w:t xml:space="preserve">përmirësimin e mëtejshëm të strukturës së borxhit </w:t>
      </w:r>
      <w:r w:rsidRPr="00125DA8">
        <w:rPr>
          <w:rFonts w:asciiTheme="minorHAnsi" w:hAnsiTheme="minorHAnsi"/>
          <w:i/>
          <w:lang w:val="sq-AL"/>
        </w:rPr>
        <w:t>(kryesisht strukturën e portofolit të borxhit të brendshëm)</w:t>
      </w:r>
      <w:r w:rsidRPr="00125DA8">
        <w:rPr>
          <w:rFonts w:asciiTheme="minorHAnsi" w:hAnsiTheme="minorHAnsi"/>
          <w:lang w:val="sq-AL"/>
        </w:rPr>
        <w:t xml:space="preserve"> në drejtim të uljes së ekspozimit ndaj risqeve, megjithëse nevojat në rritje për huamarrje e vështirësojnë procesin e realizimit të këtij objektivi.</w:t>
      </w:r>
      <w:r>
        <w:rPr>
          <w:rFonts w:asciiTheme="minorHAnsi" w:hAnsiTheme="minorHAnsi"/>
          <w:lang w:val="sq-AL"/>
        </w:rPr>
        <w:t xml:space="preserve"> </w:t>
      </w:r>
      <w:r w:rsidRPr="00125DA8">
        <w:rPr>
          <w:rFonts w:asciiTheme="minorHAnsi" w:hAnsiTheme="minorHAnsi"/>
          <w:lang w:val="sq-AL"/>
        </w:rPr>
        <w:t>Në tregun e brendshëm, nëpërmjet titujve afatshkurtër do të synohet kryesisht rifinancimi i titujve ekzistues, si dhe menaxhimi aktiv i nevojave për likuiditet. Ndërkohë, nëpërmjet titujve afatgjatë do të synohet të mbulohet financimi i deficitit.</w:t>
      </w:r>
      <w:r>
        <w:rPr>
          <w:rFonts w:asciiTheme="minorHAnsi" w:hAnsiTheme="minorHAnsi"/>
          <w:lang w:val="sq-AL"/>
        </w:rPr>
        <w:t xml:space="preserve"> </w:t>
      </w:r>
      <w:r w:rsidRPr="00125DA8">
        <w:rPr>
          <w:rFonts w:asciiTheme="minorHAnsi" w:hAnsiTheme="minorHAnsi"/>
          <w:lang w:val="sq-AL"/>
        </w:rPr>
        <w:t xml:space="preserve">Financimi i huaj do të shërbejë si plotësues i burimeve të brendshme dhe përveç të tjerash edhe si optimizues i kostove të borxhit. Huamarrja e huaj pritet të realizohet nëpërmjet </w:t>
      </w:r>
      <w:r>
        <w:rPr>
          <w:rFonts w:asciiTheme="minorHAnsi" w:hAnsiTheme="minorHAnsi"/>
          <w:lang w:val="sq-AL"/>
        </w:rPr>
        <w:t xml:space="preserve">mbështetjeve buxhetore të planifikuara për tu mundësuar brenda këtij viti, si dhe nëpërmjet emetimit të mundshëm të </w:t>
      </w:r>
      <w:r w:rsidRPr="00125DA8">
        <w:rPr>
          <w:rFonts w:asciiTheme="minorHAnsi" w:hAnsiTheme="minorHAnsi"/>
          <w:lang w:val="sq-AL"/>
        </w:rPr>
        <w:t xml:space="preserve">instrumentit të Eurobond-it, </w:t>
      </w:r>
      <w:r>
        <w:rPr>
          <w:rFonts w:asciiTheme="minorHAnsi" w:hAnsiTheme="minorHAnsi"/>
          <w:lang w:val="sq-AL"/>
        </w:rPr>
        <w:t xml:space="preserve">në varësi të kushteve të tregjeve ndërkombëtare. </w:t>
      </w:r>
    </w:p>
    <w:p w:rsidR="00562780" w:rsidRPr="00D43A95" w:rsidRDefault="00562780" w:rsidP="00D43A95">
      <w:pPr>
        <w:pStyle w:val="Heading1"/>
        <w:numPr>
          <w:ilvl w:val="0"/>
          <w:numId w:val="1"/>
        </w:numPr>
        <w:spacing w:line="276" w:lineRule="auto"/>
        <w:ind w:left="720"/>
        <w:jc w:val="both"/>
        <w:rPr>
          <w:sz w:val="32"/>
          <w:u w:val="none"/>
        </w:rPr>
      </w:pPr>
      <w:bookmarkStart w:id="71" w:name="_Toc76470028"/>
      <w:r w:rsidRPr="00371249">
        <w:rPr>
          <w:sz w:val="32"/>
          <w:u w:val="none"/>
        </w:rPr>
        <w:t>RREZI</w:t>
      </w:r>
      <w:r w:rsidRPr="00D43A95">
        <w:rPr>
          <w:sz w:val="32"/>
          <w:u w:val="none"/>
        </w:rPr>
        <w:t>QET FISKALE DHE DETYRIMET KONTIGJENTE</w:t>
      </w:r>
      <w:bookmarkEnd w:id="65"/>
      <w:bookmarkEnd w:id="66"/>
      <w:bookmarkEnd w:id="71"/>
      <w:r w:rsidRPr="00D43A95">
        <w:rPr>
          <w:sz w:val="32"/>
          <w:u w:val="none"/>
        </w:rPr>
        <w:t xml:space="preserve"> </w:t>
      </w:r>
      <w:bookmarkEnd w:id="67"/>
    </w:p>
    <w:p w:rsidR="007000D1" w:rsidRDefault="00A60CC8" w:rsidP="00A60CC8">
      <w:pPr>
        <w:spacing w:before="240" w:line="276" w:lineRule="auto"/>
        <w:jc w:val="both"/>
        <w:rPr>
          <w:rFonts w:asciiTheme="minorHAnsi" w:hAnsiTheme="minorHAnsi"/>
          <w:lang w:val="sq-AL"/>
        </w:rPr>
      </w:pPr>
      <w:r w:rsidRPr="00D77A28">
        <w:rPr>
          <w:rFonts w:asciiTheme="minorHAnsi" w:hAnsiTheme="minorHAnsi"/>
          <w:lang w:val="sq-AL"/>
        </w:rPr>
        <w:t xml:space="preserve">Me qëllim ndjekjen e performancës të zbatimit të buxhetit të shtetit, Ministria e Financave dhe Ekonomisë me mbështetjen e FMN dhe BB që prej vitit 2017 ka nisur monitorimin e risqeve që shoqërojnë zbatimin e tij. Ky proces ka për qëllim që, në bazë të analizave të thelluara, të rekomandojë zbutjen dhe/apo parandalimin në kohë të rreziqeve fiskale, pasuar nga një vendimarrje koherente. Risqet fiskale janë faktorë që mund të shkaktojnë devijim nga parashikimet fiskale dhe buxhetore gjatë ciklit të buxhetit, si rrjedhojë e disa ngjarjeve të paparashikuara. Ato mund të lindin si pasojë e supozimeve dhe zhvillimeve makroekonomike, vendimeve </w:t>
      </w:r>
      <w:r w:rsidRPr="000D4371">
        <w:rPr>
          <w:rFonts w:asciiTheme="minorHAnsi" w:hAnsiTheme="minorHAnsi"/>
          <w:i/>
          <w:lang w:val="sq-AL"/>
        </w:rPr>
        <w:t>ad-hoc</w:t>
      </w:r>
      <w:r w:rsidRPr="00D77A28">
        <w:rPr>
          <w:rFonts w:asciiTheme="minorHAnsi" w:hAnsiTheme="minorHAnsi"/>
          <w:lang w:val="sq-AL"/>
        </w:rPr>
        <w:t xml:space="preserve"> mbi politikën fiskale dhe/ose materializimin e detyrimeve kontingjente. </w:t>
      </w:r>
    </w:p>
    <w:p w:rsidR="007000D1" w:rsidRDefault="007000D1" w:rsidP="00A60CC8">
      <w:pPr>
        <w:spacing w:before="240" w:line="276" w:lineRule="auto"/>
        <w:jc w:val="both"/>
        <w:rPr>
          <w:rFonts w:asciiTheme="minorHAnsi" w:hAnsiTheme="minorHAnsi"/>
          <w:lang w:val="sq-AL"/>
        </w:rPr>
      </w:pPr>
    </w:p>
    <w:p w:rsidR="00A60CC8" w:rsidRPr="00D77A28" w:rsidRDefault="00A60CC8" w:rsidP="00A60CC8">
      <w:pPr>
        <w:spacing w:before="240" w:line="276" w:lineRule="auto"/>
        <w:jc w:val="both"/>
        <w:rPr>
          <w:rFonts w:asciiTheme="minorHAnsi" w:hAnsiTheme="minorHAnsi"/>
          <w:lang w:val="sq-AL"/>
        </w:rPr>
      </w:pPr>
      <w:r w:rsidRPr="00D77A28">
        <w:rPr>
          <w:rFonts w:asciiTheme="minorHAnsi" w:hAnsiTheme="minorHAnsi"/>
          <w:lang w:val="sq-AL"/>
        </w:rPr>
        <w:lastRenderedPageBreak/>
        <w:t xml:space="preserve">Vlerësimi i probabilitetit dhe ndikimit të risqeve fiskale kryhet në bazë të analizave të thelluara dhe parashikimeve në kuadër të Buxhetit </w:t>
      </w:r>
      <w:r>
        <w:rPr>
          <w:rFonts w:asciiTheme="minorHAnsi" w:hAnsiTheme="minorHAnsi"/>
          <w:lang w:val="sq-AL"/>
        </w:rPr>
        <w:t>A</w:t>
      </w:r>
      <w:r w:rsidRPr="00D77A28">
        <w:rPr>
          <w:rFonts w:asciiTheme="minorHAnsi" w:hAnsiTheme="minorHAnsi"/>
          <w:lang w:val="sq-AL"/>
        </w:rPr>
        <w:t xml:space="preserve">fatmesëm. Përkatësisht vlerësohen </w:t>
      </w:r>
      <w:r w:rsidRPr="000D4371">
        <w:rPr>
          <w:rFonts w:asciiTheme="minorHAnsi" w:hAnsiTheme="minorHAnsi"/>
          <w:u w:val="single"/>
          <w:lang w:val="sq-AL"/>
        </w:rPr>
        <w:t>dy kategori risqesh</w:t>
      </w:r>
      <w:r w:rsidRPr="00D77A28">
        <w:rPr>
          <w:rFonts w:asciiTheme="minorHAnsi" w:hAnsiTheme="minorHAnsi"/>
          <w:lang w:val="sq-AL"/>
        </w:rPr>
        <w:t>:</w:t>
      </w:r>
    </w:p>
    <w:p w:rsidR="00A60CC8" w:rsidRDefault="00A60CC8" w:rsidP="007F0B61">
      <w:pPr>
        <w:pStyle w:val="ListParagraph"/>
        <w:numPr>
          <w:ilvl w:val="0"/>
          <w:numId w:val="47"/>
        </w:numPr>
        <w:spacing w:line="276" w:lineRule="auto"/>
        <w:jc w:val="both"/>
        <w:rPr>
          <w:rFonts w:asciiTheme="minorHAnsi" w:hAnsiTheme="minorHAnsi"/>
          <w:lang w:val="sq-AL"/>
        </w:rPr>
      </w:pPr>
      <w:r w:rsidRPr="008C6BAD">
        <w:rPr>
          <w:rFonts w:asciiTheme="minorHAnsi" w:hAnsiTheme="minorHAnsi"/>
          <w:u w:val="single"/>
          <w:lang w:val="sq-AL"/>
        </w:rPr>
        <w:t>“Eksplicite”</w:t>
      </w:r>
      <w:r w:rsidRPr="008C6BAD">
        <w:rPr>
          <w:rFonts w:asciiTheme="minorHAnsi" w:hAnsiTheme="minorHAnsi"/>
          <w:lang w:val="sq-AL"/>
        </w:rPr>
        <w:t>, Detyrime të njohura nga qeveria dhe të bazuara në legjislacionin në fuqi apo kontrata të ndryshme të cilat mund të lidhen me supozimet dhe zhvillimet makroekonomike, të ardhurat e qeverisë, shpenzimet e përgjithshme të qeverisë, shpenzimet dhe menaxhimin e borxhit, etj.</w:t>
      </w:r>
    </w:p>
    <w:p w:rsidR="00A60CC8" w:rsidRPr="008C6BAD" w:rsidRDefault="00A60CC8" w:rsidP="007F0B61">
      <w:pPr>
        <w:pStyle w:val="ListParagraph"/>
        <w:numPr>
          <w:ilvl w:val="0"/>
          <w:numId w:val="47"/>
        </w:numPr>
        <w:spacing w:line="276" w:lineRule="auto"/>
        <w:jc w:val="both"/>
        <w:rPr>
          <w:rFonts w:asciiTheme="minorHAnsi" w:hAnsiTheme="minorHAnsi"/>
          <w:lang w:val="sq-AL"/>
        </w:rPr>
      </w:pPr>
      <w:r w:rsidRPr="008C6BAD">
        <w:rPr>
          <w:rFonts w:asciiTheme="minorHAnsi" w:hAnsiTheme="minorHAnsi"/>
          <w:u w:val="single"/>
          <w:lang w:val="sq-AL"/>
        </w:rPr>
        <w:t>“Implicite”,</w:t>
      </w:r>
      <w:r w:rsidRPr="008C6BAD">
        <w:rPr>
          <w:rFonts w:asciiTheme="minorHAnsi" w:hAnsiTheme="minorHAnsi"/>
          <w:lang w:val="sq-AL"/>
        </w:rPr>
        <w:t xml:space="preserve"> kontingjente, Detyrime (indirekte) që mund të lindin si pasojë e presionit politik apo presionit të grupeve të ndryshme të interesit si detyrimet e lidhura me PPP-të, ato të vetëqeverisjes vendore, ndërmarrjet publike me kapital shtetëror, risqe të tjera si vendime gjyqësore, fatkeqësi natyrore dhe sektori financiar apo risqet afatgjata.</w:t>
      </w:r>
    </w:p>
    <w:p w:rsidR="00A60CC8" w:rsidRPr="00796E6A" w:rsidRDefault="00A60CC8" w:rsidP="00A60CC8">
      <w:pPr>
        <w:pStyle w:val="Caption"/>
        <w:spacing w:after="0"/>
        <w:rPr>
          <w:rFonts w:asciiTheme="minorHAnsi" w:hAnsiTheme="minorHAnsi"/>
          <w:b w:val="0"/>
          <w:bCs w:val="0"/>
          <w:i/>
          <w:color w:val="auto"/>
          <w:sz w:val="8"/>
          <w:szCs w:val="8"/>
          <w:lang w:val="sq-AL"/>
        </w:rPr>
      </w:pPr>
    </w:p>
    <w:p w:rsidR="00A60CC8" w:rsidRPr="00A60CC8" w:rsidRDefault="00A60CC8" w:rsidP="00A60CC8">
      <w:pPr>
        <w:pStyle w:val="Caption"/>
        <w:spacing w:after="0"/>
        <w:rPr>
          <w:rFonts w:asciiTheme="minorHAnsi" w:hAnsiTheme="minorHAnsi"/>
          <w:b w:val="0"/>
          <w:bCs w:val="0"/>
          <w:i/>
          <w:color w:val="auto"/>
          <w:sz w:val="22"/>
          <w:szCs w:val="24"/>
          <w:lang w:val="sq-AL"/>
        </w:rPr>
      </w:pPr>
      <w:r w:rsidRPr="00A60CC8">
        <w:rPr>
          <w:rFonts w:asciiTheme="minorHAnsi" w:hAnsiTheme="minorHAnsi"/>
          <w:b w:val="0"/>
          <w:bCs w:val="0"/>
          <w:i/>
          <w:color w:val="auto"/>
          <w:sz w:val="22"/>
          <w:szCs w:val="24"/>
          <w:lang w:val="sq-AL"/>
        </w:rPr>
        <w:t>Tabela x: Matrica e riskut</w:t>
      </w:r>
    </w:p>
    <w:tbl>
      <w:tblPr>
        <w:tblStyle w:val="GridTable4-Accent11"/>
        <w:tblW w:w="5221" w:type="pct"/>
        <w:jc w:val="center"/>
        <w:tblLook w:val="04A0" w:firstRow="1" w:lastRow="0" w:firstColumn="1" w:lastColumn="0" w:noHBand="0" w:noVBand="1"/>
      </w:tblPr>
      <w:tblGrid>
        <w:gridCol w:w="2670"/>
        <w:gridCol w:w="7375"/>
      </w:tblGrid>
      <w:tr w:rsidR="00A60CC8" w:rsidRPr="00EC407D" w:rsidTr="007000D1">
        <w:trPr>
          <w:cnfStyle w:val="100000000000" w:firstRow="1" w:lastRow="0" w:firstColumn="0" w:lastColumn="0" w:oddVBand="0" w:evenVBand="0" w:oddHBand="0"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EC407D" w:rsidRDefault="00A60CC8" w:rsidP="007000D1">
            <w:pPr>
              <w:jc w:val="center"/>
              <w:rPr>
                <w:rFonts w:cs="Times New Roman"/>
                <w:b w:val="0"/>
                <w:bCs w:val="0"/>
                <w:kern w:val="24"/>
                <w:sz w:val="20"/>
                <w:lang w:val="sq-AL" w:eastAsia="nb-NO"/>
              </w:rPr>
            </w:pPr>
          </w:p>
          <w:p w:rsidR="00A60CC8" w:rsidRPr="00EC407D" w:rsidRDefault="00A60CC8" w:rsidP="007000D1">
            <w:pPr>
              <w:jc w:val="center"/>
              <w:rPr>
                <w:rFonts w:cs="Times New Roman"/>
                <w:sz w:val="20"/>
                <w:lang w:val="sq-AL" w:eastAsia="nb-NO"/>
              </w:rPr>
            </w:pPr>
            <w:r w:rsidRPr="00EC407D">
              <w:rPr>
                <w:rFonts w:cs="Times New Roman"/>
                <w:kern w:val="24"/>
                <w:sz w:val="20"/>
                <w:lang w:val="sq-AL" w:eastAsia="nb-NO"/>
              </w:rPr>
              <w:t>Lloji i rrezikut</w:t>
            </w:r>
          </w:p>
        </w:tc>
        <w:tc>
          <w:tcPr>
            <w:tcW w:w="3671" w:type="pct"/>
            <w:hideMark/>
          </w:tcPr>
          <w:p w:rsidR="00A60CC8" w:rsidRPr="00EC407D" w:rsidRDefault="00A60CC8" w:rsidP="007000D1">
            <w:pPr>
              <w:jc w:val="center"/>
              <w:cnfStyle w:val="100000000000" w:firstRow="1" w:lastRow="0" w:firstColumn="0" w:lastColumn="0" w:oddVBand="0" w:evenVBand="0" w:oddHBand="0" w:evenHBand="0" w:firstRowFirstColumn="0" w:firstRowLastColumn="0" w:lastRowFirstColumn="0" w:lastRowLastColumn="0"/>
              <w:rPr>
                <w:rFonts w:cs="Times New Roman"/>
                <w:b w:val="0"/>
                <w:bCs w:val="0"/>
                <w:kern w:val="24"/>
                <w:sz w:val="20"/>
                <w:lang w:val="sq-AL" w:eastAsia="nb-NO"/>
              </w:rPr>
            </w:pPr>
          </w:p>
          <w:p w:rsidR="00A60CC8" w:rsidRPr="00EC407D" w:rsidRDefault="00A60CC8" w:rsidP="007000D1">
            <w:pPr>
              <w:jc w:val="center"/>
              <w:cnfStyle w:val="100000000000" w:firstRow="1" w:lastRow="0" w:firstColumn="0" w:lastColumn="0" w:oddVBand="0" w:evenVBand="0" w:oddHBand="0" w:evenHBand="0" w:firstRowFirstColumn="0" w:firstRowLastColumn="0" w:lastRowFirstColumn="0" w:lastRowLastColumn="0"/>
              <w:rPr>
                <w:rFonts w:cs="Times New Roman"/>
                <w:sz w:val="20"/>
                <w:lang w:val="sq-AL" w:eastAsia="nb-NO"/>
              </w:rPr>
            </w:pPr>
            <w:r w:rsidRPr="00EC407D">
              <w:rPr>
                <w:rFonts w:cs="Times New Roman"/>
                <w:kern w:val="24"/>
                <w:sz w:val="20"/>
                <w:lang w:val="sq-AL" w:eastAsia="nb-NO"/>
              </w:rPr>
              <w:t>Skenarët e mundshëm</w:t>
            </w:r>
          </w:p>
        </w:tc>
      </w:tr>
      <w:tr w:rsidR="00A60CC8" w:rsidRPr="00EC407D" w:rsidTr="007000D1">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A60CC8" w:rsidRPr="00EC407D" w:rsidRDefault="00A60CC8" w:rsidP="007000D1">
            <w:pPr>
              <w:jc w:val="center"/>
              <w:rPr>
                <w:rFonts w:cs="Times New Roman"/>
                <w:b w:val="0"/>
                <w:bCs w:val="0"/>
                <w:color w:val="C00000"/>
                <w:kern w:val="24"/>
                <w:sz w:val="20"/>
                <w:lang w:val="sq-AL" w:eastAsia="nb-NO"/>
              </w:rPr>
            </w:pPr>
            <w:r w:rsidRPr="00EC407D">
              <w:rPr>
                <w:rFonts w:cs="Times New Roman"/>
                <w:color w:val="C00000"/>
                <w:kern w:val="24"/>
                <w:sz w:val="20"/>
                <w:lang w:val="sq-AL" w:eastAsia="nb-NO"/>
              </w:rPr>
              <w:t xml:space="preserve">Risqet dhe detyrimet </w:t>
            </w:r>
            <w:r w:rsidRPr="00EC407D">
              <w:rPr>
                <w:rFonts w:cs="Times New Roman"/>
                <w:color w:val="C00000"/>
                <w:kern w:val="24"/>
                <w:sz w:val="20"/>
                <w:u w:val="single"/>
                <w:lang w:val="sq-AL" w:eastAsia="nb-NO"/>
              </w:rPr>
              <w:t>eksplicite</w:t>
            </w:r>
          </w:p>
        </w:tc>
      </w:tr>
      <w:tr w:rsidR="00A60CC8" w:rsidRPr="00EC407D" w:rsidTr="007000D1">
        <w:trPr>
          <w:trHeight w:val="528"/>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000D1" w:rsidRDefault="00A60CC8" w:rsidP="007000D1">
            <w:pPr>
              <w:jc w:val="center"/>
              <w:rPr>
                <w:rFonts w:cs="Times New Roman"/>
                <w:b w:val="0"/>
                <w:bCs w:val="0"/>
                <w:color w:val="000000"/>
                <w:kern w:val="24"/>
                <w:sz w:val="8"/>
                <w:szCs w:val="8"/>
                <w:lang w:val="sq-AL" w:eastAsia="nb-NO"/>
              </w:rPr>
            </w:pPr>
          </w:p>
          <w:p w:rsidR="00A60CC8" w:rsidRPr="00EC407D" w:rsidRDefault="00A60CC8" w:rsidP="007000D1">
            <w:pPr>
              <w:jc w:val="center"/>
              <w:rPr>
                <w:rFonts w:cs="Times New Roman"/>
                <w:sz w:val="20"/>
                <w:lang w:val="sq-AL" w:eastAsia="nb-NO"/>
              </w:rPr>
            </w:pPr>
            <w:r w:rsidRPr="00EC407D">
              <w:rPr>
                <w:rFonts w:cs="Times New Roman"/>
                <w:color w:val="000000"/>
                <w:kern w:val="24"/>
                <w:sz w:val="20"/>
                <w:lang w:val="sq-AL" w:eastAsia="nb-NO"/>
              </w:rPr>
              <w:t>Goditje Makroekonomike</w:t>
            </w:r>
          </w:p>
        </w:tc>
        <w:tc>
          <w:tcPr>
            <w:tcW w:w="3671" w:type="pct"/>
            <w:hideMark/>
          </w:tcPr>
          <w:p w:rsidR="00A60CC8" w:rsidRPr="00EC407D" w:rsidRDefault="00A60CC8" w:rsidP="007000D1">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Zhvillime  makroekonomike të paparashikuara, që mund të ndryshojnë perspektivën e rritjes ekonomike dhe pozicionin fiskal</w:t>
            </w:r>
          </w:p>
        </w:tc>
      </w:tr>
      <w:tr w:rsidR="00A60CC8" w:rsidRPr="00EC407D" w:rsidTr="007000D1">
        <w:trPr>
          <w:cnfStyle w:val="000000100000" w:firstRow="0" w:lastRow="0" w:firstColumn="0" w:lastColumn="0" w:oddVBand="0" w:evenVBand="0" w:oddHBand="1" w:evenHBand="0" w:firstRowFirstColumn="0" w:firstRowLastColumn="0" w:lastRowFirstColumn="0" w:lastRowLastColumn="0"/>
          <w:trHeight w:val="61"/>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000D1" w:rsidRDefault="00A60CC8" w:rsidP="007000D1">
            <w:pPr>
              <w:jc w:val="center"/>
              <w:rPr>
                <w:rFonts w:cs="Times New Roman"/>
                <w:b w:val="0"/>
                <w:bCs w:val="0"/>
                <w:color w:val="000000"/>
                <w:kern w:val="24"/>
                <w:sz w:val="8"/>
                <w:szCs w:val="8"/>
                <w:lang w:val="sq-AL" w:eastAsia="nb-NO"/>
              </w:rPr>
            </w:pPr>
          </w:p>
          <w:p w:rsidR="00A60CC8" w:rsidRPr="00EC407D" w:rsidRDefault="00A60CC8" w:rsidP="007000D1">
            <w:pPr>
              <w:jc w:val="center"/>
              <w:rPr>
                <w:rFonts w:cs="Times New Roman"/>
                <w:sz w:val="20"/>
                <w:lang w:val="sq-AL" w:eastAsia="nb-NO"/>
              </w:rPr>
            </w:pPr>
            <w:r w:rsidRPr="00EC407D">
              <w:rPr>
                <w:rFonts w:cs="Times New Roman"/>
                <w:color w:val="000000"/>
                <w:kern w:val="24"/>
                <w:sz w:val="20"/>
                <w:lang w:val="sq-AL" w:eastAsia="nb-NO"/>
              </w:rPr>
              <w:t>Parashikimi i të ardhurave</w:t>
            </w:r>
          </w:p>
        </w:tc>
        <w:tc>
          <w:tcPr>
            <w:tcW w:w="3671" w:type="pct"/>
            <w:hideMark/>
          </w:tcPr>
          <w:p w:rsidR="00A60CC8" w:rsidRPr="007000D1" w:rsidRDefault="00A60CC8" w:rsidP="007000D1">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8"/>
                <w:lang w:val="sq-AL" w:eastAsia="nb-NO"/>
              </w:rPr>
            </w:pPr>
          </w:p>
          <w:p w:rsidR="00A60CC8" w:rsidRPr="00EC407D" w:rsidRDefault="00A60CC8" w:rsidP="007000D1">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Mosrealizimi i të ardhurave, që mund të sjellë përkeqësimin e bilancit fiskal</w:t>
            </w:r>
          </w:p>
        </w:tc>
      </w:tr>
      <w:tr w:rsidR="00A60CC8" w:rsidRPr="00EC407D" w:rsidTr="007000D1">
        <w:trPr>
          <w:trHeight w:val="61"/>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000D1" w:rsidRDefault="00A60CC8" w:rsidP="007000D1">
            <w:pPr>
              <w:jc w:val="center"/>
              <w:rPr>
                <w:rFonts w:cs="Times New Roman"/>
                <w:b w:val="0"/>
                <w:bCs w:val="0"/>
                <w:color w:val="000000"/>
                <w:kern w:val="24"/>
                <w:sz w:val="8"/>
                <w:szCs w:val="8"/>
                <w:lang w:val="sq-AL" w:eastAsia="nb-NO"/>
              </w:rPr>
            </w:pPr>
          </w:p>
          <w:p w:rsidR="00A60CC8" w:rsidRPr="00EC407D" w:rsidRDefault="00A60CC8" w:rsidP="007000D1">
            <w:pPr>
              <w:jc w:val="center"/>
              <w:rPr>
                <w:rFonts w:cs="Times New Roman"/>
                <w:sz w:val="20"/>
                <w:lang w:val="sq-AL" w:eastAsia="nb-NO"/>
              </w:rPr>
            </w:pPr>
            <w:r w:rsidRPr="00EC407D">
              <w:rPr>
                <w:rFonts w:cs="Times New Roman"/>
                <w:color w:val="000000"/>
                <w:kern w:val="24"/>
                <w:sz w:val="20"/>
                <w:lang w:val="sq-AL" w:eastAsia="nb-NO"/>
              </w:rPr>
              <w:t>Shpenzime të paplanifikuara</w:t>
            </w:r>
          </w:p>
        </w:tc>
        <w:tc>
          <w:tcPr>
            <w:tcW w:w="3671" w:type="pct"/>
            <w:hideMark/>
          </w:tcPr>
          <w:p w:rsidR="00A60CC8" w:rsidRPr="007000D1" w:rsidRDefault="00A60CC8" w:rsidP="007000D1">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8"/>
                <w:szCs w:val="8"/>
                <w:lang w:val="sq-AL" w:eastAsia="nb-NO"/>
              </w:rPr>
            </w:pPr>
          </w:p>
          <w:p w:rsidR="00A60CC8" w:rsidRPr="00EC407D" w:rsidRDefault="00A60CC8" w:rsidP="007000D1">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Detyrime ligjore ose presione politike, që mund të sjellin rishpërndarje të shpenzimeve</w:t>
            </w:r>
          </w:p>
        </w:tc>
      </w:tr>
      <w:tr w:rsidR="00A60CC8" w:rsidRPr="00EC407D" w:rsidTr="007000D1">
        <w:trPr>
          <w:cnfStyle w:val="000000100000" w:firstRow="0" w:lastRow="0" w:firstColumn="0" w:lastColumn="0" w:oddVBand="0" w:evenVBand="0" w:oddHBand="1" w:evenHBand="0" w:firstRowFirstColumn="0" w:firstRowLastColumn="0" w:lastRowFirstColumn="0" w:lastRowLastColumn="0"/>
          <w:trHeight w:val="61"/>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000D1" w:rsidRDefault="00A60CC8" w:rsidP="007000D1">
            <w:pPr>
              <w:jc w:val="center"/>
              <w:rPr>
                <w:rFonts w:cs="Times New Roman"/>
                <w:b w:val="0"/>
                <w:bCs w:val="0"/>
                <w:color w:val="000000"/>
                <w:kern w:val="24"/>
                <w:sz w:val="8"/>
                <w:lang w:val="sq-AL" w:eastAsia="nb-NO"/>
              </w:rPr>
            </w:pPr>
          </w:p>
          <w:p w:rsidR="00A60CC8" w:rsidRPr="00EC407D" w:rsidRDefault="00A60CC8" w:rsidP="007000D1">
            <w:pPr>
              <w:jc w:val="center"/>
              <w:rPr>
                <w:rFonts w:cs="Times New Roman"/>
                <w:sz w:val="20"/>
                <w:lang w:val="sq-AL" w:eastAsia="nb-NO"/>
              </w:rPr>
            </w:pPr>
            <w:r w:rsidRPr="00EC407D">
              <w:rPr>
                <w:rFonts w:cs="Times New Roman"/>
                <w:color w:val="000000"/>
                <w:kern w:val="24"/>
                <w:sz w:val="20"/>
                <w:lang w:val="sq-AL" w:eastAsia="nb-NO"/>
              </w:rPr>
              <w:t>Borxhi publik</w:t>
            </w:r>
          </w:p>
        </w:tc>
        <w:tc>
          <w:tcPr>
            <w:tcW w:w="3671" w:type="pct"/>
            <w:hideMark/>
          </w:tcPr>
          <w:p w:rsidR="00A60CC8" w:rsidRPr="00EC407D" w:rsidRDefault="00A60CC8" w:rsidP="007000D1">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Zhvillime të papritura të tregut, ndryshime në normën e interesit ose në kursin e këmbimit, që mund të rrisin nivelin e borxhit publik</w:t>
            </w:r>
          </w:p>
        </w:tc>
      </w:tr>
      <w:tr w:rsidR="00A60CC8" w:rsidRPr="00EC407D" w:rsidTr="007000D1">
        <w:trPr>
          <w:trHeight w:val="440"/>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rsidR="00A60CC8" w:rsidRPr="007000D1" w:rsidRDefault="00A60CC8" w:rsidP="007000D1">
            <w:pPr>
              <w:jc w:val="center"/>
              <w:rPr>
                <w:rFonts w:cs="Times New Roman"/>
                <w:b w:val="0"/>
                <w:color w:val="C00000"/>
                <w:kern w:val="24"/>
                <w:sz w:val="8"/>
                <w:lang w:val="sq-AL" w:eastAsia="nb-NO"/>
              </w:rPr>
            </w:pPr>
          </w:p>
          <w:p w:rsidR="00A60CC8" w:rsidRPr="007000D1" w:rsidRDefault="00A60CC8" w:rsidP="007000D1">
            <w:pPr>
              <w:jc w:val="center"/>
              <w:rPr>
                <w:rFonts w:cs="Times New Roman"/>
                <w:b w:val="0"/>
                <w:color w:val="C00000"/>
                <w:kern w:val="24"/>
                <w:sz w:val="8"/>
                <w:lang w:val="sq-AL" w:eastAsia="nb-NO"/>
              </w:rPr>
            </w:pPr>
            <w:r w:rsidRPr="00EC407D">
              <w:rPr>
                <w:rFonts w:cs="Times New Roman"/>
                <w:color w:val="C00000"/>
                <w:kern w:val="24"/>
                <w:sz w:val="20"/>
                <w:lang w:val="sq-AL" w:eastAsia="nb-NO"/>
              </w:rPr>
              <w:t xml:space="preserve">Risqet </w:t>
            </w:r>
            <w:r w:rsidRPr="00EC407D">
              <w:rPr>
                <w:rFonts w:cs="Times New Roman"/>
                <w:color w:val="C00000"/>
                <w:kern w:val="24"/>
                <w:sz w:val="20"/>
                <w:u w:val="single"/>
                <w:lang w:val="sq-AL" w:eastAsia="nb-NO"/>
              </w:rPr>
              <w:t>implicite</w:t>
            </w:r>
            <w:r w:rsidRPr="00EC407D">
              <w:rPr>
                <w:rFonts w:cs="Times New Roman"/>
                <w:color w:val="C00000"/>
                <w:kern w:val="24"/>
                <w:sz w:val="20"/>
                <w:lang w:val="sq-AL" w:eastAsia="nb-NO"/>
              </w:rPr>
              <w:t xml:space="preserve"> dhe detyrimet </w:t>
            </w:r>
            <w:r w:rsidRPr="00EC407D">
              <w:rPr>
                <w:rFonts w:cs="Times New Roman"/>
                <w:color w:val="C00000"/>
                <w:kern w:val="24"/>
                <w:sz w:val="20"/>
                <w:u w:val="single"/>
                <w:lang w:val="sq-AL" w:eastAsia="nb-NO"/>
              </w:rPr>
              <w:t>kontigjente</w:t>
            </w:r>
          </w:p>
        </w:tc>
      </w:tr>
      <w:tr w:rsidR="00A60CC8" w:rsidRPr="00EC407D" w:rsidTr="007000D1">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36B74" w:rsidRDefault="00A60CC8" w:rsidP="007000D1">
            <w:pPr>
              <w:jc w:val="center"/>
              <w:rPr>
                <w:rFonts w:cs="Times New Roman"/>
                <w:b w:val="0"/>
                <w:bCs w:val="0"/>
                <w:color w:val="000000"/>
                <w:kern w:val="24"/>
                <w:sz w:val="12"/>
                <w:szCs w:val="8"/>
                <w:lang w:val="sq-AL" w:eastAsia="nb-NO"/>
              </w:rPr>
            </w:pPr>
          </w:p>
          <w:p w:rsidR="00A60CC8" w:rsidRPr="00EC407D" w:rsidRDefault="00A60CC8" w:rsidP="007000D1">
            <w:pPr>
              <w:jc w:val="center"/>
              <w:rPr>
                <w:rFonts w:cs="Times New Roman"/>
                <w:sz w:val="20"/>
                <w:lang w:val="sq-AL" w:eastAsia="nb-NO"/>
              </w:rPr>
            </w:pPr>
            <w:r w:rsidRPr="00EC407D">
              <w:rPr>
                <w:rFonts w:cs="Times New Roman"/>
                <w:color w:val="000000"/>
                <w:kern w:val="24"/>
                <w:sz w:val="20"/>
                <w:lang w:val="sq-AL" w:eastAsia="nb-NO"/>
              </w:rPr>
              <w:t>Pagesat për PPP</w:t>
            </w:r>
          </w:p>
        </w:tc>
        <w:tc>
          <w:tcPr>
            <w:tcW w:w="3671" w:type="pct"/>
            <w:hideMark/>
          </w:tcPr>
          <w:p w:rsidR="00A60CC8" w:rsidRPr="007000D1" w:rsidRDefault="00A60CC8" w:rsidP="007000D1">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8"/>
                <w:lang w:val="sq-AL" w:eastAsia="nb-NO"/>
              </w:rPr>
            </w:pPr>
          </w:p>
          <w:p w:rsidR="00A60CC8" w:rsidRPr="00EC407D" w:rsidRDefault="00A60CC8" w:rsidP="007000D1">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Pagesat vjetore për PPP-të, mund të tejkalojnë nivelin e lejuar ligjor prej 5% të të ardhurave tatimore faktike të vitit paraardhës</w:t>
            </w:r>
          </w:p>
        </w:tc>
      </w:tr>
      <w:tr w:rsidR="00A60CC8" w:rsidRPr="00EC407D" w:rsidTr="007000D1">
        <w:trPr>
          <w:trHeight w:val="39"/>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EC407D" w:rsidRDefault="00A60CC8" w:rsidP="007000D1">
            <w:pPr>
              <w:jc w:val="center"/>
              <w:rPr>
                <w:rFonts w:cs="Times New Roman"/>
                <w:sz w:val="20"/>
                <w:lang w:val="sq-AL" w:eastAsia="nb-NO"/>
              </w:rPr>
            </w:pPr>
            <w:r w:rsidRPr="00EC407D">
              <w:rPr>
                <w:rFonts w:cs="Times New Roman"/>
                <w:color w:val="000000"/>
                <w:kern w:val="24"/>
                <w:sz w:val="20"/>
                <w:lang w:val="sq-AL" w:eastAsia="nb-NO"/>
              </w:rPr>
              <w:t>Vështirësia financiare e Ndërmarrjeve Shtetërore (NSH)</w:t>
            </w:r>
          </w:p>
        </w:tc>
        <w:tc>
          <w:tcPr>
            <w:tcW w:w="3671" w:type="pct"/>
            <w:hideMark/>
          </w:tcPr>
          <w:p w:rsidR="00A60CC8" w:rsidRPr="00EC407D" w:rsidRDefault="00A60CC8" w:rsidP="007000D1">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p>
          <w:p w:rsidR="00A60CC8" w:rsidRPr="00EC407D" w:rsidRDefault="00A60CC8" w:rsidP="007000D1">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Qeverisë mund t’i duhet të ndërhyjë për të mbështur financiarisht NSH-të</w:t>
            </w:r>
          </w:p>
        </w:tc>
      </w:tr>
      <w:tr w:rsidR="00A60CC8" w:rsidRPr="00EC407D" w:rsidTr="007000D1">
        <w:trPr>
          <w:cnfStyle w:val="000000100000" w:firstRow="0" w:lastRow="0" w:firstColumn="0" w:lastColumn="0" w:oddVBand="0" w:evenVBand="0" w:oddHBand="1" w:evenHBand="0" w:firstRowFirstColumn="0" w:firstRowLastColumn="0" w:lastRowFirstColumn="0" w:lastRowLastColumn="0"/>
          <w:trHeight w:val="61"/>
          <w:jc w:val="center"/>
        </w:trPr>
        <w:tc>
          <w:tcPr>
            <w:cnfStyle w:val="001000000000" w:firstRow="0" w:lastRow="0" w:firstColumn="1" w:lastColumn="0" w:oddVBand="0" w:evenVBand="0" w:oddHBand="0" w:evenHBand="0" w:firstRowFirstColumn="0" w:firstRowLastColumn="0" w:lastRowFirstColumn="0" w:lastRowLastColumn="0"/>
            <w:tcW w:w="1329" w:type="pct"/>
            <w:hideMark/>
          </w:tcPr>
          <w:p w:rsidR="00A60CC8" w:rsidRPr="007000D1" w:rsidRDefault="00A60CC8" w:rsidP="007000D1">
            <w:pPr>
              <w:jc w:val="center"/>
              <w:rPr>
                <w:rFonts w:cs="Times New Roman"/>
                <w:b w:val="0"/>
                <w:bCs w:val="0"/>
                <w:color w:val="000000"/>
                <w:kern w:val="24"/>
                <w:sz w:val="8"/>
                <w:lang w:val="sq-AL" w:eastAsia="nb-NO"/>
              </w:rPr>
            </w:pPr>
          </w:p>
          <w:p w:rsidR="00A60CC8" w:rsidRPr="00EC407D" w:rsidRDefault="00A60CC8" w:rsidP="007000D1">
            <w:pPr>
              <w:jc w:val="center"/>
              <w:rPr>
                <w:rFonts w:cs="Times New Roman"/>
                <w:sz w:val="20"/>
                <w:lang w:val="sq-AL" w:eastAsia="nb-NO"/>
              </w:rPr>
            </w:pPr>
            <w:r w:rsidRPr="00EC407D">
              <w:rPr>
                <w:rFonts w:cs="Times New Roman"/>
                <w:color w:val="000000"/>
                <w:kern w:val="24"/>
                <w:sz w:val="20"/>
                <w:lang w:val="sq-AL" w:eastAsia="nb-NO"/>
              </w:rPr>
              <w:t>Risqe të tjera</w:t>
            </w:r>
          </w:p>
        </w:tc>
        <w:tc>
          <w:tcPr>
            <w:tcW w:w="3671" w:type="pct"/>
            <w:hideMark/>
          </w:tcPr>
          <w:p w:rsidR="00A60CC8" w:rsidRPr="00EC407D" w:rsidRDefault="00A60CC8" w:rsidP="007000D1">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Vendime gjyqësore, arbitrazhe ndërkombëtare, fatkeqësi natyrore, etj, që mund të sjellin kosto buxhetore shtesë në buxhetin e shtetit</w:t>
            </w:r>
          </w:p>
        </w:tc>
      </w:tr>
    </w:tbl>
    <w:p w:rsidR="00A60CC8" w:rsidRPr="0064168E" w:rsidRDefault="00A60CC8" w:rsidP="00A60CC8">
      <w:pPr>
        <w:spacing w:line="276" w:lineRule="auto"/>
        <w:rPr>
          <w:rFonts w:asciiTheme="minorHAnsi" w:eastAsia="SimSun" w:hAnsiTheme="minorHAnsi"/>
          <w:i/>
          <w:sz w:val="20"/>
          <w:szCs w:val="20"/>
          <w:lang w:val="sq-AL"/>
        </w:rPr>
      </w:pPr>
      <w:r w:rsidRPr="0064168E">
        <w:rPr>
          <w:rFonts w:asciiTheme="minorHAnsi" w:eastAsia="SimSun" w:hAnsiTheme="minorHAnsi"/>
          <w:i/>
          <w:sz w:val="20"/>
          <w:szCs w:val="20"/>
          <w:lang w:val="sq-AL"/>
        </w:rPr>
        <w:t>Burimi: Ministria e Financave dhe Ekonomisë (202</w:t>
      </w:r>
      <w:r>
        <w:rPr>
          <w:rFonts w:asciiTheme="minorHAnsi" w:eastAsia="SimSun" w:hAnsiTheme="minorHAnsi"/>
          <w:i/>
          <w:sz w:val="20"/>
          <w:szCs w:val="20"/>
          <w:lang w:val="sq-AL"/>
        </w:rPr>
        <w:t>1</w:t>
      </w:r>
      <w:r w:rsidRPr="0064168E">
        <w:rPr>
          <w:rFonts w:asciiTheme="minorHAnsi" w:eastAsia="SimSun" w:hAnsiTheme="minorHAnsi"/>
          <w:i/>
          <w:sz w:val="20"/>
          <w:szCs w:val="20"/>
          <w:lang w:val="sq-AL"/>
        </w:rPr>
        <w:t>)</w:t>
      </w:r>
    </w:p>
    <w:p w:rsidR="00A60CC8" w:rsidRPr="00796E6A" w:rsidRDefault="00A60CC8" w:rsidP="00A60CC8">
      <w:pPr>
        <w:spacing w:after="200" w:line="276" w:lineRule="auto"/>
        <w:contextualSpacing/>
        <w:jc w:val="both"/>
        <w:rPr>
          <w:rFonts w:asciiTheme="minorHAnsi" w:eastAsia="MS Mincho" w:hAnsiTheme="minorHAnsi"/>
          <w:sz w:val="16"/>
          <w:lang w:val="sq-AL"/>
        </w:rPr>
      </w:pPr>
    </w:p>
    <w:p w:rsidR="00A60CC8" w:rsidRPr="007000D1" w:rsidRDefault="00A60CC8" w:rsidP="00A60CC8">
      <w:pPr>
        <w:spacing w:after="200" w:line="276" w:lineRule="auto"/>
        <w:contextualSpacing/>
        <w:jc w:val="both"/>
        <w:rPr>
          <w:rFonts w:asciiTheme="minorHAnsi" w:eastAsia="MS Mincho" w:hAnsiTheme="minorHAnsi"/>
          <w:lang w:val="sq-AL"/>
        </w:rPr>
      </w:pPr>
      <w:r w:rsidRPr="004E355C">
        <w:rPr>
          <w:rFonts w:asciiTheme="minorHAnsi" w:eastAsia="MS Mincho" w:hAnsiTheme="minorHAnsi"/>
          <w:lang w:val="sq-AL"/>
        </w:rPr>
        <w:t>Në zbatim të përcaktimeve të U</w:t>
      </w:r>
      <w:r w:rsidRPr="004E355C">
        <w:rPr>
          <w:rFonts w:asciiTheme="minorHAnsi" w:eastAsia="Calibri" w:hAnsiTheme="minorHAnsi"/>
          <w:lang w:val="sq-AL"/>
        </w:rPr>
        <w:t xml:space="preserve">dhëzimit Plotësues të Ministrit të Financave dhe Ekonomisë </w:t>
      </w:r>
      <w:r w:rsidRPr="004E355C">
        <w:rPr>
          <w:rFonts w:asciiTheme="minorHAnsi" w:eastAsia="MS Mincho" w:hAnsiTheme="minorHAnsi"/>
          <w:bCs/>
          <w:lang w:val="sq-AL" w:eastAsia="sq-AL"/>
        </w:rPr>
        <w:t>nr.</w:t>
      </w:r>
      <w:r>
        <w:rPr>
          <w:rFonts w:asciiTheme="minorHAnsi" w:eastAsia="MS Mincho" w:hAnsiTheme="minorHAnsi"/>
          <w:bCs/>
          <w:lang w:val="sq-AL" w:eastAsia="sq-AL"/>
        </w:rPr>
        <w:t>4</w:t>
      </w:r>
      <w:r w:rsidRPr="004E355C">
        <w:rPr>
          <w:rFonts w:asciiTheme="minorHAnsi" w:eastAsia="MS Mincho" w:hAnsiTheme="minorHAnsi"/>
          <w:bCs/>
          <w:lang w:val="sq-AL" w:eastAsia="sq-AL"/>
        </w:rPr>
        <w:t xml:space="preserve"> datë </w:t>
      </w:r>
      <w:r>
        <w:rPr>
          <w:rFonts w:asciiTheme="minorHAnsi" w:eastAsia="MS Mincho" w:hAnsiTheme="minorHAnsi"/>
          <w:bCs/>
          <w:lang w:val="sq-AL" w:eastAsia="sq-AL"/>
        </w:rPr>
        <w:t>25</w:t>
      </w:r>
      <w:r w:rsidRPr="004E355C">
        <w:rPr>
          <w:rFonts w:asciiTheme="minorHAnsi" w:eastAsia="MS Mincho" w:hAnsiTheme="minorHAnsi"/>
          <w:bCs/>
          <w:lang w:val="sq-AL" w:eastAsia="sq-AL"/>
        </w:rPr>
        <w:t>.01.20</w:t>
      </w:r>
      <w:r>
        <w:rPr>
          <w:rFonts w:asciiTheme="minorHAnsi" w:eastAsia="MS Mincho" w:hAnsiTheme="minorHAnsi"/>
          <w:bCs/>
          <w:lang w:val="sq-AL" w:eastAsia="sq-AL"/>
        </w:rPr>
        <w:t>21</w:t>
      </w:r>
      <w:r w:rsidRPr="004E355C">
        <w:rPr>
          <w:rFonts w:asciiTheme="minorHAnsi" w:eastAsia="MS Mincho" w:hAnsiTheme="minorHAnsi"/>
          <w:bCs/>
          <w:lang w:val="sq-AL" w:eastAsia="sq-AL"/>
        </w:rPr>
        <w:t xml:space="preserve"> “</w:t>
      </w:r>
      <w:r w:rsidRPr="004E355C">
        <w:rPr>
          <w:rFonts w:asciiTheme="minorHAnsi" w:eastAsia="MS Mincho" w:hAnsiTheme="minorHAnsi"/>
          <w:bCs/>
          <w:i/>
          <w:lang w:val="sq-AL" w:eastAsia="sq-AL"/>
        </w:rPr>
        <w:t>Për zbatimin e Buxhetit të vitit 20</w:t>
      </w:r>
      <w:r>
        <w:rPr>
          <w:rFonts w:asciiTheme="minorHAnsi" w:eastAsia="MS Mincho" w:hAnsiTheme="minorHAnsi"/>
          <w:bCs/>
          <w:i/>
          <w:lang w:val="sq-AL" w:eastAsia="sq-AL"/>
        </w:rPr>
        <w:t>21</w:t>
      </w:r>
      <w:r w:rsidRPr="004E355C">
        <w:rPr>
          <w:rFonts w:asciiTheme="minorHAnsi" w:eastAsia="MS Mincho" w:hAnsiTheme="minorHAnsi"/>
          <w:bCs/>
          <w:lang w:val="sq-AL" w:eastAsia="sq-AL"/>
        </w:rPr>
        <w:t xml:space="preserve">”, </w:t>
      </w:r>
      <w:r w:rsidRPr="00F63FCA">
        <w:rPr>
          <w:rFonts w:asciiTheme="minorHAnsi" w:eastAsia="MS Mincho" w:hAnsiTheme="minorHAnsi"/>
          <w:bCs/>
          <w:lang w:val="sq-AL" w:eastAsia="sq-AL"/>
        </w:rPr>
        <w:t xml:space="preserve">dhe Udhëzimit nr.37 datë 06.10.2020 </w:t>
      </w:r>
      <w:r>
        <w:rPr>
          <w:rFonts w:asciiTheme="minorHAnsi" w:eastAsia="MS Mincho" w:hAnsiTheme="minorHAnsi"/>
          <w:bCs/>
          <w:lang w:val="sq-AL" w:eastAsia="sq-AL"/>
        </w:rPr>
        <w:t>“</w:t>
      </w:r>
      <w:r w:rsidRPr="00F63FCA">
        <w:rPr>
          <w:rFonts w:asciiTheme="minorHAnsi" w:eastAsia="MS Mincho" w:hAnsiTheme="minorHAnsi"/>
          <w:bCs/>
          <w:i/>
          <w:lang w:val="sq-AL" w:eastAsia="sq-AL"/>
        </w:rPr>
        <w:t>Për monitorimin dhe publikimin periodik të stokut të detyrimeve të prapambetura të qeverisjes së përgjithshme</w:t>
      </w:r>
      <w:r w:rsidRPr="00F63FCA">
        <w:rPr>
          <w:rFonts w:asciiTheme="minorHAnsi" w:eastAsia="MS Mincho" w:hAnsiTheme="minorHAnsi"/>
          <w:bCs/>
          <w:lang w:val="sq-AL" w:eastAsia="sq-AL"/>
        </w:rPr>
        <w:t xml:space="preserve">”, </w:t>
      </w:r>
      <w:r>
        <w:rPr>
          <w:rFonts w:asciiTheme="minorHAnsi" w:eastAsia="MS Mincho" w:hAnsiTheme="minorHAnsi"/>
          <w:bCs/>
          <w:lang w:val="sq-AL" w:eastAsia="sq-AL"/>
        </w:rPr>
        <w:t xml:space="preserve">ka vijuar </w:t>
      </w:r>
      <w:r w:rsidRPr="004E355C">
        <w:rPr>
          <w:rFonts w:asciiTheme="minorHAnsi" w:eastAsia="MS Mincho" w:hAnsiTheme="minorHAnsi"/>
          <w:lang w:val="sq-AL"/>
        </w:rPr>
        <w:t>m</w:t>
      </w:r>
      <w:r w:rsidRPr="004E355C">
        <w:rPr>
          <w:rFonts w:asciiTheme="minorHAnsi" w:eastAsia="Calibri" w:hAnsiTheme="minorHAnsi"/>
          <w:lang w:val="sq-AL"/>
        </w:rPr>
        <w:t>onitorimi i risqeve kryesore fiskale/buxhetore</w:t>
      </w:r>
      <w:r w:rsidRPr="004E355C">
        <w:rPr>
          <w:rFonts w:asciiTheme="minorHAnsi" w:eastAsia="MS Mincho" w:hAnsiTheme="minorHAnsi"/>
          <w:lang w:val="sq-AL"/>
        </w:rPr>
        <w:t xml:space="preserve"> </w:t>
      </w:r>
      <w:r w:rsidRPr="00C31398">
        <w:rPr>
          <w:rFonts w:asciiTheme="minorHAnsi" w:eastAsia="MS Mincho" w:hAnsiTheme="minorHAnsi"/>
          <w:lang w:val="sq-AL"/>
        </w:rPr>
        <w:t>nëpërmjet strukturës së Monitorimit të Risqeve Buxhetore</w:t>
      </w:r>
      <w:r>
        <w:rPr>
          <w:rFonts w:asciiTheme="minorHAnsi" w:eastAsia="MS Mincho" w:hAnsiTheme="minorHAnsi"/>
          <w:lang w:val="sq-AL"/>
        </w:rPr>
        <w:t xml:space="preserve">. </w:t>
      </w:r>
      <w:r w:rsidRPr="00C31398">
        <w:rPr>
          <w:rFonts w:asciiTheme="minorHAnsi" w:eastAsia="MS Mincho" w:hAnsiTheme="minorHAnsi"/>
          <w:lang w:val="sq-AL"/>
        </w:rPr>
        <w:t>Kryesisht, raportimi në adresë të MFE u kanalizua përme</w:t>
      </w:r>
      <w:r>
        <w:rPr>
          <w:rFonts w:asciiTheme="minorHAnsi" w:eastAsia="MS Mincho" w:hAnsiTheme="minorHAnsi"/>
          <w:lang w:val="sq-AL"/>
        </w:rPr>
        <w:t xml:space="preserve">s skeduleve kohore strikte dhe </w:t>
      </w:r>
      <w:r w:rsidRPr="00C31398">
        <w:rPr>
          <w:rFonts w:asciiTheme="minorHAnsi" w:eastAsia="MS Mincho" w:hAnsiTheme="minorHAnsi"/>
          <w:lang w:val="sq-AL"/>
        </w:rPr>
        <w:t>formateve standarde të miratuara, një proces tashmë i institucionalizuar për monitorimin e risqeve, krahas intensifikimit të punës në drejtim të rritjes së cilësisë së përpunimit, raportimit dhe publikimit të informacionit të grumbulluar, me synim final:</w:t>
      </w:r>
      <w:r w:rsidRPr="00C31398">
        <w:rPr>
          <w:rFonts w:asciiTheme="minorHAnsi" w:eastAsia="MS Mincho" w:hAnsiTheme="minorHAnsi"/>
          <w:bCs/>
          <w:i/>
          <w:lang w:val="sq-AL"/>
        </w:rPr>
        <w:t xml:space="preserve">  </w:t>
      </w:r>
    </w:p>
    <w:p w:rsidR="00A60CC8" w:rsidRPr="004E355C" w:rsidRDefault="00A60CC8" w:rsidP="00736B74">
      <w:pPr>
        <w:numPr>
          <w:ilvl w:val="0"/>
          <w:numId w:val="4"/>
        </w:numPr>
        <w:ind w:left="450" w:hanging="270"/>
        <w:jc w:val="both"/>
        <w:rPr>
          <w:rFonts w:asciiTheme="minorHAnsi" w:eastAsia="MS Mincho" w:hAnsiTheme="minorHAnsi"/>
          <w:i/>
          <w:lang w:val="sq-AL"/>
        </w:rPr>
      </w:pPr>
      <w:r w:rsidRPr="004E355C">
        <w:rPr>
          <w:rFonts w:asciiTheme="minorHAnsi" w:eastAsia="MS Mincho" w:hAnsiTheme="minorHAnsi"/>
          <w:i/>
          <w:lang w:val="sq-AL"/>
        </w:rPr>
        <w:t xml:space="preserve">Monitorimin dhe raportimin periodik </w:t>
      </w:r>
      <w:r w:rsidRPr="00C31398">
        <w:rPr>
          <w:rFonts w:asciiTheme="minorHAnsi" w:eastAsia="MS Mincho" w:hAnsiTheme="minorHAnsi"/>
          <w:i/>
          <w:u w:val="single"/>
          <w:lang w:val="sq-AL"/>
        </w:rPr>
        <w:t>mbi bazë tremujore</w:t>
      </w:r>
      <w:r w:rsidRPr="004E355C">
        <w:rPr>
          <w:rFonts w:asciiTheme="minorHAnsi" w:eastAsia="MS Mincho" w:hAnsiTheme="minorHAnsi"/>
          <w:i/>
          <w:lang w:val="sq-AL"/>
        </w:rPr>
        <w:t xml:space="preserve">, të performancës financiare të ndërmarrjeve </w:t>
      </w:r>
      <w:r>
        <w:rPr>
          <w:rFonts w:asciiTheme="minorHAnsi" w:eastAsia="MS Mincho" w:hAnsiTheme="minorHAnsi"/>
          <w:i/>
          <w:lang w:val="sq-AL"/>
        </w:rPr>
        <w:t xml:space="preserve">kryesore </w:t>
      </w:r>
      <w:r w:rsidRPr="004E355C">
        <w:rPr>
          <w:rFonts w:asciiTheme="minorHAnsi" w:eastAsia="MS Mincho" w:hAnsiTheme="minorHAnsi"/>
          <w:i/>
          <w:lang w:val="sq-AL"/>
        </w:rPr>
        <w:t xml:space="preserve">shtetërore; </w:t>
      </w:r>
    </w:p>
    <w:p w:rsidR="00A60CC8" w:rsidRPr="004E355C" w:rsidRDefault="00A60CC8" w:rsidP="00736B74">
      <w:pPr>
        <w:numPr>
          <w:ilvl w:val="0"/>
          <w:numId w:val="4"/>
        </w:numPr>
        <w:ind w:left="450" w:hanging="270"/>
        <w:jc w:val="both"/>
        <w:rPr>
          <w:rFonts w:asciiTheme="minorHAnsi" w:eastAsia="MS Mincho" w:hAnsiTheme="minorHAnsi"/>
          <w:i/>
          <w:lang w:val="sq-AL"/>
        </w:rPr>
      </w:pPr>
      <w:r w:rsidRPr="004E355C">
        <w:rPr>
          <w:rFonts w:asciiTheme="minorHAnsi" w:eastAsia="MS Mincho" w:hAnsiTheme="minorHAnsi"/>
          <w:i/>
          <w:lang w:val="sq-AL"/>
        </w:rPr>
        <w:t xml:space="preserve">Monitorimin dhe raportimin periodik </w:t>
      </w:r>
      <w:r w:rsidRPr="004E355C">
        <w:rPr>
          <w:rFonts w:asciiTheme="minorHAnsi" w:eastAsia="MS Mincho" w:hAnsiTheme="minorHAnsi"/>
          <w:i/>
          <w:u w:val="single"/>
          <w:lang w:val="sq-AL"/>
        </w:rPr>
        <w:t>mbi bazë tremujore</w:t>
      </w:r>
      <w:r w:rsidRPr="004E355C">
        <w:rPr>
          <w:rFonts w:asciiTheme="minorHAnsi" w:eastAsia="MS Mincho" w:hAnsiTheme="minorHAnsi"/>
          <w:i/>
          <w:lang w:val="sq-AL"/>
        </w:rPr>
        <w:t>, të stokut të akumuluar të detyrimeve të prapambetura të qeverisjes</w:t>
      </w:r>
      <w:r>
        <w:rPr>
          <w:rFonts w:asciiTheme="minorHAnsi" w:eastAsia="MS Mincho" w:hAnsiTheme="minorHAnsi"/>
          <w:i/>
          <w:lang w:val="sq-AL"/>
        </w:rPr>
        <w:t xml:space="preserve"> së përgjithshme</w:t>
      </w:r>
      <w:r w:rsidRPr="004E355C">
        <w:rPr>
          <w:rFonts w:asciiTheme="minorHAnsi" w:eastAsia="MS Mincho" w:hAnsiTheme="minorHAnsi"/>
          <w:i/>
          <w:lang w:val="sq-AL"/>
        </w:rPr>
        <w:t>;</w:t>
      </w:r>
    </w:p>
    <w:p w:rsidR="00A60CC8" w:rsidRPr="004E355C" w:rsidRDefault="00A60CC8" w:rsidP="00736B74">
      <w:pPr>
        <w:numPr>
          <w:ilvl w:val="0"/>
          <w:numId w:val="4"/>
        </w:numPr>
        <w:ind w:left="450" w:hanging="270"/>
        <w:jc w:val="both"/>
        <w:rPr>
          <w:rFonts w:asciiTheme="minorHAnsi" w:eastAsia="MS Mincho" w:hAnsiTheme="minorHAnsi"/>
          <w:i/>
          <w:lang w:val="sq-AL"/>
        </w:rPr>
      </w:pPr>
      <w:r w:rsidRPr="004E355C">
        <w:rPr>
          <w:rFonts w:asciiTheme="minorHAnsi" w:eastAsia="MS Mincho" w:hAnsiTheme="minorHAnsi"/>
          <w:i/>
          <w:lang w:val="sq-AL"/>
        </w:rPr>
        <w:t xml:space="preserve">Monitorimin dhe raportimin periodik </w:t>
      </w:r>
      <w:r w:rsidRPr="00C31398">
        <w:rPr>
          <w:rFonts w:asciiTheme="minorHAnsi" w:eastAsia="MS Mincho" w:hAnsiTheme="minorHAnsi"/>
          <w:i/>
          <w:u w:val="single"/>
          <w:lang w:val="sq-AL"/>
        </w:rPr>
        <w:t>mbi bazë mujore</w:t>
      </w:r>
      <w:r w:rsidRPr="004E355C">
        <w:rPr>
          <w:rFonts w:asciiTheme="minorHAnsi" w:eastAsia="MS Mincho" w:hAnsiTheme="minorHAnsi"/>
          <w:i/>
          <w:lang w:val="sq-AL"/>
        </w:rPr>
        <w:t>, të performancës së kontratave konçesionare/PPP, me mbështetje buxhetore.</w:t>
      </w:r>
    </w:p>
    <w:p w:rsidR="0068128A" w:rsidRPr="0068128A" w:rsidRDefault="0068128A" w:rsidP="00A60CC8">
      <w:pPr>
        <w:spacing w:before="120" w:after="120" w:line="276" w:lineRule="auto"/>
        <w:ind w:right="49"/>
        <w:contextualSpacing/>
        <w:jc w:val="both"/>
        <w:rPr>
          <w:rFonts w:asciiTheme="minorHAnsi" w:eastAsia="MS Mincho" w:hAnsiTheme="minorHAnsi"/>
          <w:bCs/>
          <w:sz w:val="8"/>
          <w:szCs w:val="8"/>
          <w:lang w:val="sq-AL" w:eastAsia="sq-AL"/>
        </w:rPr>
      </w:pPr>
    </w:p>
    <w:p w:rsidR="00A60CC8" w:rsidRPr="004E355C" w:rsidRDefault="00A60CC8" w:rsidP="00A60CC8">
      <w:pPr>
        <w:spacing w:before="120" w:after="120" w:line="276" w:lineRule="auto"/>
        <w:ind w:right="49"/>
        <w:contextualSpacing/>
        <w:jc w:val="both"/>
        <w:rPr>
          <w:rFonts w:asciiTheme="minorHAnsi" w:eastAsia="MS Mincho" w:hAnsiTheme="minorHAnsi"/>
          <w:bCs/>
          <w:lang w:val="sq-AL" w:eastAsia="sq-AL"/>
        </w:rPr>
      </w:pPr>
      <w:r w:rsidRPr="004E355C">
        <w:rPr>
          <w:rFonts w:asciiTheme="minorHAnsi" w:eastAsia="MS Mincho" w:hAnsiTheme="minorHAnsi"/>
          <w:bCs/>
          <w:lang w:val="sq-AL" w:eastAsia="sq-AL"/>
        </w:rPr>
        <w:t>Mëposhtë jepet një tablo e vlerësimeve mbi disa nga tipologjitë e risqeve fiskale, si rezultat i monitorimit nga njësitë përgjegjëse në MFE, për periudhën Janar-Maj 20</w:t>
      </w:r>
      <w:r>
        <w:rPr>
          <w:rFonts w:asciiTheme="minorHAnsi" w:eastAsia="MS Mincho" w:hAnsiTheme="minorHAnsi"/>
          <w:bCs/>
          <w:lang w:val="sq-AL" w:eastAsia="sq-AL"/>
        </w:rPr>
        <w:t>21</w:t>
      </w:r>
      <w:r w:rsidRPr="004E355C">
        <w:rPr>
          <w:rFonts w:asciiTheme="minorHAnsi" w:eastAsia="MS Mincho" w:hAnsiTheme="minorHAnsi"/>
          <w:bCs/>
          <w:lang w:val="sq-AL" w:eastAsia="sq-AL"/>
        </w:rPr>
        <w:t>:</w:t>
      </w:r>
    </w:p>
    <w:p w:rsidR="00562780" w:rsidRPr="003038BE" w:rsidRDefault="00F30139" w:rsidP="007F0B61">
      <w:pPr>
        <w:pStyle w:val="Heading2"/>
        <w:numPr>
          <w:ilvl w:val="0"/>
          <w:numId w:val="50"/>
        </w:numPr>
        <w:ind w:left="630" w:hanging="630"/>
        <w:rPr>
          <w:sz w:val="26"/>
          <w:szCs w:val="26"/>
        </w:rPr>
      </w:pPr>
      <w:bookmarkStart w:id="72" w:name="_Toc10033284"/>
      <w:bookmarkStart w:id="73" w:name="_Toc10721421"/>
      <w:bookmarkStart w:id="74" w:name="_Toc11134241"/>
      <w:bookmarkStart w:id="75" w:name="_Toc76470029"/>
      <w:r w:rsidRPr="003038BE">
        <w:rPr>
          <w:sz w:val="26"/>
          <w:szCs w:val="26"/>
        </w:rPr>
        <w:lastRenderedPageBreak/>
        <w:t xml:space="preserve">Ndërmarrjet shtetërore – </w:t>
      </w:r>
      <w:r w:rsidR="00562780" w:rsidRPr="003038BE">
        <w:rPr>
          <w:sz w:val="26"/>
          <w:szCs w:val="26"/>
        </w:rPr>
        <w:t>Sektori</w:t>
      </w:r>
      <w:r w:rsidRPr="003038BE">
        <w:rPr>
          <w:sz w:val="26"/>
          <w:szCs w:val="26"/>
        </w:rPr>
        <w:t xml:space="preserve"> </w:t>
      </w:r>
      <w:r w:rsidR="00562780" w:rsidRPr="003038BE">
        <w:rPr>
          <w:sz w:val="26"/>
          <w:szCs w:val="26"/>
        </w:rPr>
        <w:t>Energjetik</w:t>
      </w:r>
      <w:bookmarkEnd w:id="72"/>
      <w:bookmarkEnd w:id="73"/>
      <w:bookmarkEnd w:id="74"/>
      <w:bookmarkEnd w:id="75"/>
    </w:p>
    <w:p w:rsidR="00266524" w:rsidRDefault="00266524" w:rsidP="00266524">
      <w:pPr>
        <w:spacing w:before="120" w:after="120" w:line="276" w:lineRule="auto"/>
        <w:jc w:val="both"/>
        <w:rPr>
          <w:rFonts w:asciiTheme="minorHAnsi" w:hAnsiTheme="minorHAnsi"/>
          <w:bCs/>
          <w:lang w:val="sq-AL" w:eastAsia="sq-AL"/>
        </w:rPr>
      </w:pPr>
      <w:r w:rsidRPr="00F6793D">
        <w:rPr>
          <w:rFonts w:asciiTheme="minorHAnsi" w:hAnsiTheme="minorHAnsi"/>
          <w:bCs/>
          <w:lang w:val="sq-AL" w:eastAsia="sq-AL"/>
        </w:rPr>
        <w:t xml:space="preserve">Ky sektor strategjik ka qenë dhe mbetet nën monitorimin e Ministrisë së Financave dhe Ekonomisë, duke patur parasysh ndikimin e konsiderueshëm fiskal dhe impaktin e ndjeshëm të tij </w:t>
      </w:r>
      <w:r>
        <w:rPr>
          <w:rFonts w:asciiTheme="minorHAnsi" w:hAnsiTheme="minorHAnsi"/>
          <w:bCs/>
          <w:lang w:val="sq-AL" w:eastAsia="sq-AL"/>
        </w:rPr>
        <w:t xml:space="preserve">në ekonomi. </w:t>
      </w:r>
      <w:r w:rsidRPr="00F6793D">
        <w:rPr>
          <w:rFonts w:asciiTheme="minorHAnsi" w:hAnsiTheme="minorHAnsi"/>
          <w:bCs/>
          <w:lang w:val="sq-AL" w:eastAsia="sq-AL"/>
        </w:rPr>
        <w:t xml:space="preserve">Ky monitorim, i cili është kryer periodikisht mbi bazë tremujore, ka konsistuar në analizimin e treguesve të performancës financiare të secilës prej tre kompanive KESH, </w:t>
      </w:r>
      <w:r>
        <w:rPr>
          <w:rFonts w:asciiTheme="minorHAnsi" w:hAnsiTheme="minorHAnsi"/>
          <w:bCs/>
          <w:lang w:val="sq-AL" w:eastAsia="sq-AL"/>
        </w:rPr>
        <w:t xml:space="preserve">OST dhe </w:t>
      </w:r>
      <w:r w:rsidRPr="00F6793D">
        <w:rPr>
          <w:rFonts w:asciiTheme="minorHAnsi" w:hAnsiTheme="minorHAnsi"/>
          <w:bCs/>
          <w:lang w:val="sq-AL" w:eastAsia="sq-AL"/>
        </w:rPr>
        <w:t xml:space="preserve">OSHEE </w:t>
      </w:r>
      <w:r>
        <w:rPr>
          <w:rFonts w:asciiTheme="minorHAnsi" w:hAnsiTheme="minorHAnsi"/>
          <w:bCs/>
          <w:lang w:val="sq-AL" w:eastAsia="sq-AL"/>
        </w:rPr>
        <w:t>Grup</w:t>
      </w:r>
      <w:r w:rsidRPr="00F6793D">
        <w:rPr>
          <w:rFonts w:asciiTheme="minorHAnsi" w:hAnsiTheme="minorHAnsi"/>
          <w:bCs/>
          <w:lang w:val="sq-AL" w:eastAsia="sq-AL"/>
        </w:rPr>
        <w:t>. Këto të fundit kanë detyrimin e ndarjes së planeve financiare vjetore dhe pasqyrave financiare vjetore mbi baz</w:t>
      </w:r>
      <w:r>
        <w:rPr>
          <w:rFonts w:asciiTheme="minorHAnsi" w:hAnsiTheme="minorHAnsi"/>
          <w:bCs/>
          <w:lang w:val="sq-AL" w:eastAsia="sq-AL"/>
        </w:rPr>
        <w:t>ë</w:t>
      </w:r>
      <w:r w:rsidRPr="00F6793D">
        <w:rPr>
          <w:rFonts w:asciiTheme="minorHAnsi" w:hAnsiTheme="minorHAnsi"/>
          <w:bCs/>
          <w:lang w:val="sq-AL" w:eastAsia="sq-AL"/>
        </w:rPr>
        <w:t xml:space="preserve"> tremujore me Ministrinë e Financave dhe Ekonomisë.</w:t>
      </w:r>
    </w:p>
    <w:p w:rsidR="007721CE" w:rsidRPr="007721CE" w:rsidRDefault="00266524" w:rsidP="007721CE">
      <w:pPr>
        <w:spacing w:before="120" w:after="120"/>
        <w:jc w:val="both"/>
        <w:rPr>
          <w:rFonts w:asciiTheme="minorHAnsi" w:hAnsiTheme="minorHAnsi"/>
          <w:bCs/>
          <w:lang w:val="sq-AL" w:eastAsia="sq-AL"/>
        </w:rPr>
      </w:pPr>
      <w:r w:rsidRPr="00266524">
        <w:rPr>
          <w:rFonts w:asciiTheme="minorHAnsi" w:hAnsiTheme="minorHAnsi"/>
          <w:bCs/>
          <w:lang w:val="sq-AL" w:eastAsia="sq-AL"/>
        </w:rPr>
        <w:t>Projektet e investimeve me financim të huaj për Sektorin e Energjisë për vitin 2021, u miratuan</w:t>
      </w:r>
      <w:r>
        <w:rPr>
          <w:rFonts w:asciiTheme="minorHAnsi" w:hAnsiTheme="minorHAnsi"/>
          <w:bCs/>
          <w:lang w:val="sq-AL" w:eastAsia="sq-AL"/>
        </w:rPr>
        <w:t xml:space="preserve"> në nivelin 2</w:t>
      </w:r>
      <w:r w:rsidRPr="00C142AA">
        <w:rPr>
          <w:rFonts w:asciiTheme="minorHAnsi" w:hAnsiTheme="minorHAnsi"/>
          <w:bCs/>
          <w:lang w:val="sq-AL" w:eastAsia="sq-AL"/>
        </w:rPr>
        <w:t>.</w:t>
      </w:r>
      <w:r>
        <w:rPr>
          <w:rFonts w:asciiTheme="minorHAnsi" w:hAnsiTheme="minorHAnsi"/>
          <w:bCs/>
          <w:lang w:val="sq-AL" w:eastAsia="sq-AL"/>
        </w:rPr>
        <w:t>3</w:t>
      </w:r>
      <w:r w:rsidRPr="00C142AA">
        <w:rPr>
          <w:rFonts w:asciiTheme="minorHAnsi" w:hAnsiTheme="minorHAnsi"/>
          <w:bCs/>
          <w:lang w:val="sq-AL" w:eastAsia="sq-AL"/>
        </w:rPr>
        <w:t xml:space="preserve"> miliardë lekë </w:t>
      </w:r>
      <w:r w:rsidR="007721CE">
        <w:rPr>
          <w:rFonts w:asciiTheme="minorHAnsi" w:hAnsiTheme="minorHAnsi"/>
          <w:bCs/>
          <w:lang w:val="sq-AL" w:eastAsia="sq-AL"/>
        </w:rPr>
        <w:t xml:space="preserve">sipas </w:t>
      </w:r>
      <w:r w:rsidR="007721CE" w:rsidRPr="007721CE">
        <w:rPr>
          <w:rFonts w:asciiTheme="minorHAnsi" w:hAnsiTheme="minorHAnsi"/>
          <w:bCs/>
          <w:lang w:val="sq-AL" w:eastAsia="sq-AL"/>
        </w:rPr>
        <w:t>buxhetit fillestar dhe Akteve Normativ nr.4 datë 5.02.2021, nr.8 datë 22.03.2021 dhe nr.18 datë 12.04.2021.</w:t>
      </w:r>
    </w:p>
    <w:p w:rsidR="00266524" w:rsidRPr="00266524" w:rsidRDefault="00266524" w:rsidP="00266524">
      <w:pPr>
        <w:spacing w:before="120" w:after="120" w:line="276" w:lineRule="auto"/>
        <w:jc w:val="both"/>
        <w:rPr>
          <w:rFonts w:asciiTheme="minorHAnsi" w:hAnsiTheme="minorHAnsi"/>
          <w:bCs/>
          <w:lang w:val="sq-AL" w:eastAsia="sq-AL"/>
        </w:rPr>
      </w:pPr>
      <w:r w:rsidRPr="00266524">
        <w:rPr>
          <w:rFonts w:asciiTheme="minorHAnsi" w:hAnsiTheme="minorHAnsi"/>
          <w:bCs/>
          <w:lang w:val="sq-AL" w:eastAsia="sq-AL"/>
        </w:rPr>
        <w:t xml:space="preserve">Në 4M 2021, krahasuar me të njejtën periudhë të një viti më parë vërehet se: </w:t>
      </w:r>
    </w:p>
    <w:p w:rsidR="00266524" w:rsidRPr="00266524" w:rsidRDefault="00266524" w:rsidP="007F0B61">
      <w:pPr>
        <w:numPr>
          <w:ilvl w:val="0"/>
          <w:numId w:val="4"/>
        </w:numPr>
        <w:spacing w:before="120" w:line="276" w:lineRule="auto"/>
        <w:ind w:left="450" w:hanging="270"/>
        <w:jc w:val="both"/>
        <w:rPr>
          <w:rFonts w:asciiTheme="minorHAnsi" w:eastAsia="MS Mincho" w:hAnsiTheme="minorHAnsi"/>
          <w:i/>
          <w:lang w:val="sq-AL"/>
        </w:rPr>
      </w:pPr>
      <w:r w:rsidRPr="00266524">
        <w:rPr>
          <w:rFonts w:asciiTheme="minorHAnsi" w:eastAsia="MS Mincho" w:hAnsiTheme="minorHAnsi"/>
          <w:i/>
          <w:lang w:val="sq-AL"/>
        </w:rPr>
        <w:t xml:space="preserve">Niveli i përgjithshëm i prodhimit vendas është rritur me rreth 122.8 përqind krahasuar me të njejtën periudhë të një viti më parë. </w:t>
      </w:r>
    </w:p>
    <w:p w:rsidR="00266524" w:rsidRPr="00266524" w:rsidRDefault="00266524" w:rsidP="007F0B61">
      <w:pPr>
        <w:numPr>
          <w:ilvl w:val="0"/>
          <w:numId w:val="4"/>
        </w:numPr>
        <w:spacing w:before="120" w:line="276" w:lineRule="auto"/>
        <w:ind w:left="450" w:hanging="270"/>
        <w:jc w:val="both"/>
        <w:rPr>
          <w:rFonts w:asciiTheme="minorHAnsi" w:eastAsia="MS Mincho" w:hAnsiTheme="minorHAnsi"/>
          <w:i/>
          <w:lang w:val="sq-AL"/>
        </w:rPr>
      </w:pPr>
      <w:r w:rsidRPr="00266524">
        <w:rPr>
          <w:rFonts w:asciiTheme="minorHAnsi" w:eastAsia="MS Mincho" w:hAnsiTheme="minorHAnsi"/>
          <w:i/>
          <w:lang w:val="sq-AL"/>
        </w:rPr>
        <w:t xml:space="preserve">Prodhimi neto vendas është 4.34 TWh krahasur me të njejtën periudhë të vitit të kaluar ku prodhimi neto vendas ka qënë vetëm rreth 1.95 TWh. </w:t>
      </w:r>
    </w:p>
    <w:p w:rsidR="00266524" w:rsidRPr="00266524" w:rsidRDefault="00266524" w:rsidP="007F0B61">
      <w:pPr>
        <w:numPr>
          <w:ilvl w:val="0"/>
          <w:numId w:val="4"/>
        </w:numPr>
        <w:spacing w:before="120" w:line="276" w:lineRule="auto"/>
        <w:ind w:left="450" w:hanging="270"/>
        <w:jc w:val="both"/>
        <w:rPr>
          <w:rFonts w:asciiTheme="minorHAnsi" w:eastAsia="MS Mincho" w:hAnsiTheme="minorHAnsi"/>
          <w:i/>
          <w:lang w:val="sq-AL"/>
        </w:rPr>
      </w:pPr>
      <w:r w:rsidRPr="00266524">
        <w:rPr>
          <w:rFonts w:asciiTheme="minorHAnsi" w:eastAsia="MS Mincho" w:hAnsiTheme="minorHAnsi"/>
          <w:i/>
          <w:lang w:val="sq-AL"/>
        </w:rPr>
        <w:t xml:space="preserve">Konkretisht, gjatë 4M 2021, KESH Sh.A realizoi një nivel prodhimi neto publik prej rreth 2.41 TWh, krahasuar me 0.88 TWh realizuar në të njejtën periudhë vitin e kaluar, një rritje rreth 173.9 përqind. </w:t>
      </w:r>
    </w:p>
    <w:p w:rsidR="00266524" w:rsidRPr="00266524" w:rsidRDefault="00266524" w:rsidP="007F0B61">
      <w:pPr>
        <w:numPr>
          <w:ilvl w:val="0"/>
          <w:numId w:val="4"/>
        </w:numPr>
        <w:spacing w:before="120" w:line="276" w:lineRule="auto"/>
        <w:ind w:left="450" w:hanging="270"/>
        <w:jc w:val="both"/>
        <w:rPr>
          <w:rFonts w:asciiTheme="minorHAnsi" w:eastAsia="MS Mincho" w:hAnsiTheme="minorHAnsi"/>
          <w:i/>
          <w:lang w:val="sq-AL"/>
        </w:rPr>
      </w:pPr>
      <w:r w:rsidRPr="00266524">
        <w:rPr>
          <w:rFonts w:asciiTheme="minorHAnsi" w:eastAsia="MS Mincho" w:hAnsiTheme="minorHAnsi"/>
          <w:i/>
          <w:lang w:val="sq-AL"/>
        </w:rPr>
        <w:t xml:space="preserve">Ky është një tregues përmirësimi i konsiderueshëm dhe tregon që deri në 4M e vitit 2021 situata hidrike është në kushte shumë të favorshme. Për pasojë, pritet një përmirësim i situatës financiare kryesisht për OSHEE Grup e cila është në rrugën e duhur që të arrijë të sigurojë furnizimin e një viti normal nga KESH SH.A prej 3.85 TWh. </w:t>
      </w:r>
    </w:p>
    <w:p w:rsidR="00266524" w:rsidRPr="00266524" w:rsidRDefault="00266524" w:rsidP="007F0B61">
      <w:pPr>
        <w:numPr>
          <w:ilvl w:val="0"/>
          <w:numId w:val="4"/>
        </w:numPr>
        <w:spacing w:before="120" w:line="276" w:lineRule="auto"/>
        <w:ind w:left="450" w:hanging="270"/>
        <w:jc w:val="both"/>
        <w:rPr>
          <w:rFonts w:asciiTheme="minorHAnsi" w:eastAsia="MS Mincho" w:hAnsiTheme="minorHAnsi"/>
          <w:i/>
          <w:lang w:val="sq-AL"/>
        </w:rPr>
      </w:pPr>
      <w:r w:rsidRPr="00266524">
        <w:rPr>
          <w:rFonts w:asciiTheme="minorHAnsi" w:eastAsia="MS Mincho" w:hAnsiTheme="minorHAnsi"/>
          <w:i/>
          <w:lang w:val="sq-AL"/>
        </w:rPr>
        <w:t xml:space="preserve">Sa i përket humbjeve në sistemin e shpërndarjes së energjisë elektrike ato rezultuan në nivelin 23.91 përqind për 4M 2021, duke shënuar një rënie të mëtejshme të nivelit të humbjeve krahasuar me të njejtën periudhë të një viti më parë ku humbjet figuruan në nivelin 24.34 përqind. </w:t>
      </w:r>
    </w:p>
    <w:p w:rsidR="00266524" w:rsidRPr="00266524" w:rsidRDefault="00266524" w:rsidP="007F0B61">
      <w:pPr>
        <w:numPr>
          <w:ilvl w:val="0"/>
          <w:numId w:val="4"/>
        </w:numPr>
        <w:spacing w:before="120" w:line="276" w:lineRule="auto"/>
        <w:ind w:left="450" w:hanging="270"/>
        <w:jc w:val="both"/>
        <w:rPr>
          <w:rFonts w:asciiTheme="minorHAnsi" w:eastAsia="MS Mincho" w:hAnsiTheme="minorHAnsi"/>
          <w:i/>
          <w:lang w:val="sq-AL"/>
        </w:rPr>
      </w:pPr>
      <w:r w:rsidRPr="00266524">
        <w:rPr>
          <w:rFonts w:asciiTheme="minorHAnsi" w:eastAsia="MS Mincho" w:hAnsiTheme="minorHAnsi"/>
          <w:i/>
          <w:lang w:val="sq-AL"/>
        </w:rPr>
        <w:t>Niveli i arkëtimeve për 4M 2021 arriti vlerën prej 92.0 përqind krahasuar me nivelin prej 91.2 përqind realizuar në të njëjtën periudhë të një viti më parë,  e cila dëshmon stabilitetin e operatorit në këtë drejtim.</w:t>
      </w:r>
    </w:p>
    <w:p w:rsidR="00266524" w:rsidRPr="000936AF" w:rsidRDefault="00266524" w:rsidP="00266524">
      <w:pPr>
        <w:spacing w:before="120" w:after="120" w:line="276" w:lineRule="auto"/>
        <w:jc w:val="both"/>
        <w:rPr>
          <w:rFonts w:asciiTheme="minorHAnsi" w:hAnsiTheme="minorHAnsi"/>
          <w:bCs/>
          <w:lang w:val="sq-AL" w:eastAsia="sq-AL"/>
        </w:rPr>
      </w:pPr>
      <w:r>
        <w:rPr>
          <w:rFonts w:asciiTheme="minorHAnsi" w:hAnsiTheme="minorHAnsi"/>
          <w:bCs/>
          <w:lang w:val="sq-AL" w:eastAsia="sq-AL"/>
        </w:rPr>
        <w:t>N</w:t>
      </w:r>
      <w:r w:rsidRPr="000936AF">
        <w:rPr>
          <w:rFonts w:asciiTheme="minorHAnsi" w:hAnsiTheme="minorHAnsi"/>
          <w:bCs/>
          <w:lang w:val="sq-AL" w:eastAsia="sq-AL"/>
        </w:rPr>
        <w:t xml:space="preserve">jë zhvillim i rëndësishëm </w:t>
      </w:r>
      <w:r>
        <w:rPr>
          <w:rFonts w:asciiTheme="minorHAnsi" w:hAnsiTheme="minorHAnsi"/>
          <w:bCs/>
          <w:lang w:val="sq-AL" w:eastAsia="sq-AL"/>
        </w:rPr>
        <w:t xml:space="preserve">në sektorin energjetik </w:t>
      </w:r>
      <w:r w:rsidRPr="000936AF">
        <w:rPr>
          <w:rFonts w:asciiTheme="minorHAnsi" w:hAnsiTheme="minorHAnsi"/>
          <w:bCs/>
          <w:lang w:val="sq-AL" w:eastAsia="sq-AL"/>
        </w:rPr>
        <w:t>është dhe ndarja e OSHEE Sh.A në tre kompani bija që prej datës 1 Janar 2020. Kjo ndarje u bë në kuadër të reformës në sektorin energjetik, reformë e cila ka rikthyer këtë sektor në trend pozitiv dhe të qëndrueshëm.</w:t>
      </w:r>
    </w:p>
    <w:p w:rsidR="00426228" w:rsidRDefault="00266524" w:rsidP="00266524">
      <w:pPr>
        <w:spacing w:before="120" w:after="120" w:line="276" w:lineRule="auto"/>
        <w:jc w:val="both"/>
        <w:rPr>
          <w:rFonts w:asciiTheme="minorHAnsi" w:hAnsiTheme="minorHAnsi"/>
          <w:bCs/>
          <w:lang w:val="sq-AL" w:eastAsia="sq-AL"/>
        </w:rPr>
      </w:pPr>
      <w:r w:rsidRPr="000936AF">
        <w:rPr>
          <w:rFonts w:asciiTheme="minorHAnsi" w:hAnsiTheme="minorHAnsi"/>
          <w:bCs/>
          <w:lang w:val="sq-AL" w:eastAsia="sq-AL"/>
        </w:rPr>
        <w:t>Në kuadër të reformës në sektorin e energjisë, në muajin Dhjetor</w:t>
      </w:r>
      <w:r>
        <w:rPr>
          <w:rFonts w:asciiTheme="minorHAnsi" w:hAnsiTheme="minorHAnsi"/>
          <w:bCs/>
          <w:lang w:val="sq-AL" w:eastAsia="sq-AL"/>
        </w:rPr>
        <w:t xml:space="preserve"> 2021</w:t>
      </w:r>
      <w:r w:rsidRPr="000936AF">
        <w:rPr>
          <w:rFonts w:asciiTheme="minorHAnsi" w:hAnsiTheme="minorHAnsi"/>
          <w:bCs/>
          <w:lang w:val="sq-AL" w:eastAsia="sq-AL"/>
        </w:rPr>
        <w:t>, u finalizua me sukses plani i masave për reduktimin e detyrimeve të prapambetura në sektorin e energjisë elektrike. Ky plan masash, sipas Urdhërit të përbashkët të Ministrisë së Financave dhe Ekonomisë dhe Ministrisë së Infrastrukturës dhe Energjisë nr.304 datë 17.12.2020 “Për miratimin e planit të masave të reduktimit të detyrimeve të prapambetura në sektorin e energjisë elektrike”, do të shërbejë si n</w:t>
      </w:r>
      <w:r>
        <w:rPr>
          <w:rFonts w:asciiTheme="minorHAnsi" w:hAnsiTheme="minorHAnsi"/>
          <w:bCs/>
          <w:lang w:val="sq-AL" w:eastAsia="sq-AL"/>
        </w:rPr>
        <w:t>j</w:t>
      </w:r>
      <w:r w:rsidRPr="000936AF">
        <w:rPr>
          <w:rFonts w:asciiTheme="minorHAnsi" w:hAnsiTheme="minorHAnsi"/>
          <w:bCs/>
          <w:lang w:val="sq-AL" w:eastAsia="sq-AL"/>
        </w:rPr>
        <w:t xml:space="preserve">ë instrument kryesor për realizimin e një prej elementeve kryesor të reformës në këtë sektor jetik për ekonominë e vendit. </w:t>
      </w:r>
    </w:p>
    <w:p w:rsidR="00266524" w:rsidRPr="000936AF" w:rsidRDefault="00266524" w:rsidP="00426228">
      <w:pPr>
        <w:spacing w:before="120" w:after="120" w:line="276" w:lineRule="auto"/>
        <w:jc w:val="both"/>
        <w:rPr>
          <w:rFonts w:asciiTheme="minorHAnsi" w:hAnsiTheme="minorHAnsi"/>
          <w:bCs/>
          <w:lang w:val="sq-AL" w:eastAsia="sq-AL"/>
        </w:rPr>
      </w:pPr>
      <w:r w:rsidRPr="000936AF">
        <w:rPr>
          <w:rFonts w:asciiTheme="minorHAnsi" w:hAnsiTheme="minorHAnsi"/>
          <w:bCs/>
          <w:lang w:val="sq-AL" w:eastAsia="sq-AL"/>
        </w:rPr>
        <w:lastRenderedPageBreak/>
        <w:t>Ky plan ofron një seri masash me qëllim parandalimin e krijimit të detyrimeve të reja të prapambetura dhe gjithashtu disiplinimin e pagesave ndërmjet kompanive të sektorit energjitik dhe palëve kryesore të lidhura me to. Pas arritjes së n</w:t>
      </w:r>
      <w:r>
        <w:rPr>
          <w:rFonts w:asciiTheme="minorHAnsi" w:hAnsiTheme="minorHAnsi"/>
          <w:bCs/>
          <w:lang w:val="sq-AL" w:eastAsia="sq-AL"/>
        </w:rPr>
        <w:t>j</w:t>
      </w:r>
      <w:r w:rsidRPr="000936AF">
        <w:rPr>
          <w:rFonts w:asciiTheme="minorHAnsi" w:hAnsiTheme="minorHAnsi"/>
          <w:bCs/>
          <w:lang w:val="sq-AL" w:eastAsia="sq-AL"/>
        </w:rPr>
        <w:t>ë disipline të shëndetshme pagesash ndërmjet tyre, plani propozon ristrukturimin e stokut të detyrimeve dhe përdorimin e instrumentave të ndryshme favorizuese në funksion të reduktimit të këtij stoku.</w:t>
      </w:r>
    </w:p>
    <w:p w:rsidR="00266524" w:rsidRPr="007223D1" w:rsidRDefault="00266524" w:rsidP="00426228">
      <w:pPr>
        <w:spacing w:after="120" w:line="276" w:lineRule="auto"/>
        <w:jc w:val="both"/>
        <w:rPr>
          <w:rFonts w:asciiTheme="minorHAnsi" w:hAnsiTheme="minorHAnsi"/>
          <w:bCs/>
          <w:lang w:val="sq-AL" w:eastAsia="sq-AL"/>
        </w:rPr>
      </w:pPr>
      <w:r w:rsidRPr="007223D1">
        <w:rPr>
          <w:rFonts w:asciiTheme="minorHAnsi" w:hAnsiTheme="minorHAnsi"/>
          <w:bCs/>
          <w:lang w:val="sq-AL" w:eastAsia="sq-AL"/>
        </w:rPr>
        <w:t xml:space="preserve">Në terma të riskut fiskal, impakti i sektorit si kosto apo të ardhura të munguara në financat publike, për periudhën 4 mujore të vitit 2021, vlerësohet rreth 1.3 miliardë lekë. Krahasuar me vitin 2020, kur sektori pati një kosto rreth 5.2 miliardë lekë për buxhetin e shtetit, vihet re një përmirësim i ndjeshëm i gjëndjes së detyrimeve. </w:t>
      </w:r>
    </w:p>
    <w:p w:rsidR="00266524" w:rsidRDefault="00266524" w:rsidP="00426228">
      <w:pPr>
        <w:spacing w:after="120" w:line="276" w:lineRule="auto"/>
        <w:jc w:val="both"/>
        <w:rPr>
          <w:rFonts w:asciiTheme="minorHAnsi" w:hAnsiTheme="minorHAnsi"/>
          <w:bCs/>
          <w:lang w:val="sq-AL" w:eastAsia="sq-AL"/>
        </w:rPr>
      </w:pPr>
      <w:r>
        <w:rPr>
          <w:rFonts w:asciiTheme="minorHAnsi" w:hAnsiTheme="minorHAnsi"/>
          <w:bCs/>
          <w:lang w:val="sq-AL" w:eastAsia="sq-AL"/>
        </w:rPr>
        <w:t>Gjithashtu, një arritje e rëndësishme për periudhën e deritanishme, është rënia e mëtejshme e nivelit të humbjeve në rrjet dhe qëndrushmëria e nivelit të arkëtimeve, tregues kryesorë që tregojnë për stabilitetin e operatorit në këtë fushë.</w:t>
      </w:r>
    </w:p>
    <w:p w:rsidR="00426228" w:rsidRPr="00F30139" w:rsidRDefault="00426228" w:rsidP="00426228">
      <w:pPr>
        <w:pStyle w:val="Heading2"/>
        <w:rPr>
          <w:color w:val="auto"/>
          <w:sz w:val="24"/>
        </w:rPr>
      </w:pPr>
      <w:bookmarkStart w:id="76" w:name="_Toc76470030"/>
      <w:r w:rsidRPr="00F30139">
        <w:rPr>
          <w:color w:val="auto"/>
          <w:sz w:val="24"/>
        </w:rPr>
        <w:t>Të Dhëna Financiare për Sektorin Energjetik</w:t>
      </w:r>
      <w:bookmarkEnd w:id="76"/>
    </w:p>
    <w:p w:rsidR="00426228" w:rsidRDefault="00426228" w:rsidP="00426228">
      <w:pPr>
        <w:spacing w:before="120" w:after="120" w:line="276" w:lineRule="auto"/>
        <w:jc w:val="both"/>
        <w:rPr>
          <w:rFonts w:asciiTheme="minorHAnsi" w:hAnsiTheme="minorHAnsi"/>
          <w:bCs/>
          <w:lang w:val="sq-AL" w:eastAsia="sq-AL"/>
        </w:rPr>
      </w:pPr>
      <w:r w:rsidRPr="00DF3E4A">
        <w:rPr>
          <w:rFonts w:asciiTheme="minorHAnsi" w:hAnsiTheme="minorHAnsi"/>
          <w:bCs/>
          <w:lang w:val="sq-AL" w:eastAsia="sq-AL"/>
        </w:rPr>
        <w:t>Në mbështetje të nenit 4/2 të ligjit 57 datë 02.06.2016 “Për disa ndryshime dhe shtesa në ligjin nr.9936 datë 26.06.2008 “</w:t>
      </w:r>
      <w:r w:rsidRPr="00DF3E4A">
        <w:rPr>
          <w:rFonts w:asciiTheme="minorHAnsi" w:hAnsiTheme="minorHAnsi"/>
          <w:bCs/>
          <w:i/>
          <w:lang w:val="sq-AL" w:eastAsia="sq-AL"/>
        </w:rPr>
        <w:t>Për menaxhimin e sistemit buxhetor në Republikën e Shqipërisë</w:t>
      </w:r>
      <w:r w:rsidRPr="00DF3E4A">
        <w:rPr>
          <w:rFonts w:asciiTheme="minorHAnsi" w:hAnsiTheme="minorHAnsi"/>
          <w:bCs/>
          <w:lang w:val="sq-AL" w:eastAsia="sq-AL"/>
        </w:rPr>
        <w:t>”, i ndryshuar”, sipas së cilit: “...</w:t>
      </w:r>
      <w:r w:rsidRPr="00DF3E4A">
        <w:rPr>
          <w:rFonts w:asciiTheme="minorHAnsi" w:hAnsiTheme="minorHAnsi"/>
          <w:bCs/>
          <w:i/>
          <w:lang w:val="sq-AL" w:eastAsia="sq-AL"/>
        </w:rPr>
        <w:t>Planet financiare vjetore dhe pasqyr</w:t>
      </w:r>
      <w:r>
        <w:rPr>
          <w:rFonts w:asciiTheme="minorHAnsi" w:hAnsiTheme="minorHAnsi"/>
          <w:bCs/>
          <w:i/>
          <w:lang w:val="sq-AL" w:eastAsia="sq-AL"/>
        </w:rPr>
        <w:t>at financiare mbi bazë tremujore</w:t>
      </w:r>
      <w:r w:rsidRPr="00DF3E4A">
        <w:rPr>
          <w:rFonts w:asciiTheme="minorHAnsi" w:hAnsiTheme="minorHAnsi"/>
          <w:bCs/>
          <w:i/>
          <w:lang w:val="sq-AL" w:eastAsia="sq-AL"/>
        </w:rPr>
        <w:t>, të çdo njësie jo të qeverisjes së përgjithshme, dorëzohen në Ministrinë e Financave...</w:t>
      </w:r>
      <w:r w:rsidRPr="00DF3E4A">
        <w:rPr>
          <w:rFonts w:asciiTheme="minorHAnsi" w:hAnsiTheme="minorHAnsi"/>
          <w:bCs/>
          <w:lang w:val="sq-AL" w:eastAsia="sq-AL"/>
        </w:rPr>
        <w:t>”, Ministria e Financave dhe Ekonomisë, periodikisht mbi bazë tremujore, ka mbledhur, përpunuar dhe analizuar informacionin e nevojshëm në lidhje me treguesit e performancës financiare të tre kompanive të sektorit energjitik. Kjo, me qëllim identifikimin, vlerësimin, monitorimin dhe raportimin e risqeve fiskale që rezultojnë nga ndërmarrjet publike me kapital shtetëror në tërësi dhe nga sektori energj</w:t>
      </w:r>
      <w:r>
        <w:rPr>
          <w:rFonts w:asciiTheme="minorHAnsi" w:hAnsiTheme="minorHAnsi"/>
          <w:bCs/>
          <w:lang w:val="sq-AL" w:eastAsia="sq-AL"/>
        </w:rPr>
        <w:t>e</w:t>
      </w:r>
      <w:r w:rsidRPr="00DF3E4A">
        <w:rPr>
          <w:rFonts w:asciiTheme="minorHAnsi" w:hAnsiTheme="minorHAnsi"/>
          <w:bCs/>
          <w:lang w:val="sq-AL" w:eastAsia="sq-AL"/>
        </w:rPr>
        <w:t>tik në veçanti, duke konsideruar rëndësinë strategjike të tij dhe problematikat se</w:t>
      </w:r>
      <w:r>
        <w:rPr>
          <w:rFonts w:asciiTheme="minorHAnsi" w:hAnsiTheme="minorHAnsi"/>
          <w:bCs/>
          <w:lang w:val="sq-AL" w:eastAsia="sq-AL"/>
        </w:rPr>
        <w:t>n</w:t>
      </w:r>
      <w:r w:rsidRPr="00DF3E4A">
        <w:rPr>
          <w:rFonts w:asciiTheme="minorHAnsi" w:hAnsiTheme="minorHAnsi"/>
          <w:bCs/>
          <w:lang w:val="sq-AL" w:eastAsia="sq-AL"/>
        </w:rPr>
        <w:t xml:space="preserve">sitive që e karakterizojnë. </w:t>
      </w:r>
      <w:r w:rsidRPr="000A2E8B">
        <w:rPr>
          <w:rFonts w:asciiTheme="minorHAnsi" w:hAnsiTheme="minorHAnsi"/>
          <w:bCs/>
          <w:lang w:val="sq-AL" w:eastAsia="sq-AL"/>
        </w:rPr>
        <w:t>Për vitin 2021, nga ana e MFE nuk është mundur të bëhet një analizë e plotë e treguesve financiarë, kjo për arsye të mungesës së informacionit të dërguar nga disa prej kompanive të këtij sektori. Mosraportimi në kohë i të dhënave financiare nga ana e kompanive justifikohet me faktin se, duke qenë se viti 2020 ka qenë një vit i vështirë, shkaktuar kjo dhe nga situata e pandemisë, ende nuk janë miratuar pasqyrat financiare për vitin 2020, duke shkaktuar në një vonesë për raportimin e të dhënave për periudhën tre mujore të vitit aktual 2021.</w:t>
      </w:r>
      <w:r>
        <w:rPr>
          <w:rFonts w:asciiTheme="minorHAnsi" w:hAnsiTheme="minorHAnsi"/>
          <w:bCs/>
          <w:lang w:val="sq-AL" w:eastAsia="sq-AL"/>
        </w:rPr>
        <w:t xml:space="preserve">   </w:t>
      </w:r>
    </w:p>
    <w:p w:rsidR="00736B74" w:rsidRDefault="00736B74" w:rsidP="00426228">
      <w:pPr>
        <w:spacing w:before="120" w:after="120" w:line="276" w:lineRule="auto"/>
        <w:jc w:val="both"/>
        <w:rPr>
          <w:rFonts w:asciiTheme="minorHAnsi" w:hAnsiTheme="minorHAnsi"/>
          <w:bCs/>
          <w:lang w:val="sq-AL" w:eastAsia="sq-AL"/>
        </w:rPr>
      </w:pPr>
    </w:p>
    <w:p w:rsidR="003038BE" w:rsidRPr="003038BE" w:rsidRDefault="00562780" w:rsidP="007F0B61">
      <w:pPr>
        <w:pStyle w:val="Heading2"/>
        <w:numPr>
          <w:ilvl w:val="0"/>
          <w:numId w:val="51"/>
        </w:numPr>
        <w:ind w:left="630" w:hanging="630"/>
        <w:rPr>
          <w:sz w:val="26"/>
          <w:szCs w:val="26"/>
        </w:rPr>
      </w:pPr>
      <w:bookmarkStart w:id="77" w:name="_Toc466295701"/>
      <w:bookmarkStart w:id="78" w:name="_Toc76470031"/>
      <w:bookmarkStart w:id="79" w:name="_Toc10033285"/>
      <w:bookmarkStart w:id="80" w:name="_Toc10721422"/>
      <w:bookmarkStart w:id="81" w:name="_Toc11134242"/>
      <w:r w:rsidRPr="003038BE">
        <w:rPr>
          <w:sz w:val="26"/>
          <w:szCs w:val="26"/>
        </w:rPr>
        <w:t>Detyrime</w:t>
      </w:r>
      <w:bookmarkEnd w:id="77"/>
      <w:r w:rsidRPr="003038BE">
        <w:rPr>
          <w:sz w:val="26"/>
          <w:szCs w:val="26"/>
        </w:rPr>
        <w:t>t e prapambetura</w:t>
      </w:r>
      <w:bookmarkEnd w:id="78"/>
      <w:r w:rsidR="0068128A">
        <w:rPr>
          <w:sz w:val="26"/>
          <w:szCs w:val="26"/>
        </w:rPr>
        <w:t xml:space="preserve"> </w:t>
      </w:r>
    </w:p>
    <w:p w:rsidR="000A2E8B" w:rsidRDefault="000A2E8B" w:rsidP="00DA6051">
      <w:pPr>
        <w:spacing w:before="240" w:line="276" w:lineRule="auto"/>
        <w:jc w:val="both"/>
        <w:rPr>
          <w:rFonts w:asciiTheme="minorHAnsi" w:eastAsia="Calibri" w:hAnsiTheme="minorHAnsi"/>
          <w:lang w:val="sq-AL"/>
        </w:rPr>
      </w:pPr>
      <w:bookmarkStart w:id="82" w:name="_Toc495672777"/>
      <w:bookmarkEnd w:id="79"/>
      <w:bookmarkEnd w:id="80"/>
      <w:bookmarkEnd w:id="81"/>
      <w:bookmarkEnd w:id="82"/>
      <w:r w:rsidRPr="000A2E8B">
        <w:rPr>
          <w:rFonts w:asciiTheme="minorHAnsi" w:eastAsia="Calibri" w:hAnsiTheme="minorHAnsi"/>
          <w:lang w:val="sq-AL"/>
        </w:rPr>
        <w:t xml:space="preserve">Bazuar në VKM nr. 50 datë 05.02.2014 “Për miratimin e Strategjisë për parandalimin dhe shlyerjen e detyrimeve të prapambetura e të planit të veprimit” dhe Strategjisë së Menaxhimit të Financave Publike 2014-2020, Ministria e Financave dhe Ekonomisë ka ndërmarrë disa hapa konkretë në drejtim të monitorimit, raportimit dhe parandalimit të detyrimeve të prapambetura. Ky është një proces i konsoliduar në kohë dhe cilësi, përmes monitorimit periodik intensiv të të gjitha detyrimeve të pashlyera. Në muajin tetor 2020, Ministria e Financave dhe Ekonomisë vuri në zbatim Udhëzimin nr.37 për “Monitorimin dhe publikimin periodik të stokut të detyrimeve të prapambetura të qeverisjes së përgjithshme”, i cili rregullon raportimin e detyrimeve të prapambetura nëpërmjet Sistemit Informatik Financiar të Qeverisë (SIFQ) duke prodhuar një raport gjithpërfshirës të stokut të detyrimeve për institucionet e qeverisjes qendrore dhe vendore. </w:t>
      </w:r>
    </w:p>
    <w:p w:rsidR="000A2E8B" w:rsidRPr="00736B74" w:rsidRDefault="000A2E8B" w:rsidP="00736B74">
      <w:pPr>
        <w:spacing w:line="276" w:lineRule="auto"/>
        <w:jc w:val="both"/>
        <w:rPr>
          <w:rFonts w:asciiTheme="minorHAnsi" w:hAnsiTheme="minorHAnsi" w:cstheme="minorHAnsi"/>
          <w:lang w:val="sq-AL"/>
        </w:rPr>
      </w:pPr>
      <w:r w:rsidRPr="000A2E8B">
        <w:rPr>
          <w:rFonts w:asciiTheme="minorHAnsi" w:hAnsiTheme="minorHAnsi" w:cstheme="minorHAnsi"/>
          <w:lang w:val="sq-AL"/>
        </w:rPr>
        <w:lastRenderedPageBreak/>
        <w:t>Ky format i raportimit të detyrimeve të prapambetura përveç se rrit saktësinë dhe siguron të dhënat në kohë, është gjithashtu një format gjithpërfshirës duke unifikuar raportin për të gjithë njësitë e qeverisjes së përgjithshme.</w:t>
      </w:r>
      <w:r w:rsidR="0068128A">
        <w:rPr>
          <w:rFonts w:asciiTheme="minorHAnsi" w:hAnsiTheme="minorHAnsi" w:cstheme="minorHAnsi"/>
          <w:lang w:val="sq-AL"/>
        </w:rPr>
        <w:t xml:space="preserve"> </w:t>
      </w:r>
      <w:r w:rsidRPr="000A2E8B">
        <w:rPr>
          <w:rFonts w:asciiTheme="minorHAnsi" w:hAnsiTheme="minorHAnsi"/>
          <w:lang w:val="sq-AL"/>
        </w:rPr>
        <w:t>Ky monitorim kryhet mbi bazë tremujore dhe referuar të dhënave të raportuara nga ministritë e linjës për T1 të vitit 2021 vihet re se</w:t>
      </w:r>
      <w:r w:rsidR="00736B74">
        <w:rPr>
          <w:rFonts w:asciiTheme="minorHAnsi" w:hAnsiTheme="minorHAnsi"/>
          <w:lang w:val="sq-AL"/>
        </w:rPr>
        <w:t>, d</w:t>
      </w:r>
      <w:r w:rsidRPr="000A2E8B">
        <w:rPr>
          <w:rFonts w:asciiTheme="minorHAnsi" w:hAnsiTheme="minorHAnsi"/>
          <w:lang w:val="sq-AL"/>
        </w:rPr>
        <w:t>eri në fund të muajit Mars 2021 regjistrohet një stok kumulativ prej 20.75 miliard LEK detyrime të prapambetura nga njësitë e qeverisjes së përgjithshme. Konkretisht:</w:t>
      </w:r>
    </w:p>
    <w:p w:rsidR="000A2E8B" w:rsidRPr="000A2E8B" w:rsidRDefault="000A2E8B" w:rsidP="00736B74">
      <w:pPr>
        <w:numPr>
          <w:ilvl w:val="0"/>
          <w:numId w:val="4"/>
        </w:numPr>
        <w:ind w:left="450" w:hanging="270"/>
        <w:jc w:val="both"/>
        <w:rPr>
          <w:rFonts w:asciiTheme="minorHAnsi" w:eastAsia="MS Mincho" w:hAnsiTheme="minorHAnsi"/>
          <w:i/>
          <w:lang w:val="sq-AL"/>
        </w:rPr>
      </w:pPr>
      <w:r w:rsidRPr="000A2E8B">
        <w:rPr>
          <w:rFonts w:asciiTheme="minorHAnsi" w:eastAsia="MS Mincho" w:hAnsiTheme="minorHAnsi"/>
          <w:i/>
          <w:lang w:val="sq-AL"/>
        </w:rPr>
        <w:t>Totali detyrimeve të qeverisë qendrore rreth 7.95 miliard LEK</w:t>
      </w:r>
    </w:p>
    <w:p w:rsidR="000A2E8B" w:rsidRPr="000A2E8B" w:rsidRDefault="000A2E8B" w:rsidP="00736B74">
      <w:pPr>
        <w:numPr>
          <w:ilvl w:val="0"/>
          <w:numId w:val="4"/>
        </w:numPr>
        <w:ind w:left="450" w:hanging="270"/>
        <w:jc w:val="both"/>
        <w:rPr>
          <w:rFonts w:asciiTheme="minorHAnsi" w:eastAsia="MS Mincho" w:hAnsiTheme="minorHAnsi"/>
          <w:i/>
          <w:lang w:val="sq-AL"/>
        </w:rPr>
      </w:pPr>
      <w:r w:rsidRPr="000A2E8B">
        <w:rPr>
          <w:rFonts w:asciiTheme="minorHAnsi" w:eastAsia="MS Mincho" w:hAnsiTheme="minorHAnsi"/>
          <w:i/>
          <w:lang w:val="sq-AL"/>
        </w:rPr>
        <w:t xml:space="preserve">Totali detyrimeve të qeverisë vendore rreth 6.88 miliard LEK. </w:t>
      </w:r>
    </w:p>
    <w:p w:rsidR="000A2E8B" w:rsidRPr="000A2E8B" w:rsidRDefault="000A2E8B" w:rsidP="00736B74">
      <w:pPr>
        <w:numPr>
          <w:ilvl w:val="0"/>
          <w:numId w:val="4"/>
        </w:numPr>
        <w:ind w:left="450" w:hanging="270"/>
        <w:jc w:val="both"/>
        <w:rPr>
          <w:rFonts w:asciiTheme="minorHAnsi" w:eastAsia="MS Mincho" w:hAnsiTheme="minorHAnsi"/>
          <w:i/>
          <w:lang w:val="sq-AL"/>
        </w:rPr>
      </w:pPr>
      <w:r w:rsidRPr="000A2E8B">
        <w:rPr>
          <w:rFonts w:asciiTheme="minorHAnsi" w:eastAsia="MS Mincho" w:hAnsiTheme="minorHAnsi"/>
          <w:i/>
          <w:lang w:val="sq-AL"/>
        </w:rPr>
        <w:t>Totali detyrimeve për rimbursimin e TVSH-së rreth 5.92 miliard LEK</w:t>
      </w:r>
    </w:p>
    <w:p w:rsidR="000A2E8B" w:rsidRPr="000A2E8B" w:rsidRDefault="000A2E8B" w:rsidP="000A2E8B">
      <w:pPr>
        <w:spacing w:before="240" w:line="276" w:lineRule="auto"/>
        <w:jc w:val="both"/>
        <w:rPr>
          <w:rFonts w:asciiTheme="minorHAnsi" w:eastAsia="MS Mincho" w:hAnsiTheme="minorHAnsi"/>
          <w:bCs/>
          <w:sz w:val="22"/>
          <w:lang w:val="sq-AL" w:eastAsia="sq-AL"/>
        </w:rPr>
      </w:pPr>
      <w:r w:rsidRPr="000A2E8B">
        <w:rPr>
          <w:rFonts w:asciiTheme="minorHAnsi" w:eastAsia="MS Mincho" w:hAnsiTheme="minorHAnsi"/>
          <w:bCs/>
          <w:sz w:val="22"/>
          <w:lang w:val="sq-AL" w:eastAsia="sq-AL"/>
        </w:rPr>
        <w:t>Tabela x: Detyrimet e prapambetura të (Arrears) Stoku (në milionë LEK)</w:t>
      </w:r>
    </w:p>
    <w:p w:rsidR="000A2E8B" w:rsidRPr="000A2E8B" w:rsidRDefault="000A2E8B" w:rsidP="000A2E8B">
      <w:pPr>
        <w:spacing w:before="120" w:line="276" w:lineRule="auto"/>
        <w:contextualSpacing/>
        <w:jc w:val="center"/>
        <w:rPr>
          <w:rFonts w:asciiTheme="minorHAnsi" w:hAnsiTheme="minorHAnsi"/>
          <w:lang w:val="sq-AL"/>
        </w:rPr>
      </w:pPr>
      <w:r w:rsidRPr="000A2E8B">
        <w:rPr>
          <w:rFonts w:asciiTheme="minorHAnsi" w:hAnsiTheme="minorHAnsi"/>
          <w:noProof/>
        </w:rPr>
        <w:drawing>
          <wp:inline distT="0" distB="0" distL="0" distR="0" wp14:anchorId="5559F6B5" wp14:editId="775A54E4">
            <wp:extent cx="6115050" cy="1104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5050" cy="1104900"/>
                    </a:xfrm>
                    <a:prstGeom prst="rect">
                      <a:avLst/>
                    </a:prstGeom>
                    <a:noFill/>
                  </pic:spPr>
                </pic:pic>
              </a:graphicData>
            </a:graphic>
          </wp:inline>
        </w:drawing>
      </w:r>
    </w:p>
    <w:p w:rsidR="000A2E8B" w:rsidRPr="000A2E8B" w:rsidRDefault="000A2E8B" w:rsidP="000A2E8B">
      <w:pPr>
        <w:spacing w:line="276" w:lineRule="auto"/>
        <w:ind w:firstLine="720"/>
        <w:rPr>
          <w:rFonts w:asciiTheme="minorHAnsi" w:eastAsia="SimSun" w:hAnsiTheme="minorHAnsi"/>
          <w:i/>
          <w:lang w:val="sq-AL"/>
        </w:rPr>
      </w:pPr>
      <w:r w:rsidRPr="000A2E8B">
        <w:rPr>
          <w:rFonts w:asciiTheme="minorHAnsi" w:eastAsia="SimSun" w:hAnsiTheme="minorHAnsi"/>
          <w:i/>
          <w:lang w:val="sq-AL"/>
        </w:rPr>
        <w:t>Burimi: Ministria e Financave dhe Ekonomisë (2021)</w:t>
      </w:r>
    </w:p>
    <w:p w:rsidR="0068128A" w:rsidRDefault="0068128A" w:rsidP="000A2E8B">
      <w:pPr>
        <w:spacing w:line="276" w:lineRule="auto"/>
        <w:jc w:val="both"/>
        <w:rPr>
          <w:rFonts w:asciiTheme="minorHAnsi" w:hAnsiTheme="minorHAnsi"/>
          <w:i/>
          <w:sz w:val="22"/>
          <w:lang w:val="sq-AL"/>
        </w:rPr>
      </w:pPr>
    </w:p>
    <w:p w:rsidR="000A2E8B" w:rsidRPr="000A2E8B" w:rsidRDefault="000A2E8B" w:rsidP="000A2E8B">
      <w:pPr>
        <w:spacing w:line="276" w:lineRule="auto"/>
        <w:jc w:val="both"/>
        <w:rPr>
          <w:rFonts w:asciiTheme="minorHAnsi" w:hAnsiTheme="minorHAnsi"/>
          <w:i/>
          <w:sz w:val="22"/>
          <w:lang w:val="sq-AL"/>
        </w:rPr>
      </w:pPr>
      <w:r w:rsidRPr="000A2E8B">
        <w:rPr>
          <w:rFonts w:asciiTheme="minorHAnsi" w:hAnsiTheme="minorHAnsi"/>
          <w:i/>
          <w:sz w:val="22"/>
          <w:lang w:val="sq-AL"/>
        </w:rPr>
        <w:t>Grafiku x: Stoku i detyrimeve të prapambetura qendrore &amp; vendore 2020 - Mars 2021 (në milion LEK)</w:t>
      </w:r>
    </w:p>
    <w:p w:rsidR="000A2E8B" w:rsidRPr="000A2E8B" w:rsidRDefault="000A2E8B" w:rsidP="000A2E8B">
      <w:pPr>
        <w:spacing w:line="276" w:lineRule="auto"/>
        <w:rPr>
          <w:rFonts w:asciiTheme="minorHAnsi" w:hAnsiTheme="minorHAnsi"/>
          <w:sz w:val="12"/>
          <w:lang w:val="sq-AL"/>
        </w:rPr>
      </w:pPr>
    </w:p>
    <w:p w:rsidR="000A2E8B" w:rsidRPr="000A2E8B" w:rsidRDefault="000A2E8B" w:rsidP="000A2E8B">
      <w:pPr>
        <w:spacing w:line="276" w:lineRule="auto"/>
        <w:jc w:val="center"/>
        <w:rPr>
          <w:rFonts w:asciiTheme="minorHAnsi" w:hAnsiTheme="minorHAnsi"/>
          <w:lang w:val="sq-AL"/>
        </w:rPr>
      </w:pPr>
      <w:r w:rsidRPr="000A2E8B">
        <w:rPr>
          <w:rFonts w:asciiTheme="minorHAnsi" w:hAnsiTheme="minorHAnsi"/>
          <w:noProof/>
        </w:rPr>
        <w:drawing>
          <wp:inline distT="0" distB="0" distL="0" distR="0" wp14:anchorId="5F77B88B" wp14:editId="0EEFA74F">
            <wp:extent cx="5829300" cy="18440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29300" cy="1844040"/>
                    </a:xfrm>
                    <a:prstGeom prst="rect">
                      <a:avLst/>
                    </a:prstGeom>
                    <a:noFill/>
                  </pic:spPr>
                </pic:pic>
              </a:graphicData>
            </a:graphic>
          </wp:inline>
        </w:drawing>
      </w:r>
    </w:p>
    <w:p w:rsidR="000A2E8B" w:rsidRPr="000A2E8B" w:rsidRDefault="000A2E8B" w:rsidP="000A2E8B">
      <w:pPr>
        <w:spacing w:line="276" w:lineRule="auto"/>
        <w:ind w:firstLine="720"/>
        <w:rPr>
          <w:rFonts w:asciiTheme="minorHAnsi" w:eastAsia="SimSun" w:hAnsiTheme="minorHAnsi"/>
          <w:i/>
          <w:lang w:val="sq-AL"/>
        </w:rPr>
      </w:pPr>
      <w:r w:rsidRPr="000A2E8B">
        <w:rPr>
          <w:rFonts w:asciiTheme="minorHAnsi" w:eastAsia="SimSun" w:hAnsiTheme="minorHAnsi"/>
          <w:i/>
          <w:lang w:val="sq-AL"/>
        </w:rPr>
        <w:t>Burimi: Ministria e Financave dhe Ekonomisë (2021)</w:t>
      </w:r>
    </w:p>
    <w:p w:rsidR="000A2E8B" w:rsidRDefault="000A2E8B" w:rsidP="000A2E8B">
      <w:pPr>
        <w:spacing w:line="276" w:lineRule="auto"/>
        <w:ind w:firstLine="720"/>
        <w:rPr>
          <w:rFonts w:asciiTheme="minorHAnsi" w:eastAsia="SimSun" w:hAnsiTheme="minorHAnsi"/>
          <w:i/>
          <w:lang w:val="sq-AL"/>
        </w:rPr>
      </w:pPr>
    </w:p>
    <w:p w:rsidR="000A2E8B" w:rsidRPr="00CB14F3" w:rsidRDefault="000A2E8B" w:rsidP="007F0B61">
      <w:pPr>
        <w:pStyle w:val="Heading2"/>
        <w:numPr>
          <w:ilvl w:val="0"/>
          <w:numId w:val="52"/>
        </w:numPr>
        <w:ind w:left="810" w:hanging="810"/>
        <w:rPr>
          <w:sz w:val="26"/>
          <w:szCs w:val="26"/>
        </w:rPr>
      </w:pPr>
      <w:bookmarkStart w:id="83" w:name="_Toc76470032"/>
      <w:r w:rsidRPr="00CB14F3">
        <w:rPr>
          <w:sz w:val="26"/>
          <w:szCs w:val="26"/>
        </w:rPr>
        <w:t>Detyrimet e prapambetura për njësitë e qeverisjes QENDRORE</w:t>
      </w:r>
      <w:bookmarkEnd w:id="83"/>
    </w:p>
    <w:p w:rsidR="000A2E8B" w:rsidRPr="000A2E8B" w:rsidRDefault="000A2E8B" w:rsidP="000A2E8B">
      <w:pPr>
        <w:spacing w:line="276" w:lineRule="auto"/>
        <w:jc w:val="both"/>
        <w:rPr>
          <w:rFonts w:asciiTheme="minorHAnsi" w:hAnsiTheme="minorHAnsi" w:cstheme="minorHAnsi"/>
        </w:rPr>
      </w:pPr>
      <w:r w:rsidRPr="000A2E8B">
        <w:rPr>
          <w:rFonts w:asciiTheme="minorHAnsi" w:hAnsiTheme="minorHAnsi" w:cstheme="minorHAnsi"/>
        </w:rPr>
        <w:t>Sipas informacionit të gjeneruar nga Sistemi Informatik Financiar i Qeverisë, për detyrimet e njësive të qeverisjes qendrore, për periudhën deri në Mars 2021, rezulton se:</w:t>
      </w:r>
    </w:p>
    <w:p w:rsidR="000A2E8B" w:rsidRPr="000A2E8B" w:rsidRDefault="000A2E8B" w:rsidP="000A2E8B">
      <w:pPr>
        <w:spacing w:before="240" w:line="276" w:lineRule="auto"/>
        <w:jc w:val="both"/>
        <w:rPr>
          <w:rFonts w:asciiTheme="minorHAnsi" w:hAnsiTheme="minorHAnsi" w:cstheme="minorHAnsi"/>
        </w:rPr>
      </w:pPr>
      <w:r w:rsidRPr="000A2E8B">
        <w:rPr>
          <w:rFonts w:asciiTheme="minorHAnsi" w:hAnsiTheme="minorHAnsi" w:cstheme="minorHAnsi"/>
        </w:rPr>
        <w:t xml:space="preserve">Stoku i detyrimeve të prapambetura është rreth 7.95 miliard LEK. Krahasuar me stokun e raportuar nga instituconet në muajin Dhjetor 2020 rezulton një nivel detyrimesh rreth 983.8 milion LEK më i lartë. Sipas kategorive të shpenzimeve rezulton: </w:t>
      </w:r>
    </w:p>
    <w:p w:rsidR="000A2E8B" w:rsidRPr="000A2E8B" w:rsidRDefault="000A2E8B" w:rsidP="00F07CFC">
      <w:pPr>
        <w:pStyle w:val="ListParagraph"/>
        <w:numPr>
          <w:ilvl w:val="3"/>
          <w:numId w:val="48"/>
        </w:numPr>
        <w:ind w:left="720"/>
        <w:contextualSpacing w:val="0"/>
        <w:jc w:val="both"/>
        <w:rPr>
          <w:rFonts w:asciiTheme="minorHAnsi" w:hAnsiTheme="minorHAnsi" w:cstheme="minorHAnsi"/>
          <w:i/>
        </w:rPr>
      </w:pPr>
      <w:r w:rsidRPr="000A2E8B">
        <w:rPr>
          <w:rFonts w:asciiTheme="minorHAnsi" w:hAnsiTheme="minorHAnsi" w:cstheme="minorHAnsi"/>
          <w:i/>
        </w:rPr>
        <w:t>Vendimet Gjyqësore zënë peshën më të madhe të stokut të detyrimit rreth 47%;</w:t>
      </w:r>
    </w:p>
    <w:p w:rsidR="000A2E8B" w:rsidRPr="000A2E8B" w:rsidRDefault="000A2E8B" w:rsidP="00F07CFC">
      <w:pPr>
        <w:pStyle w:val="ListParagraph"/>
        <w:numPr>
          <w:ilvl w:val="3"/>
          <w:numId w:val="48"/>
        </w:numPr>
        <w:ind w:left="720"/>
        <w:contextualSpacing w:val="0"/>
        <w:jc w:val="both"/>
        <w:rPr>
          <w:rFonts w:asciiTheme="minorHAnsi" w:hAnsiTheme="minorHAnsi" w:cstheme="minorHAnsi"/>
          <w:i/>
        </w:rPr>
      </w:pPr>
      <w:r w:rsidRPr="000A2E8B">
        <w:rPr>
          <w:rFonts w:asciiTheme="minorHAnsi" w:hAnsiTheme="minorHAnsi" w:cstheme="minorHAnsi"/>
          <w:i/>
        </w:rPr>
        <w:t>Investimet zënë rreth 27%;</w:t>
      </w:r>
    </w:p>
    <w:p w:rsidR="000A2E8B" w:rsidRPr="000A2E8B" w:rsidRDefault="000A2E8B" w:rsidP="00F07CFC">
      <w:pPr>
        <w:pStyle w:val="ListParagraph"/>
        <w:numPr>
          <w:ilvl w:val="3"/>
          <w:numId w:val="48"/>
        </w:numPr>
        <w:ind w:left="720"/>
        <w:contextualSpacing w:val="0"/>
        <w:jc w:val="both"/>
        <w:rPr>
          <w:rFonts w:asciiTheme="minorHAnsi" w:hAnsiTheme="minorHAnsi" w:cstheme="minorHAnsi"/>
          <w:i/>
        </w:rPr>
      </w:pPr>
      <w:r w:rsidRPr="000A2E8B">
        <w:rPr>
          <w:rFonts w:asciiTheme="minorHAnsi" w:hAnsiTheme="minorHAnsi" w:cstheme="minorHAnsi"/>
          <w:i/>
        </w:rPr>
        <w:t>Shërbime zënë rreth 6%</w:t>
      </w:r>
    </w:p>
    <w:p w:rsidR="000A2E8B" w:rsidRPr="000A2E8B" w:rsidRDefault="000A2E8B" w:rsidP="00F07CFC">
      <w:pPr>
        <w:pStyle w:val="ListParagraph"/>
        <w:numPr>
          <w:ilvl w:val="3"/>
          <w:numId w:val="48"/>
        </w:numPr>
        <w:ind w:left="720"/>
        <w:contextualSpacing w:val="0"/>
        <w:jc w:val="both"/>
        <w:rPr>
          <w:rFonts w:asciiTheme="minorHAnsi" w:hAnsiTheme="minorHAnsi" w:cstheme="minorHAnsi"/>
          <w:i/>
        </w:rPr>
      </w:pPr>
      <w:r w:rsidRPr="000A2E8B">
        <w:rPr>
          <w:rFonts w:asciiTheme="minorHAnsi" w:hAnsiTheme="minorHAnsi" w:cstheme="minorHAnsi"/>
          <w:i/>
        </w:rPr>
        <w:t>Mirëmbajtje me rreth 2%;</w:t>
      </w:r>
    </w:p>
    <w:p w:rsidR="000A2E8B" w:rsidRPr="000A2E8B" w:rsidRDefault="000A2E8B" w:rsidP="00F07CFC">
      <w:pPr>
        <w:pStyle w:val="ListParagraph"/>
        <w:numPr>
          <w:ilvl w:val="3"/>
          <w:numId w:val="48"/>
        </w:numPr>
        <w:ind w:left="720"/>
        <w:contextualSpacing w:val="0"/>
        <w:jc w:val="both"/>
        <w:rPr>
          <w:rFonts w:asciiTheme="minorHAnsi" w:hAnsiTheme="minorHAnsi" w:cstheme="minorHAnsi"/>
          <w:i/>
        </w:rPr>
      </w:pPr>
      <w:r w:rsidRPr="000A2E8B">
        <w:rPr>
          <w:rFonts w:asciiTheme="minorHAnsi" w:hAnsiTheme="minorHAnsi" w:cstheme="minorHAnsi"/>
          <w:i/>
        </w:rPr>
        <w:t>Detyrime të prapambetura të tjera me rreth 14%,</w:t>
      </w:r>
    </w:p>
    <w:p w:rsidR="000A2E8B" w:rsidRPr="00F07CFC" w:rsidRDefault="000A2E8B" w:rsidP="002C40CB">
      <w:pPr>
        <w:pStyle w:val="ListParagraph"/>
        <w:numPr>
          <w:ilvl w:val="3"/>
          <w:numId w:val="48"/>
        </w:numPr>
        <w:spacing w:line="276" w:lineRule="auto"/>
        <w:ind w:left="720"/>
        <w:contextualSpacing w:val="0"/>
        <w:jc w:val="both"/>
        <w:rPr>
          <w:rFonts w:asciiTheme="minorHAnsi" w:hAnsiTheme="minorHAnsi"/>
        </w:rPr>
      </w:pPr>
      <w:r w:rsidRPr="00F07CFC">
        <w:rPr>
          <w:rFonts w:asciiTheme="minorHAnsi" w:hAnsiTheme="minorHAnsi" w:cstheme="minorHAnsi"/>
          <w:i/>
        </w:rPr>
        <w:t xml:space="preserve">Detyrimet për sigurimet shoqërore me rreth 2%. </w:t>
      </w:r>
    </w:p>
    <w:p w:rsidR="000A2E8B" w:rsidRPr="00C86295" w:rsidRDefault="000A2E8B" w:rsidP="000A2E8B">
      <w:pPr>
        <w:pStyle w:val="Caption"/>
        <w:spacing w:after="0" w:line="276" w:lineRule="auto"/>
        <w:rPr>
          <w:rFonts w:asciiTheme="minorHAnsi" w:hAnsiTheme="minorHAnsi"/>
          <w:b w:val="0"/>
          <w:bCs w:val="0"/>
          <w:i/>
          <w:color w:val="auto"/>
          <w:sz w:val="22"/>
          <w:szCs w:val="24"/>
          <w:lang w:val="sq-AL"/>
        </w:rPr>
      </w:pPr>
      <w:r w:rsidRPr="00C86295">
        <w:rPr>
          <w:rFonts w:asciiTheme="minorHAnsi" w:hAnsiTheme="minorHAnsi"/>
          <w:b w:val="0"/>
          <w:bCs w:val="0"/>
          <w:i/>
          <w:color w:val="auto"/>
          <w:sz w:val="22"/>
          <w:szCs w:val="24"/>
          <w:lang w:val="sq-AL"/>
        </w:rPr>
        <w:lastRenderedPageBreak/>
        <w:t xml:space="preserve">Grafiku X: </w:t>
      </w:r>
      <w:r w:rsidRPr="00C86295">
        <w:rPr>
          <w:rFonts w:asciiTheme="minorHAnsi" w:hAnsiTheme="minorHAnsi"/>
          <w:b w:val="0"/>
          <w:bCs w:val="0"/>
          <w:i/>
          <w:color w:val="auto"/>
          <w:sz w:val="22"/>
          <w:szCs w:val="24"/>
          <w:highlight w:val="yellow"/>
          <w:lang w:val="sq-AL"/>
        </w:rPr>
        <w:t>Stoku i detyrimeve të prapambetura qendrore sipas zërave kryesorë</w:t>
      </w:r>
    </w:p>
    <w:p w:rsidR="000A2E8B" w:rsidRPr="000A2E8B" w:rsidRDefault="000A2E8B" w:rsidP="00F07CFC">
      <w:pPr>
        <w:spacing w:line="276" w:lineRule="auto"/>
        <w:jc w:val="center"/>
        <w:rPr>
          <w:rFonts w:asciiTheme="minorHAnsi" w:hAnsiTheme="minorHAnsi"/>
          <w:lang w:val="sq-AL"/>
        </w:rPr>
      </w:pPr>
      <w:r w:rsidRPr="000A2E8B">
        <w:rPr>
          <w:rFonts w:asciiTheme="minorHAnsi" w:hAnsiTheme="minorHAnsi"/>
          <w:noProof/>
        </w:rPr>
        <w:drawing>
          <wp:inline distT="0" distB="0" distL="0" distR="0" wp14:anchorId="1AF22A03" wp14:editId="5742844A">
            <wp:extent cx="5143500" cy="24219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52390" cy="2426101"/>
                    </a:xfrm>
                    <a:prstGeom prst="rect">
                      <a:avLst/>
                    </a:prstGeom>
                    <a:noFill/>
                  </pic:spPr>
                </pic:pic>
              </a:graphicData>
            </a:graphic>
          </wp:inline>
        </w:drawing>
      </w:r>
    </w:p>
    <w:p w:rsidR="000A2E8B" w:rsidRPr="00F07CFC" w:rsidRDefault="000A2E8B" w:rsidP="000A2E8B">
      <w:pPr>
        <w:spacing w:line="276" w:lineRule="auto"/>
        <w:ind w:firstLine="720"/>
        <w:rPr>
          <w:rFonts w:asciiTheme="minorHAnsi" w:eastAsia="SimSun" w:hAnsiTheme="minorHAnsi"/>
          <w:i/>
          <w:sz w:val="20"/>
          <w:lang w:val="sq-AL"/>
        </w:rPr>
      </w:pPr>
      <w:r w:rsidRPr="00F07CFC">
        <w:rPr>
          <w:rFonts w:asciiTheme="minorHAnsi" w:eastAsia="SimSun" w:hAnsiTheme="minorHAnsi"/>
          <w:i/>
          <w:sz w:val="20"/>
          <w:lang w:val="sq-AL"/>
        </w:rPr>
        <w:t>Burimi: Ministria e Financave dhe Ekonomisë (2021)</w:t>
      </w:r>
    </w:p>
    <w:p w:rsidR="00FC6E77" w:rsidRPr="004C6F8D" w:rsidRDefault="00FC6E77" w:rsidP="00342E35">
      <w:pPr>
        <w:spacing w:line="276" w:lineRule="auto"/>
        <w:ind w:left="450"/>
        <w:contextualSpacing/>
        <w:jc w:val="both"/>
        <w:rPr>
          <w:rFonts w:asciiTheme="minorHAnsi" w:hAnsiTheme="minorHAnsi"/>
          <w:i/>
          <w:sz w:val="8"/>
          <w:lang w:val="sq-AL"/>
        </w:rPr>
      </w:pPr>
    </w:p>
    <w:p w:rsidR="00562780" w:rsidRPr="00CB14F3" w:rsidRDefault="00562780" w:rsidP="007F0B61">
      <w:pPr>
        <w:pStyle w:val="Heading2"/>
        <w:numPr>
          <w:ilvl w:val="0"/>
          <w:numId w:val="54"/>
        </w:numPr>
        <w:ind w:hanging="720"/>
        <w:rPr>
          <w:sz w:val="26"/>
          <w:szCs w:val="26"/>
        </w:rPr>
      </w:pPr>
      <w:bookmarkStart w:id="84" w:name="_Toc76470033"/>
      <w:r w:rsidRPr="00CB14F3">
        <w:rPr>
          <w:sz w:val="26"/>
          <w:szCs w:val="26"/>
        </w:rPr>
        <w:t xml:space="preserve">Vendimet gjyqësore </w:t>
      </w:r>
      <w:r w:rsidR="00FC6E77" w:rsidRPr="00CB14F3">
        <w:rPr>
          <w:sz w:val="26"/>
          <w:szCs w:val="26"/>
        </w:rPr>
        <w:t>ADMINISTRATIVE,</w:t>
      </w:r>
      <w:r w:rsidRPr="00CB14F3">
        <w:rPr>
          <w:sz w:val="26"/>
          <w:szCs w:val="26"/>
        </w:rPr>
        <w:t xml:space="preserve"> të formës së prerë</w:t>
      </w:r>
      <w:bookmarkEnd w:id="84"/>
    </w:p>
    <w:p w:rsidR="00FC6E77" w:rsidRPr="00994E0F" w:rsidRDefault="00FC6E77" w:rsidP="00FC6E77">
      <w:pPr>
        <w:spacing w:before="240" w:after="200" w:line="276" w:lineRule="auto"/>
        <w:contextualSpacing/>
        <w:jc w:val="both"/>
        <w:rPr>
          <w:rFonts w:asciiTheme="minorHAnsi" w:eastAsia="Calibri" w:hAnsiTheme="minorHAnsi"/>
          <w:bCs/>
          <w:lang w:val="sq-AL" w:eastAsia="sq-AL"/>
        </w:rPr>
      </w:pPr>
      <w:r w:rsidRPr="00994E0F">
        <w:rPr>
          <w:rFonts w:asciiTheme="minorHAnsi" w:eastAsia="Calibri" w:hAnsiTheme="minorHAnsi"/>
          <w:bCs/>
          <w:lang w:val="sq-AL" w:eastAsia="sq-AL"/>
        </w:rPr>
        <w:t xml:space="preserve">Këto vendime kanë kryesisht në sfond largimet e padrejta nga puna të ish-punonjësve, të cilat në çdo rast implikojnë kosto buxhetore të paparashikuara. Këto detyrime monitorohen dhe raportohen nga Ministria e Financave dhe Ekonomisë, në kuadër të monitorimit të përgjithshëm të detyrimeve të prapambetura. </w:t>
      </w:r>
    </w:p>
    <w:p w:rsidR="00FC6E77" w:rsidRPr="00994E0F" w:rsidRDefault="00FC6E77" w:rsidP="00FC6E77">
      <w:pPr>
        <w:spacing w:before="240" w:after="200" w:line="276" w:lineRule="auto"/>
        <w:contextualSpacing/>
        <w:jc w:val="both"/>
        <w:rPr>
          <w:rFonts w:asciiTheme="minorHAnsi" w:eastAsia="Calibri" w:hAnsiTheme="minorHAnsi"/>
          <w:bCs/>
          <w:sz w:val="8"/>
          <w:szCs w:val="8"/>
          <w:lang w:val="sq-AL" w:eastAsia="sq-AL"/>
        </w:rPr>
      </w:pPr>
    </w:p>
    <w:p w:rsidR="00FC6E77" w:rsidRPr="00994E0F" w:rsidRDefault="00FC6E77" w:rsidP="00FC6E77">
      <w:pPr>
        <w:spacing w:before="240" w:after="200" w:line="276" w:lineRule="auto"/>
        <w:contextualSpacing/>
        <w:jc w:val="both"/>
        <w:rPr>
          <w:rFonts w:asciiTheme="minorHAnsi" w:eastAsia="Calibri" w:hAnsiTheme="minorHAnsi"/>
          <w:bCs/>
          <w:lang w:val="sq-AL" w:eastAsia="sq-AL"/>
        </w:rPr>
      </w:pPr>
      <w:r w:rsidRPr="00994E0F">
        <w:rPr>
          <w:rFonts w:asciiTheme="minorHAnsi" w:eastAsia="Calibri" w:hAnsiTheme="minorHAnsi"/>
          <w:bCs/>
          <w:lang w:val="sq-AL" w:eastAsia="sq-AL"/>
        </w:rPr>
        <w:t>Ministria e Financave dhe Ekonomisë, për t’i paraprirë akumulimit të tyre në kohë, përveç një monitorimi periodik, vazhdimisht i ka bërë apel aftësisë menaxhuese të vetë institucioneve buxhetore, përmes aplikimit me këste të pagesës për përfituesit apo instrumentave të tjerë të lehtësimit d</w:t>
      </w:r>
      <w:r>
        <w:rPr>
          <w:rFonts w:asciiTheme="minorHAnsi" w:eastAsia="Calibri" w:hAnsiTheme="minorHAnsi"/>
          <w:bCs/>
          <w:lang w:val="sq-AL" w:eastAsia="sq-AL"/>
        </w:rPr>
        <w:t>he/ose zhvendosjes në kohë të</w:t>
      </w:r>
      <w:r w:rsidRPr="00994E0F">
        <w:rPr>
          <w:rFonts w:asciiTheme="minorHAnsi" w:eastAsia="Calibri" w:hAnsiTheme="minorHAnsi"/>
          <w:bCs/>
          <w:lang w:val="sq-AL" w:eastAsia="sq-AL"/>
        </w:rPr>
        <w:t xml:space="preserve"> barrës së tyre buxhetore. Grafiku i mëposhtëm paraqet ecurinë e nivelit të detyrimeve të prapambetura për vendime gjyqësore deri në Mars 202</w:t>
      </w:r>
      <w:r w:rsidR="007721CE">
        <w:rPr>
          <w:rFonts w:asciiTheme="minorHAnsi" w:eastAsia="Calibri" w:hAnsiTheme="minorHAnsi"/>
          <w:bCs/>
          <w:lang w:val="sq-AL" w:eastAsia="sq-AL"/>
        </w:rPr>
        <w:t>1</w:t>
      </w:r>
      <w:r w:rsidRPr="00994E0F">
        <w:rPr>
          <w:rFonts w:asciiTheme="minorHAnsi" w:eastAsia="Calibri" w:hAnsiTheme="minorHAnsi"/>
          <w:bCs/>
          <w:lang w:val="sq-AL" w:eastAsia="sq-AL"/>
        </w:rPr>
        <w:t>, mbi bazë tremujore.</w:t>
      </w:r>
      <w:r>
        <w:rPr>
          <w:rFonts w:asciiTheme="minorHAnsi" w:eastAsia="Calibri" w:hAnsiTheme="minorHAnsi"/>
          <w:bCs/>
          <w:lang w:val="sq-AL" w:eastAsia="sq-AL"/>
        </w:rPr>
        <w:t xml:space="preserve"> </w:t>
      </w:r>
    </w:p>
    <w:p w:rsidR="00FC6E77" w:rsidRPr="00FC6E77" w:rsidRDefault="00FC6E77" w:rsidP="00FC6E77">
      <w:pPr>
        <w:pStyle w:val="Caption"/>
        <w:spacing w:after="0" w:line="276" w:lineRule="auto"/>
        <w:jc w:val="both"/>
        <w:rPr>
          <w:rFonts w:asciiTheme="minorHAnsi" w:hAnsiTheme="minorHAnsi"/>
          <w:b w:val="0"/>
          <w:bCs w:val="0"/>
          <w:i/>
          <w:color w:val="auto"/>
          <w:sz w:val="22"/>
          <w:szCs w:val="24"/>
          <w:lang w:val="sq-AL"/>
        </w:rPr>
      </w:pPr>
      <w:r w:rsidRPr="00FC6E77">
        <w:rPr>
          <w:rFonts w:asciiTheme="minorHAnsi" w:hAnsiTheme="minorHAnsi"/>
          <w:b w:val="0"/>
          <w:bCs w:val="0"/>
          <w:i/>
          <w:color w:val="auto"/>
          <w:sz w:val="22"/>
          <w:szCs w:val="24"/>
          <w:lang w:val="sq-AL"/>
        </w:rPr>
        <w:t>Grafiku X: Ecuria e detyrimeve të prapambetura për vendime gjyqësore (në milionë Lek)</w:t>
      </w:r>
    </w:p>
    <w:p w:rsidR="00FC6E77" w:rsidRDefault="00FC6E77" w:rsidP="00FC6E77">
      <w:pPr>
        <w:spacing w:line="276" w:lineRule="auto"/>
        <w:contextualSpacing/>
        <w:jc w:val="center"/>
        <w:rPr>
          <w:rFonts w:asciiTheme="minorHAnsi" w:eastAsia="Calibri" w:hAnsiTheme="minorHAnsi"/>
          <w:bCs/>
          <w:lang w:val="sq-AL" w:eastAsia="sq-AL"/>
        </w:rPr>
      </w:pPr>
      <w:r w:rsidRPr="00FC6E77">
        <w:rPr>
          <w:rFonts w:asciiTheme="minorHAnsi" w:eastAsia="Calibri" w:hAnsiTheme="minorHAnsi"/>
          <w:bCs/>
          <w:noProof/>
          <w:sz w:val="20"/>
        </w:rPr>
        <w:drawing>
          <wp:inline distT="0" distB="0" distL="0" distR="0" wp14:anchorId="2DD9E480" wp14:editId="1B1FBF45">
            <wp:extent cx="5798820" cy="1577340"/>
            <wp:effectExtent l="0" t="0" r="0" b="381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98820" cy="1577340"/>
                    </a:xfrm>
                    <a:prstGeom prst="rect">
                      <a:avLst/>
                    </a:prstGeom>
                    <a:noFill/>
                  </pic:spPr>
                </pic:pic>
              </a:graphicData>
            </a:graphic>
          </wp:inline>
        </w:drawing>
      </w:r>
    </w:p>
    <w:p w:rsidR="00FC6E77" w:rsidRDefault="00FC6E77" w:rsidP="00FC6E77">
      <w:pPr>
        <w:spacing w:line="276" w:lineRule="auto"/>
        <w:ind w:firstLine="720"/>
        <w:rPr>
          <w:rFonts w:asciiTheme="minorHAnsi" w:eastAsia="SimSun" w:hAnsiTheme="minorHAnsi"/>
          <w:i/>
          <w:sz w:val="20"/>
          <w:szCs w:val="20"/>
          <w:lang w:val="sq-AL"/>
        </w:rPr>
      </w:pPr>
      <w:r w:rsidRPr="0064168E">
        <w:rPr>
          <w:rFonts w:asciiTheme="minorHAnsi" w:eastAsia="SimSun" w:hAnsiTheme="minorHAnsi"/>
          <w:i/>
          <w:sz w:val="20"/>
          <w:szCs w:val="20"/>
          <w:lang w:val="sq-AL"/>
        </w:rPr>
        <w:t>Burimi: Ministria</w:t>
      </w:r>
      <w:r>
        <w:rPr>
          <w:rFonts w:asciiTheme="minorHAnsi" w:eastAsia="SimSun" w:hAnsiTheme="minorHAnsi"/>
          <w:i/>
          <w:sz w:val="20"/>
          <w:szCs w:val="20"/>
          <w:lang w:val="sq-AL"/>
        </w:rPr>
        <w:t xml:space="preserve"> e Financave dhe Ekonomisë (2021</w:t>
      </w:r>
      <w:r w:rsidRPr="0064168E">
        <w:rPr>
          <w:rFonts w:asciiTheme="minorHAnsi" w:eastAsia="SimSun" w:hAnsiTheme="minorHAnsi"/>
          <w:i/>
          <w:sz w:val="20"/>
          <w:szCs w:val="20"/>
          <w:lang w:val="sq-AL"/>
        </w:rPr>
        <w:t>)</w:t>
      </w:r>
    </w:p>
    <w:p w:rsidR="00932560" w:rsidRPr="00932560" w:rsidRDefault="00932560" w:rsidP="00FC6E77">
      <w:pPr>
        <w:spacing w:before="120" w:line="276" w:lineRule="auto"/>
        <w:contextualSpacing/>
        <w:jc w:val="both"/>
        <w:rPr>
          <w:rFonts w:asciiTheme="minorHAnsi" w:hAnsiTheme="minorHAnsi"/>
          <w:sz w:val="8"/>
          <w:szCs w:val="8"/>
          <w:lang w:val="sq-AL"/>
        </w:rPr>
      </w:pPr>
    </w:p>
    <w:p w:rsidR="00FC6E77" w:rsidRDefault="00FC6E77" w:rsidP="00FC6E77">
      <w:pPr>
        <w:spacing w:before="120" w:line="276" w:lineRule="auto"/>
        <w:contextualSpacing/>
        <w:jc w:val="both"/>
        <w:rPr>
          <w:rFonts w:asciiTheme="minorHAnsi" w:hAnsiTheme="minorHAnsi"/>
          <w:lang w:val="sq-AL"/>
        </w:rPr>
      </w:pPr>
      <w:r w:rsidRPr="002775F4">
        <w:rPr>
          <w:rFonts w:asciiTheme="minorHAnsi" w:hAnsiTheme="minorHAnsi"/>
          <w:lang w:val="sq-AL"/>
        </w:rPr>
        <w:t>Ministria e Financave dhe Ekonomisë i ka sugjeruar të gjitha njësive të auditimit të brendshëm në sektorin publik që në “</w:t>
      </w:r>
      <w:r w:rsidRPr="002775F4">
        <w:rPr>
          <w:rFonts w:asciiTheme="minorHAnsi" w:hAnsiTheme="minorHAnsi"/>
          <w:i/>
          <w:lang w:val="sq-AL"/>
        </w:rPr>
        <w:t>Planin strategjik dhe vjetor të veprimtarisë audituese për vitet 2018 – 2020</w:t>
      </w:r>
      <w:r w:rsidRPr="002775F4">
        <w:rPr>
          <w:rFonts w:asciiTheme="minorHAnsi" w:hAnsiTheme="minorHAnsi"/>
          <w:lang w:val="sq-AL"/>
        </w:rPr>
        <w:t xml:space="preserve">” të përfshijnë angazhime auditimi për analizimin dhe vlerësimin e situatës së detyrimeve të prapambetura të njësive publike. Kjo, përsa kohë që detyrimet e prapambetura janë përcaktuar si fushë me risk të lartë dhe duhet të trajtohen me përparësi nga auditimi i brendshëm i njësive publike, për të paraqituar gjendjen aktuale dhe për të dhënë rekomandime sa më të vlefshme për shlyerjen e tyre në afate të përcaktuara. </w:t>
      </w:r>
    </w:p>
    <w:p w:rsidR="00CD3B4E" w:rsidRPr="00CB14F3" w:rsidRDefault="00CD3B4E" w:rsidP="007F0B61">
      <w:pPr>
        <w:pStyle w:val="Heading2"/>
        <w:numPr>
          <w:ilvl w:val="0"/>
          <w:numId w:val="53"/>
        </w:numPr>
        <w:ind w:left="810" w:hanging="810"/>
        <w:rPr>
          <w:sz w:val="26"/>
          <w:szCs w:val="26"/>
        </w:rPr>
      </w:pPr>
      <w:bookmarkStart w:id="85" w:name="_Toc76470034"/>
      <w:r w:rsidRPr="00CB14F3">
        <w:rPr>
          <w:sz w:val="26"/>
          <w:szCs w:val="26"/>
        </w:rPr>
        <w:lastRenderedPageBreak/>
        <w:t>Detyrimet e prapambetura për njësitë e vetëqeverisjes VENDORE</w:t>
      </w:r>
      <w:bookmarkEnd w:id="85"/>
    </w:p>
    <w:p w:rsidR="00F07CFC" w:rsidRDefault="00CD3B4E" w:rsidP="00CD3B4E">
      <w:pPr>
        <w:spacing w:before="240" w:line="276" w:lineRule="auto"/>
        <w:jc w:val="both"/>
        <w:rPr>
          <w:rFonts w:asciiTheme="minorHAnsi" w:hAnsiTheme="minorHAnsi" w:cstheme="minorHAnsi"/>
        </w:rPr>
      </w:pPr>
      <w:r w:rsidRPr="00CB14F3">
        <w:rPr>
          <w:rFonts w:asciiTheme="minorHAnsi" w:hAnsiTheme="minorHAnsi" w:cstheme="minorHAnsi"/>
        </w:rPr>
        <w:t xml:space="preserve">Stoku i detyrimeve të prapambetura në fund të muajit Mars 2021, i cili parashikohet të shlyhet në një periudhë afatmesme, bazuar në planin e shlyerjes së dërguar nga të gjitha bashkitë në Ministrinë e Financave dhe Ekonomisë është rreth 6.88 miliard LEK. </w:t>
      </w:r>
    </w:p>
    <w:p w:rsidR="00F07CFC" w:rsidRDefault="00CD3B4E" w:rsidP="00CD3B4E">
      <w:pPr>
        <w:spacing w:before="240" w:line="276" w:lineRule="auto"/>
        <w:jc w:val="both"/>
        <w:rPr>
          <w:rFonts w:asciiTheme="minorHAnsi" w:hAnsiTheme="minorHAnsi" w:cstheme="minorHAnsi"/>
        </w:rPr>
      </w:pPr>
      <w:r w:rsidRPr="00CB14F3">
        <w:rPr>
          <w:rFonts w:asciiTheme="minorHAnsi" w:hAnsiTheme="minorHAnsi" w:cstheme="minorHAnsi"/>
        </w:rPr>
        <w:t xml:space="preserve">Vlera neto e stokut të detyrimeve të prapambetura është ulur me rreth 180 milion LEK, krahasuar me vlerën e detyrimeve të raportuar në tremujorin e fundit të vitit 2020.  </w:t>
      </w:r>
    </w:p>
    <w:p w:rsidR="00CD3B4E" w:rsidRPr="00CB14F3" w:rsidRDefault="00CD3B4E" w:rsidP="00CD3B4E">
      <w:pPr>
        <w:spacing w:before="240" w:line="276" w:lineRule="auto"/>
        <w:jc w:val="both"/>
        <w:rPr>
          <w:rFonts w:asciiTheme="minorHAnsi" w:hAnsiTheme="minorHAnsi" w:cstheme="minorHAnsi"/>
        </w:rPr>
      </w:pPr>
      <w:r w:rsidRPr="00CB14F3">
        <w:rPr>
          <w:rFonts w:asciiTheme="minorHAnsi" w:hAnsiTheme="minorHAnsi" w:cstheme="minorHAnsi"/>
        </w:rPr>
        <w:t xml:space="preserve">Sipas kategorive, rezulton që: </w:t>
      </w:r>
    </w:p>
    <w:p w:rsidR="00CD3B4E" w:rsidRPr="00F07CFC" w:rsidRDefault="00CD3B4E" w:rsidP="00F07CFC">
      <w:pPr>
        <w:pStyle w:val="ListParagraph"/>
        <w:numPr>
          <w:ilvl w:val="0"/>
          <w:numId w:val="49"/>
        </w:numPr>
        <w:spacing w:line="276" w:lineRule="auto"/>
        <w:contextualSpacing w:val="0"/>
        <w:jc w:val="both"/>
        <w:rPr>
          <w:rFonts w:asciiTheme="minorHAnsi" w:hAnsiTheme="minorHAnsi" w:cstheme="minorHAnsi"/>
          <w:i/>
        </w:rPr>
      </w:pPr>
      <w:r w:rsidRPr="00F07CFC">
        <w:rPr>
          <w:rFonts w:asciiTheme="minorHAnsi" w:hAnsiTheme="minorHAnsi" w:cstheme="minorHAnsi"/>
          <w:i/>
        </w:rPr>
        <w:t>Investimet zënë peshën më të madhe të stokut të detyrimit me rreth 55%;</w:t>
      </w:r>
    </w:p>
    <w:p w:rsidR="00CD3B4E" w:rsidRPr="00F07CFC" w:rsidRDefault="00CD3B4E" w:rsidP="00F07CFC">
      <w:pPr>
        <w:pStyle w:val="ListParagraph"/>
        <w:numPr>
          <w:ilvl w:val="0"/>
          <w:numId w:val="49"/>
        </w:numPr>
        <w:spacing w:line="276" w:lineRule="auto"/>
        <w:contextualSpacing w:val="0"/>
        <w:jc w:val="both"/>
        <w:rPr>
          <w:rFonts w:asciiTheme="minorHAnsi" w:hAnsiTheme="minorHAnsi" w:cstheme="minorHAnsi"/>
          <w:i/>
        </w:rPr>
      </w:pPr>
      <w:r w:rsidRPr="00F07CFC">
        <w:rPr>
          <w:rFonts w:asciiTheme="minorHAnsi" w:hAnsiTheme="minorHAnsi" w:cstheme="minorHAnsi"/>
          <w:i/>
        </w:rPr>
        <w:t>Vendimet Gjyqësore rreth 12%;</w:t>
      </w:r>
    </w:p>
    <w:p w:rsidR="00CD3B4E" w:rsidRPr="00F07CFC" w:rsidRDefault="00CD3B4E" w:rsidP="00F07CFC">
      <w:pPr>
        <w:pStyle w:val="ListParagraph"/>
        <w:numPr>
          <w:ilvl w:val="0"/>
          <w:numId w:val="49"/>
        </w:numPr>
        <w:spacing w:line="276" w:lineRule="auto"/>
        <w:contextualSpacing w:val="0"/>
        <w:jc w:val="both"/>
        <w:rPr>
          <w:rFonts w:asciiTheme="minorHAnsi" w:hAnsiTheme="minorHAnsi" w:cstheme="minorHAnsi"/>
          <w:i/>
        </w:rPr>
      </w:pPr>
      <w:r w:rsidRPr="00F07CFC">
        <w:rPr>
          <w:rFonts w:asciiTheme="minorHAnsi" w:hAnsiTheme="minorHAnsi" w:cstheme="minorHAnsi"/>
          <w:i/>
        </w:rPr>
        <w:t>Shërbimet rreth 9%;</w:t>
      </w:r>
    </w:p>
    <w:p w:rsidR="00CD3B4E" w:rsidRPr="00F07CFC" w:rsidRDefault="00CD3B4E" w:rsidP="00F07CFC">
      <w:pPr>
        <w:pStyle w:val="ListParagraph"/>
        <w:numPr>
          <w:ilvl w:val="0"/>
          <w:numId w:val="49"/>
        </w:numPr>
        <w:spacing w:line="276" w:lineRule="auto"/>
        <w:contextualSpacing w:val="0"/>
        <w:jc w:val="both"/>
        <w:rPr>
          <w:rFonts w:asciiTheme="minorHAnsi" w:hAnsiTheme="minorHAnsi" w:cstheme="minorHAnsi"/>
          <w:i/>
        </w:rPr>
      </w:pPr>
      <w:r w:rsidRPr="00F07CFC">
        <w:rPr>
          <w:rFonts w:asciiTheme="minorHAnsi" w:hAnsiTheme="minorHAnsi" w:cstheme="minorHAnsi"/>
          <w:i/>
        </w:rPr>
        <w:t>Mirëmbajtje rreth 3%;</w:t>
      </w:r>
    </w:p>
    <w:p w:rsidR="00CD3B4E" w:rsidRPr="00F07CFC" w:rsidRDefault="00CD3B4E" w:rsidP="00F07CFC">
      <w:pPr>
        <w:pStyle w:val="ListParagraph"/>
        <w:numPr>
          <w:ilvl w:val="0"/>
          <w:numId w:val="49"/>
        </w:numPr>
        <w:spacing w:line="276" w:lineRule="auto"/>
        <w:contextualSpacing w:val="0"/>
        <w:jc w:val="both"/>
        <w:rPr>
          <w:rFonts w:asciiTheme="minorHAnsi" w:hAnsiTheme="minorHAnsi" w:cstheme="minorHAnsi"/>
          <w:i/>
        </w:rPr>
      </w:pPr>
      <w:r w:rsidRPr="00F07CFC">
        <w:rPr>
          <w:rFonts w:asciiTheme="minorHAnsi" w:hAnsiTheme="minorHAnsi" w:cstheme="minorHAnsi"/>
          <w:i/>
        </w:rPr>
        <w:t xml:space="preserve">Mallra me 5%, </w:t>
      </w:r>
    </w:p>
    <w:p w:rsidR="00CD3B4E" w:rsidRPr="00F07CFC" w:rsidRDefault="00CD3B4E" w:rsidP="00F07CFC">
      <w:pPr>
        <w:pStyle w:val="ListParagraph"/>
        <w:numPr>
          <w:ilvl w:val="0"/>
          <w:numId w:val="49"/>
        </w:numPr>
        <w:spacing w:line="276" w:lineRule="auto"/>
        <w:contextualSpacing w:val="0"/>
        <w:jc w:val="both"/>
        <w:rPr>
          <w:rFonts w:asciiTheme="minorHAnsi" w:hAnsiTheme="minorHAnsi" w:cstheme="minorHAnsi"/>
          <w:i/>
        </w:rPr>
      </w:pPr>
      <w:r w:rsidRPr="00F07CFC">
        <w:rPr>
          <w:rFonts w:asciiTheme="minorHAnsi" w:hAnsiTheme="minorHAnsi" w:cstheme="minorHAnsi"/>
          <w:i/>
        </w:rPr>
        <w:t>Detyrime të prapambetura të tjera me rreth 15%;</w:t>
      </w:r>
    </w:p>
    <w:p w:rsidR="00F07CFC" w:rsidRPr="00F07CFC" w:rsidRDefault="00F07CFC" w:rsidP="00CD3B4E">
      <w:pPr>
        <w:pStyle w:val="Caption"/>
        <w:spacing w:after="0" w:line="276" w:lineRule="auto"/>
        <w:rPr>
          <w:rFonts w:asciiTheme="minorHAnsi" w:hAnsiTheme="minorHAnsi"/>
          <w:b w:val="0"/>
          <w:bCs w:val="0"/>
          <w:i/>
          <w:color w:val="auto"/>
          <w:sz w:val="12"/>
          <w:szCs w:val="8"/>
          <w:lang w:val="sq-AL"/>
        </w:rPr>
      </w:pPr>
    </w:p>
    <w:p w:rsidR="00CD3B4E" w:rsidRPr="00C86295" w:rsidRDefault="00CD3B4E" w:rsidP="00CD3B4E">
      <w:pPr>
        <w:pStyle w:val="Caption"/>
        <w:spacing w:after="0" w:line="276" w:lineRule="auto"/>
        <w:rPr>
          <w:rFonts w:asciiTheme="minorHAnsi" w:hAnsiTheme="minorHAnsi"/>
          <w:b w:val="0"/>
          <w:bCs w:val="0"/>
          <w:i/>
          <w:color w:val="auto"/>
          <w:sz w:val="22"/>
          <w:szCs w:val="24"/>
          <w:lang w:val="sq-AL"/>
        </w:rPr>
      </w:pPr>
      <w:r w:rsidRPr="00C86295">
        <w:rPr>
          <w:rFonts w:asciiTheme="minorHAnsi" w:hAnsiTheme="minorHAnsi"/>
          <w:b w:val="0"/>
          <w:bCs w:val="0"/>
          <w:i/>
          <w:color w:val="auto"/>
          <w:sz w:val="22"/>
          <w:szCs w:val="24"/>
          <w:lang w:val="sq-AL"/>
        </w:rPr>
        <w:t>Grafiku X: Stoku i detyrimeve të prapambetura vendore sipas zerave kryesorë</w:t>
      </w:r>
    </w:p>
    <w:p w:rsidR="00CD3B4E" w:rsidRPr="000A2E8B" w:rsidRDefault="00CD3B4E" w:rsidP="00CD3B4E">
      <w:pPr>
        <w:spacing w:before="120" w:line="276" w:lineRule="auto"/>
        <w:contextualSpacing/>
        <w:jc w:val="center"/>
        <w:rPr>
          <w:rFonts w:asciiTheme="minorHAnsi" w:hAnsiTheme="minorHAnsi"/>
          <w:lang w:val="sq-AL"/>
        </w:rPr>
      </w:pPr>
      <w:r w:rsidRPr="000A2E8B">
        <w:rPr>
          <w:rFonts w:asciiTheme="minorHAnsi" w:hAnsiTheme="minorHAnsi"/>
          <w:noProof/>
        </w:rPr>
        <w:drawing>
          <wp:inline distT="0" distB="0" distL="0" distR="0" wp14:anchorId="2BF97975" wp14:editId="1CB54A9C">
            <wp:extent cx="5829300" cy="2893293"/>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78579" cy="2917752"/>
                    </a:xfrm>
                    <a:prstGeom prst="rect">
                      <a:avLst/>
                    </a:prstGeom>
                    <a:noFill/>
                  </pic:spPr>
                </pic:pic>
              </a:graphicData>
            </a:graphic>
          </wp:inline>
        </w:drawing>
      </w:r>
    </w:p>
    <w:p w:rsidR="00CD3B4E" w:rsidRPr="00F07CFC" w:rsidRDefault="00CD3B4E" w:rsidP="00F07CFC">
      <w:pPr>
        <w:spacing w:line="276" w:lineRule="auto"/>
        <w:rPr>
          <w:rFonts w:asciiTheme="minorHAnsi" w:eastAsia="SimSun" w:hAnsiTheme="minorHAnsi"/>
          <w:i/>
          <w:sz w:val="20"/>
          <w:lang w:val="sq-AL"/>
        </w:rPr>
      </w:pPr>
      <w:r w:rsidRPr="00F07CFC">
        <w:rPr>
          <w:rFonts w:asciiTheme="minorHAnsi" w:eastAsia="SimSun" w:hAnsiTheme="minorHAnsi"/>
          <w:i/>
          <w:sz w:val="20"/>
          <w:lang w:val="sq-AL"/>
        </w:rPr>
        <w:t>Burimi: Ministria e Financave dhe Ekonomisë (2021)</w:t>
      </w:r>
    </w:p>
    <w:p w:rsidR="00CD3B4E" w:rsidRPr="00C86295" w:rsidRDefault="00CD3B4E" w:rsidP="00CD3B4E">
      <w:pPr>
        <w:spacing w:line="276" w:lineRule="auto"/>
        <w:jc w:val="both"/>
        <w:rPr>
          <w:rFonts w:asciiTheme="minorHAnsi" w:hAnsiTheme="minorHAnsi" w:cstheme="minorHAnsi"/>
          <w:sz w:val="12"/>
          <w:lang w:val="sq-AL"/>
        </w:rPr>
      </w:pPr>
    </w:p>
    <w:p w:rsidR="00CD3B4E" w:rsidRPr="000A2E8B" w:rsidRDefault="00CD3B4E" w:rsidP="00CD3B4E">
      <w:pPr>
        <w:spacing w:line="276" w:lineRule="auto"/>
        <w:jc w:val="both"/>
        <w:rPr>
          <w:rFonts w:asciiTheme="minorHAnsi" w:hAnsiTheme="minorHAnsi" w:cstheme="minorHAnsi"/>
          <w:lang w:val="sq-AL"/>
        </w:rPr>
      </w:pPr>
      <w:r w:rsidRPr="000A2E8B">
        <w:rPr>
          <w:rFonts w:asciiTheme="minorHAnsi" w:hAnsiTheme="minorHAnsi" w:cstheme="minorHAnsi"/>
          <w:lang w:val="sq-AL"/>
        </w:rPr>
        <w:t xml:space="preserve">Sipas informacionit të njësive të vetëqeverisjes vendore, detyrimet e krijuara rishtas gjatë tremujorit të tretë janë në proces likuidimi, dhe ndërkohë pritet likuidimi i plotë i tyre në periudhën në vazhdim. Detyrimet e krijuara rishtazi lidhen kryesisht me kategorinë “Investime”, “Shërbime” dhe “Vendime Gjyqësore”. </w:t>
      </w:r>
    </w:p>
    <w:p w:rsidR="00CD3B4E" w:rsidRPr="00C86295" w:rsidRDefault="00CD3B4E" w:rsidP="00CD3B4E">
      <w:pPr>
        <w:spacing w:line="276" w:lineRule="auto"/>
        <w:rPr>
          <w:rFonts w:asciiTheme="minorHAnsi" w:hAnsiTheme="minorHAnsi"/>
          <w:i/>
          <w:noProof/>
          <w:sz w:val="12"/>
        </w:rPr>
      </w:pPr>
    </w:p>
    <w:p w:rsidR="00CD3B4E" w:rsidRPr="00C86295" w:rsidRDefault="00CD3B4E" w:rsidP="00CD3B4E">
      <w:pPr>
        <w:spacing w:line="276" w:lineRule="auto"/>
        <w:rPr>
          <w:rFonts w:asciiTheme="minorHAnsi" w:hAnsiTheme="minorHAnsi"/>
          <w:i/>
          <w:noProof/>
          <w:sz w:val="22"/>
          <w:lang w:val="sq-AL"/>
        </w:rPr>
      </w:pPr>
      <w:r w:rsidRPr="00C86295">
        <w:rPr>
          <w:rFonts w:asciiTheme="minorHAnsi" w:hAnsiTheme="minorHAnsi"/>
          <w:i/>
          <w:noProof/>
          <w:sz w:val="22"/>
        </w:rPr>
        <w:t xml:space="preserve">Tabela </w:t>
      </w:r>
      <w:r w:rsidRPr="00C86295">
        <w:rPr>
          <w:rFonts w:asciiTheme="minorHAnsi" w:hAnsiTheme="minorHAnsi"/>
          <w:bCs/>
          <w:i/>
          <w:noProof/>
          <w:sz w:val="22"/>
        </w:rPr>
        <w:t>X</w:t>
      </w:r>
      <w:r w:rsidRPr="00C86295">
        <w:rPr>
          <w:rFonts w:asciiTheme="minorHAnsi" w:hAnsiTheme="minorHAnsi"/>
          <w:i/>
          <w:noProof/>
          <w:sz w:val="22"/>
        </w:rPr>
        <w:t xml:space="preserve">: </w:t>
      </w:r>
      <w:r w:rsidRPr="00C86295">
        <w:rPr>
          <w:rFonts w:asciiTheme="minorHAnsi" w:hAnsiTheme="minorHAnsi"/>
          <w:i/>
          <w:noProof/>
          <w:sz w:val="22"/>
          <w:lang w:val="sq-AL"/>
        </w:rPr>
        <w:t>Stoku kumulativ i përgjithshëm i detyrimeve të prapambetura krahasimor me 12M 2020</w:t>
      </w:r>
    </w:p>
    <w:p w:rsidR="00CD3B4E" w:rsidRPr="000A2E8B" w:rsidRDefault="00CD3B4E" w:rsidP="00CD3B4E">
      <w:pPr>
        <w:spacing w:line="276" w:lineRule="auto"/>
        <w:jc w:val="center"/>
        <w:rPr>
          <w:rFonts w:asciiTheme="minorHAnsi" w:hAnsiTheme="minorHAnsi"/>
          <w:i/>
          <w:noProof/>
          <w:u w:val="single"/>
          <w:lang w:val="sq-AL"/>
        </w:rPr>
      </w:pPr>
      <w:r w:rsidRPr="000A2E8B">
        <w:rPr>
          <w:rFonts w:asciiTheme="minorHAnsi" w:hAnsiTheme="minorHAnsi"/>
          <w:i/>
          <w:noProof/>
          <w:u w:val="single"/>
        </w:rPr>
        <w:drawing>
          <wp:inline distT="0" distB="0" distL="0" distR="0" wp14:anchorId="71FBF2A0" wp14:editId="6997C78D">
            <wp:extent cx="5761990" cy="944880"/>
            <wp:effectExtent l="0" t="0" r="0" b="762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91093" cy="949652"/>
                    </a:xfrm>
                    <a:prstGeom prst="rect">
                      <a:avLst/>
                    </a:prstGeom>
                    <a:noFill/>
                  </pic:spPr>
                </pic:pic>
              </a:graphicData>
            </a:graphic>
          </wp:inline>
        </w:drawing>
      </w:r>
    </w:p>
    <w:p w:rsidR="00CD3B4E" w:rsidRPr="00932560" w:rsidRDefault="00CD3B4E" w:rsidP="00CD3B4E">
      <w:pPr>
        <w:spacing w:line="276" w:lineRule="auto"/>
        <w:rPr>
          <w:rFonts w:asciiTheme="minorHAnsi" w:hAnsiTheme="minorHAnsi"/>
          <w:i/>
          <w:noProof/>
          <w:sz w:val="16"/>
          <w:u w:val="single"/>
          <w:lang w:val="sq-AL"/>
        </w:rPr>
      </w:pPr>
    </w:p>
    <w:p w:rsidR="00CD3B4E" w:rsidRPr="00932560" w:rsidRDefault="00CD3B4E" w:rsidP="00CD3B4E">
      <w:pPr>
        <w:spacing w:before="100" w:beforeAutospacing="1" w:line="276" w:lineRule="auto"/>
        <w:contextualSpacing/>
        <w:jc w:val="both"/>
        <w:rPr>
          <w:rFonts w:asciiTheme="minorHAnsi" w:hAnsiTheme="minorHAnsi" w:cstheme="minorHAnsi"/>
        </w:rPr>
      </w:pPr>
      <w:r w:rsidRPr="0068128A">
        <w:rPr>
          <w:rFonts w:asciiTheme="minorHAnsi" w:hAnsiTheme="minorHAnsi" w:cstheme="minorHAnsi"/>
        </w:rPr>
        <w:lastRenderedPageBreak/>
        <w:t xml:space="preserve">Krahasimi me 12 mujorin 2020 – </w:t>
      </w:r>
      <w:r w:rsidRPr="0068128A">
        <w:rPr>
          <w:rFonts w:asciiTheme="minorHAnsi" w:hAnsiTheme="minorHAnsi" w:cstheme="minorHAnsi"/>
          <w:lang w:val="sq-AL"/>
        </w:rPr>
        <w:t>Krahasuar me stokun e detyrimeve të raportuara për periudhën 12 mujore të vitit 2020 rezulton se niveli i përgjithshëm i detyrimeve të prapambetura është rreth 3 miliard LEK më i ulët. Megjithese kemi një rritje prej rreth 983 milion LEK të detyrimeve të njësive të qeverisjes qendrore (duke konsideruar efektin e implementimit të plotë të udhëzimit 37), detyrimet për rimbursimin e TVSH-së janë</w:t>
      </w:r>
      <w:r w:rsidRPr="00932560">
        <w:rPr>
          <w:rFonts w:asciiTheme="minorHAnsi" w:hAnsiTheme="minorHAnsi" w:cstheme="minorHAnsi"/>
          <w:lang w:val="sq-AL"/>
        </w:rPr>
        <w:t xml:space="preserve"> ulur ndjeshëm me rreth 3,88 miliard LEK në tre mujorin e parë të vitit 2021.</w:t>
      </w:r>
    </w:p>
    <w:p w:rsidR="00CD3B4E" w:rsidRPr="00C86295" w:rsidRDefault="00CD3B4E" w:rsidP="00F07CFC">
      <w:pPr>
        <w:pStyle w:val="Caption"/>
        <w:spacing w:before="240" w:after="0" w:line="276" w:lineRule="auto"/>
        <w:jc w:val="both"/>
        <w:rPr>
          <w:rFonts w:asciiTheme="minorHAnsi" w:hAnsiTheme="minorHAnsi"/>
          <w:b w:val="0"/>
          <w:bCs w:val="0"/>
          <w:i/>
          <w:noProof/>
          <w:color w:val="auto"/>
          <w:sz w:val="22"/>
          <w:szCs w:val="24"/>
        </w:rPr>
      </w:pPr>
      <w:r w:rsidRPr="00C86295">
        <w:rPr>
          <w:rFonts w:asciiTheme="minorHAnsi" w:hAnsiTheme="minorHAnsi"/>
          <w:b w:val="0"/>
          <w:bCs w:val="0"/>
          <w:i/>
          <w:noProof/>
          <w:color w:val="auto"/>
          <w:sz w:val="22"/>
          <w:szCs w:val="24"/>
        </w:rPr>
        <w:t xml:space="preserve">Tabela X: </w:t>
      </w:r>
      <w:r w:rsidRPr="00C86295">
        <w:rPr>
          <w:rFonts w:asciiTheme="minorHAnsi" w:hAnsiTheme="minorHAnsi"/>
          <w:b w:val="0"/>
          <w:bCs w:val="0"/>
          <w:i/>
          <w:noProof/>
          <w:color w:val="auto"/>
          <w:sz w:val="22"/>
          <w:szCs w:val="24"/>
          <w:lang w:val="sq-AL"/>
        </w:rPr>
        <w:t xml:space="preserve">Stoku kumulativ sipas natyrës </w:t>
      </w:r>
      <w:r w:rsidRPr="00C86295">
        <w:rPr>
          <w:rFonts w:asciiTheme="minorHAnsi" w:hAnsiTheme="minorHAnsi"/>
          <w:b w:val="0"/>
          <w:bCs w:val="0"/>
          <w:i/>
          <w:noProof/>
          <w:color w:val="auto"/>
          <w:sz w:val="22"/>
          <w:szCs w:val="24"/>
        </w:rPr>
        <w:t>deri në Mars 2021</w:t>
      </w:r>
    </w:p>
    <w:p w:rsidR="00CD3B4E" w:rsidRPr="00C86295" w:rsidRDefault="00CD3B4E" w:rsidP="00CD3B4E">
      <w:pPr>
        <w:spacing w:line="276" w:lineRule="auto"/>
        <w:jc w:val="both"/>
        <w:rPr>
          <w:rFonts w:asciiTheme="minorHAnsi" w:hAnsiTheme="minorHAnsi"/>
          <w:i/>
          <w:noProof/>
          <w:sz w:val="8"/>
          <w:u w:val="single"/>
          <w:lang w:val="sq-AL"/>
        </w:rPr>
      </w:pPr>
    </w:p>
    <w:p w:rsidR="00CD3B4E" w:rsidRPr="000A2E8B" w:rsidRDefault="00CD3B4E" w:rsidP="00CD3B4E">
      <w:pPr>
        <w:spacing w:line="276" w:lineRule="auto"/>
        <w:jc w:val="center"/>
        <w:rPr>
          <w:rFonts w:asciiTheme="minorHAnsi" w:hAnsiTheme="minorHAnsi"/>
          <w:i/>
          <w:noProof/>
          <w:u w:val="single"/>
          <w:lang w:val="sq-AL"/>
        </w:rPr>
      </w:pPr>
      <w:r w:rsidRPr="00C86295">
        <w:rPr>
          <w:rFonts w:asciiTheme="minorHAnsi" w:hAnsiTheme="minorHAnsi"/>
          <w:i/>
          <w:noProof/>
          <w:u w:val="single"/>
        </w:rPr>
        <w:drawing>
          <wp:inline distT="0" distB="0" distL="0" distR="0" wp14:anchorId="7ECF6DEC" wp14:editId="76B8E0AE">
            <wp:extent cx="5734685" cy="2354580"/>
            <wp:effectExtent l="0" t="0" r="0" b="762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8428" cy="2356117"/>
                    </a:xfrm>
                    <a:prstGeom prst="rect">
                      <a:avLst/>
                    </a:prstGeom>
                    <a:noFill/>
                  </pic:spPr>
                </pic:pic>
              </a:graphicData>
            </a:graphic>
          </wp:inline>
        </w:drawing>
      </w:r>
    </w:p>
    <w:p w:rsidR="00CD3B4E" w:rsidRPr="00F07CFC" w:rsidRDefault="00CD3B4E" w:rsidP="00CD3B4E">
      <w:pPr>
        <w:pStyle w:val="Caption"/>
        <w:spacing w:after="0" w:line="276" w:lineRule="auto"/>
        <w:rPr>
          <w:rFonts w:asciiTheme="minorHAnsi" w:hAnsiTheme="minorHAnsi"/>
          <w:b w:val="0"/>
          <w:bCs w:val="0"/>
          <w:i/>
          <w:color w:val="auto"/>
          <w:sz w:val="12"/>
          <w:szCs w:val="24"/>
          <w:lang w:val="sq-AL"/>
        </w:rPr>
      </w:pPr>
    </w:p>
    <w:p w:rsidR="00CD3B4E" w:rsidRPr="00C86295" w:rsidRDefault="00CD3B4E" w:rsidP="00CD3B4E">
      <w:pPr>
        <w:pStyle w:val="Caption"/>
        <w:spacing w:after="0" w:line="276" w:lineRule="auto"/>
        <w:rPr>
          <w:rFonts w:asciiTheme="minorHAnsi" w:hAnsiTheme="minorHAnsi"/>
          <w:b w:val="0"/>
          <w:bCs w:val="0"/>
          <w:color w:val="auto"/>
          <w:sz w:val="24"/>
          <w:szCs w:val="24"/>
          <w:lang w:val="sq-AL"/>
        </w:rPr>
      </w:pPr>
      <w:r w:rsidRPr="00C86295">
        <w:rPr>
          <w:rFonts w:asciiTheme="minorHAnsi" w:hAnsiTheme="minorHAnsi"/>
          <w:b w:val="0"/>
          <w:bCs w:val="0"/>
          <w:color w:val="auto"/>
          <w:sz w:val="24"/>
          <w:szCs w:val="24"/>
          <w:lang w:val="sq-AL"/>
        </w:rPr>
        <w:t>Në nivel tremujori, referuar të dhënave të raportuara nga ministritë e linjës, vihet re se:</w:t>
      </w:r>
    </w:p>
    <w:p w:rsidR="00CD3B4E" w:rsidRPr="000A2E8B" w:rsidRDefault="00CD3B4E" w:rsidP="007F0B61">
      <w:pPr>
        <w:numPr>
          <w:ilvl w:val="0"/>
          <w:numId w:val="5"/>
        </w:numPr>
        <w:spacing w:line="276" w:lineRule="auto"/>
        <w:ind w:left="450"/>
        <w:contextualSpacing/>
        <w:jc w:val="both"/>
        <w:rPr>
          <w:rFonts w:asciiTheme="minorHAnsi" w:hAnsiTheme="minorHAnsi"/>
          <w:i/>
          <w:lang w:val="sq-AL"/>
        </w:rPr>
      </w:pPr>
      <w:r w:rsidRPr="000A2E8B">
        <w:rPr>
          <w:rFonts w:asciiTheme="minorHAnsi" w:hAnsiTheme="minorHAnsi"/>
          <w:i/>
          <w:lang w:val="sq-AL"/>
        </w:rPr>
        <w:t>Pjesën më të madhe të detyrimeve kumulative të stokut të krijuara deri në tre mujorin e parë të vitit 2021 e zënë detyrimet e krijuara nga Drejtoria e Përgjithshme e Tatimeve.</w:t>
      </w:r>
    </w:p>
    <w:p w:rsidR="00CD3B4E" w:rsidRDefault="00CD3B4E" w:rsidP="0064168E">
      <w:pPr>
        <w:spacing w:before="120" w:line="276" w:lineRule="auto"/>
        <w:contextualSpacing/>
        <w:jc w:val="both"/>
        <w:rPr>
          <w:rFonts w:asciiTheme="minorHAnsi" w:hAnsiTheme="minorHAnsi"/>
          <w:lang w:val="sq-AL"/>
        </w:rPr>
      </w:pPr>
    </w:p>
    <w:p w:rsidR="00F07CFC" w:rsidRPr="0065598A" w:rsidRDefault="00F07CFC" w:rsidP="0064168E">
      <w:pPr>
        <w:spacing w:before="120" w:line="276" w:lineRule="auto"/>
        <w:contextualSpacing/>
        <w:jc w:val="both"/>
        <w:rPr>
          <w:rFonts w:asciiTheme="minorHAnsi" w:hAnsiTheme="minorHAnsi"/>
          <w:lang w:val="sq-AL"/>
        </w:rPr>
      </w:pPr>
    </w:p>
    <w:p w:rsidR="00562780" w:rsidRPr="004C6F8D" w:rsidRDefault="00521154" w:rsidP="007F0B61">
      <w:pPr>
        <w:pStyle w:val="Heading2"/>
        <w:numPr>
          <w:ilvl w:val="0"/>
          <w:numId w:val="55"/>
        </w:numPr>
        <w:ind w:hanging="720"/>
        <w:rPr>
          <w:sz w:val="26"/>
          <w:szCs w:val="26"/>
        </w:rPr>
      </w:pPr>
      <w:bookmarkStart w:id="86" w:name="_Toc76470035"/>
      <w:r w:rsidRPr="004C6F8D">
        <w:rPr>
          <w:sz w:val="26"/>
          <w:szCs w:val="26"/>
        </w:rPr>
        <w:t xml:space="preserve">Pagesat Faktike </w:t>
      </w:r>
      <w:r>
        <w:rPr>
          <w:sz w:val="26"/>
          <w:szCs w:val="26"/>
        </w:rPr>
        <w:t>të K</w:t>
      </w:r>
      <w:r w:rsidR="00FC6E77" w:rsidRPr="004C6F8D">
        <w:rPr>
          <w:sz w:val="26"/>
          <w:szCs w:val="26"/>
        </w:rPr>
        <w:t xml:space="preserve">ontratave </w:t>
      </w:r>
      <w:r w:rsidR="00562780" w:rsidRPr="004C6F8D">
        <w:rPr>
          <w:sz w:val="26"/>
          <w:szCs w:val="26"/>
        </w:rPr>
        <w:t>Koncesion</w:t>
      </w:r>
      <w:r w:rsidR="00FC6E77" w:rsidRPr="004C6F8D">
        <w:rPr>
          <w:sz w:val="26"/>
          <w:szCs w:val="26"/>
        </w:rPr>
        <w:t>are</w:t>
      </w:r>
      <w:r w:rsidR="00562780" w:rsidRPr="004C6F8D">
        <w:rPr>
          <w:sz w:val="26"/>
          <w:szCs w:val="26"/>
        </w:rPr>
        <w:t>/PPP</w:t>
      </w:r>
      <w:bookmarkEnd w:id="68"/>
      <w:bookmarkEnd w:id="69"/>
      <w:bookmarkEnd w:id="70"/>
      <w:r w:rsidR="00FC6E77" w:rsidRPr="004C6F8D">
        <w:rPr>
          <w:sz w:val="26"/>
          <w:szCs w:val="26"/>
        </w:rPr>
        <w:t xml:space="preserve">, me </w:t>
      </w:r>
      <w:r w:rsidRPr="004C6F8D">
        <w:rPr>
          <w:sz w:val="26"/>
          <w:szCs w:val="26"/>
        </w:rPr>
        <w:t>Mbështetje Buxhetore</w:t>
      </w:r>
      <w:bookmarkEnd w:id="86"/>
    </w:p>
    <w:p w:rsidR="00932560"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t xml:space="preserve">Ministria e Financave dhe Ekonomisë (MFE) vlerëson dhe miraton paraprakisht të gjitha projektet koncesionare dhe të partneritetit publik privat (PPP), si edhe çdo ndryshim të tyre, nga pikëpamja e implikimeve individuale apo në grup, për shpenzimet buxhetore, deficitin buxhetor, qëndrueshmërinë e borxhit publik dhe detyrimet kontingjente eventuale. </w:t>
      </w:r>
    </w:p>
    <w:p w:rsidR="00FC6E77"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t xml:space="preserve">Shuma totale e pagesave vjetore neto, që kryhen nga njësitë e qeverisjes së përgjithshme, të cilat rezultojnë nga kontrata koncesionare apo partneriteti publik privat (PPP), si rregull, nuk duhet të tejkalojë kufirin prej 5 përqind të të ardhurave tatimore faktike të vitit paraardhës buxhetor. Në rast tejkalimi të këtij kufiri, Këshilli i Ministrave merr masa korrektuese në krahun e të ardhurave buxhetore, të nevojshme dhe të mjaftueshme, për t’u rikthyer brenda kufirit të lejuar, gjatë dy viteve të ardhshme buxhetore. </w:t>
      </w:r>
    </w:p>
    <w:p w:rsidR="00F07CFC"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t xml:space="preserve">Gjatë vitit 2021, MFE ka vijuar monitorimin e performancës së kontratave koncesionare/PPP-ve me mbështetje buxhetore, duke monitoruar ecurinë e pagesave faktike buxhetore dhe treguesit e performancës të planifikuar/realizuar, për secilën kontratë koncesionare/PPP. </w:t>
      </w:r>
    </w:p>
    <w:p w:rsidR="00F07CFC"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lastRenderedPageBreak/>
        <w:t xml:space="preserve">Monitorimi dhe raportimi mbi kontratat koncesionare/PPP është institucionalizuar edhe përmes përfshirjes në udhëzimin plotësues nr.4, datë 25.01.2021 “Për zbatimin e buxhetit të vitit 2021”, të skedulit të detyrueshëm kohor të raportimit të tyre nga çdo autoritet kontraktor dhe të formateve standarde respektive, me qëllim thellimin e analizës dhe rritjen e transparencës. </w:t>
      </w:r>
    </w:p>
    <w:p w:rsidR="00FC6E77"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t xml:space="preserve">Ky monitorim është kryer në bazë mujore, me qëllim identifikimin dhe monitorimin hap pas hapi të risqeve potenciale që mund të materializohen nga implementimi i tyre. </w:t>
      </w:r>
      <w:bookmarkStart w:id="87" w:name="_Toc11135141"/>
      <w:r w:rsidRPr="00F07CFC">
        <w:rPr>
          <w:rFonts w:asciiTheme="minorHAnsi" w:hAnsiTheme="minorHAnsi" w:cstheme="minorHAnsi"/>
        </w:rPr>
        <w:t>Në fund të periudhës 5 mujore të vitit 2021, në nivel total rezultoi se, nga 13 kontrata koncesionare/PPP me mbështetje buxhetore:</w:t>
      </w:r>
    </w:p>
    <w:p w:rsidR="00FC6E77" w:rsidRPr="004E355C" w:rsidRDefault="00FC6E77" w:rsidP="00FC6E77">
      <w:pPr>
        <w:numPr>
          <w:ilvl w:val="0"/>
          <w:numId w:val="3"/>
        </w:numPr>
        <w:tabs>
          <w:tab w:val="left" w:pos="450"/>
        </w:tabs>
        <w:spacing w:before="120" w:line="276" w:lineRule="auto"/>
        <w:ind w:left="450" w:hanging="270"/>
        <w:contextualSpacing/>
        <w:jc w:val="both"/>
        <w:rPr>
          <w:rFonts w:asciiTheme="minorHAnsi" w:hAnsiTheme="minorHAnsi"/>
          <w:i/>
          <w:lang w:val="sq-AL"/>
        </w:rPr>
      </w:pPr>
      <w:r>
        <w:rPr>
          <w:rFonts w:asciiTheme="minorHAnsi" w:hAnsiTheme="minorHAnsi"/>
          <w:i/>
          <w:lang w:val="sq-AL"/>
        </w:rPr>
        <w:t>8</w:t>
      </w:r>
      <w:r w:rsidRPr="004E355C">
        <w:rPr>
          <w:rFonts w:asciiTheme="minorHAnsi" w:hAnsiTheme="minorHAnsi"/>
          <w:i/>
          <w:lang w:val="sq-AL"/>
        </w:rPr>
        <w:t xml:space="preserve"> kontrata koncesionare/PPP kanë pagesa faktike buxhetore, për periudhën 5 mujore, </w:t>
      </w:r>
    </w:p>
    <w:p w:rsidR="00FC6E77" w:rsidRDefault="00FC6E77" w:rsidP="00FC6E77">
      <w:pPr>
        <w:numPr>
          <w:ilvl w:val="0"/>
          <w:numId w:val="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 xml:space="preserve">Për </w:t>
      </w:r>
      <w:r>
        <w:rPr>
          <w:rFonts w:asciiTheme="minorHAnsi" w:hAnsiTheme="minorHAnsi"/>
          <w:i/>
          <w:lang w:val="sq-AL"/>
        </w:rPr>
        <w:t>5</w:t>
      </w:r>
      <w:r w:rsidRPr="004E355C">
        <w:rPr>
          <w:rFonts w:asciiTheme="minorHAnsi" w:hAnsiTheme="minorHAnsi"/>
          <w:i/>
          <w:lang w:val="sq-AL"/>
        </w:rPr>
        <w:t xml:space="preserve"> kontrata nuk është kryer asnjë pagesë referuar periudhës 5 mujore. </w:t>
      </w:r>
    </w:p>
    <w:p w:rsidR="00FC6E77"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t>Fondet buxhetore të planifikuara për vitin 2021 me destinacion mbështetjen nga buxheti për kontratat konçesionare/PPP, sipas planit vjetor, të ndryshuar, në total janë rreth 12.8 miliardë LEK. Nga këto, rreth 5.43 miliardë LEK janë investime dhe rreth 7.38 miliardë LEK shpenzime korente.</w:t>
      </w:r>
    </w:p>
    <w:p w:rsidR="00F07CFC"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t>Krahasuar me pagesat faktike të vitit 2020 të cilat arritën vlerën rreth 9.63 miliard LEK, pagesat e planifikuara për vitin 2021, janë rreth 3.18 miliard LEK më të larta.</w:t>
      </w:r>
      <w:r w:rsidR="00422501" w:rsidRPr="00F07CFC">
        <w:rPr>
          <w:rFonts w:asciiTheme="minorHAnsi" w:hAnsiTheme="minorHAnsi" w:cstheme="minorHAnsi"/>
        </w:rPr>
        <w:t xml:space="preserve"> </w:t>
      </w:r>
    </w:p>
    <w:p w:rsidR="00932560"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t>Pagesat faktike për periudhën 5 mujore të vitit 2021, rezultojnë në masën rreth 3.4 miliard LEK ose 26.7% të pagesave të planifikuara vjetore 2021. Krahasuar me të njejtën periudhë të një viti më parë, pagesat faktike 5 mujore rezultojnë rreth 154.1 milion LEK më pak.</w:t>
      </w:r>
      <w:r w:rsidR="00422501" w:rsidRPr="00F07CFC">
        <w:rPr>
          <w:rFonts w:asciiTheme="minorHAnsi" w:hAnsiTheme="minorHAnsi" w:cstheme="minorHAnsi"/>
        </w:rPr>
        <w:t xml:space="preserve"> </w:t>
      </w:r>
    </w:p>
    <w:p w:rsidR="00FC6E77"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t>Pagesat faktike për muajin Maj 2021 rezultojnë rreth 516 milion lek ose 4 përqind e pagesave të planifikuara vjetore 2021. Pagesa më e lartë e realizuar në muajin Maj është pagesa prej rreth 132.87 milion LEK për kontratën “Shërbimi i skanimit në dogana”, pagesë e cila përbën 8.4 përqind të totalit të planit vjetor për këtë kontratë dhe 25.7 përqind të totalit të pagesave faktike të realizuara në muajin Maj.</w:t>
      </w:r>
    </w:p>
    <w:p w:rsidR="00F07CFC" w:rsidRDefault="00F07CFC" w:rsidP="00FC6E77">
      <w:pPr>
        <w:spacing w:line="276" w:lineRule="auto"/>
        <w:jc w:val="both"/>
        <w:rPr>
          <w:rFonts w:asciiTheme="minorHAnsi" w:hAnsiTheme="minorHAnsi"/>
          <w:b/>
          <w:lang w:val="sq-AL"/>
        </w:rPr>
      </w:pPr>
    </w:p>
    <w:p w:rsidR="00F07CFC" w:rsidRDefault="00F07CFC" w:rsidP="00FC6E77">
      <w:pPr>
        <w:spacing w:line="276" w:lineRule="auto"/>
        <w:jc w:val="both"/>
        <w:rPr>
          <w:rFonts w:asciiTheme="minorHAnsi" w:hAnsiTheme="minorHAnsi"/>
          <w:b/>
          <w:lang w:val="sq-AL"/>
        </w:rPr>
      </w:pPr>
    </w:p>
    <w:p w:rsidR="00FC6E77" w:rsidRPr="0065598A" w:rsidRDefault="00FC6E77" w:rsidP="00FC6E77">
      <w:pPr>
        <w:spacing w:line="276" w:lineRule="auto"/>
        <w:jc w:val="both"/>
        <w:rPr>
          <w:rFonts w:asciiTheme="minorHAnsi" w:hAnsiTheme="minorHAnsi"/>
          <w:b/>
          <w:lang w:val="sq-AL"/>
        </w:rPr>
      </w:pPr>
      <w:r w:rsidRPr="00D36D71">
        <w:rPr>
          <w:rFonts w:asciiTheme="minorHAnsi" w:hAnsiTheme="minorHAnsi"/>
          <w:b/>
          <w:lang w:val="sq-AL"/>
        </w:rPr>
        <w:t xml:space="preserve">Respektimi i rregullit fiskal </w:t>
      </w:r>
      <w:r w:rsidR="00422501">
        <w:rPr>
          <w:rFonts w:asciiTheme="minorHAnsi" w:hAnsiTheme="minorHAnsi"/>
          <w:b/>
          <w:lang w:val="sq-AL"/>
        </w:rPr>
        <w:t xml:space="preserve">të PPP-ve, </w:t>
      </w:r>
      <w:r w:rsidRPr="00D36D71">
        <w:rPr>
          <w:rFonts w:asciiTheme="minorHAnsi" w:hAnsiTheme="minorHAnsi"/>
          <w:b/>
          <w:lang w:val="sq-AL"/>
        </w:rPr>
        <w:t>për vitin 2021</w:t>
      </w:r>
    </w:p>
    <w:p w:rsidR="00F30139"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t xml:space="preserve">Kufiri i lejuar i pagesave neto për kontratat konçesionare/PPP për vitin 2021, prej 5% i të ardhurave tatimore faktike të vitit 2020, përllogaritet në rreth 19.93 miliard LEK. </w:t>
      </w:r>
    </w:p>
    <w:p w:rsidR="00F30139"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t xml:space="preserve">Në nivel vjetor, pagesat e planifikuara për vitin 2021, për kontratat koncesionare/PPP, përbëjnë rreth 3.21 përqind të totalit të të ardhurave tatimore faktike të vitit 2020, duke respektuar në këtë mënyrë rregullin fiskal prej 5% të të ardhurave tatimore faktike të vitit paraardhës. </w:t>
      </w:r>
    </w:p>
    <w:p w:rsidR="00FC6E77" w:rsidRPr="00F07CFC" w:rsidRDefault="00FC6E77" w:rsidP="00F07CFC">
      <w:pPr>
        <w:spacing w:before="240" w:line="276" w:lineRule="auto"/>
        <w:jc w:val="both"/>
        <w:rPr>
          <w:rFonts w:asciiTheme="minorHAnsi" w:hAnsiTheme="minorHAnsi" w:cstheme="minorHAnsi"/>
        </w:rPr>
      </w:pPr>
      <w:r w:rsidRPr="00F07CFC">
        <w:rPr>
          <w:rFonts w:asciiTheme="minorHAnsi" w:hAnsiTheme="minorHAnsi" w:cstheme="minorHAnsi"/>
        </w:rPr>
        <w:t>Në nivel 5-mujor, pagesat neto të realizuara të kontratave koncesionare/PPP, përbëjnë vetëm 0.86 përqind të totalit të të ardhurave tatimore faktike të vitit 2020, prej rreth 398.6 miliard LEK.</w:t>
      </w:r>
    </w:p>
    <w:p w:rsidR="00FC6E77" w:rsidRPr="00F02D9D" w:rsidRDefault="00FC6E77" w:rsidP="00FC6E77">
      <w:pPr>
        <w:spacing w:after="240" w:line="276" w:lineRule="auto"/>
        <w:contextualSpacing/>
        <w:rPr>
          <w:rFonts w:asciiTheme="minorHAnsi" w:hAnsiTheme="minorHAnsi"/>
          <w:bCs/>
          <w:i/>
          <w:sz w:val="8"/>
          <w:szCs w:val="8"/>
          <w:lang w:val="sq-AL"/>
        </w:rPr>
      </w:pPr>
    </w:p>
    <w:p w:rsidR="00F07CFC" w:rsidRDefault="00F07CFC" w:rsidP="00FC6E77">
      <w:pPr>
        <w:spacing w:after="240" w:line="276" w:lineRule="auto"/>
        <w:contextualSpacing/>
        <w:rPr>
          <w:rFonts w:asciiTheme="minorHAnsi" w:hAnsiTheme="minorHAnsi"/>
          <w:bCs/>
          <w:i/>
          <w:sz w:val="22"/>
          <w:lang w:val="sq-AL"/>
        </w:rPr>
      </w:pPr>
    </w:p>
    <w:p w:rsidR="00F07CFC" w:rsidRDefault="00F07CFC" w:rsidP="00FC6E77">
      <w:pPr>
        <w:spacing w:after="240" w:line="276" w:lineRule="auto"/>
        <w:contextualSpacing/>
        <w:rPr>
          <w:rFonts w:asciiTheme="minorHAnsi" w:hAnsiTheme="minorHAnsi"/>
          <w:bCs/>
          <w:i/>
          <w:sz w:val="22"/>
          <w:lang w:val="sq-AL"/>
        </w:rPr>
      </w:pPr>
    </w:p>
    <w:p w:rsidR="00F07CFC" w:rsidRDefault="00F07CFC" w:rsidP="00FC6E77">
      <w:pPr>
        <w:spacing w:after="240" w:line="276" w:lineRule="auto"/>
        <w:contextualSpacing/>
        <w:rPr>
          <w:rFonts w:asciiTheme="minorHAnsi" w:hAnsiTheme="minorHAnsi"/>
          <w:bCs/>
          <w:i/>
          <w:sz w:val="22"/>
          <w:lang w:val="sq-AL"/>
        </w:rPr>
      </w:pPr>
    </w:p>
    <w:p w:rsidR="00F07CFC" w:rsidRDefault="00F07CFC" w:rsidP="00FC6E77">
      <w:pPr>
        <w:spacing w:after="240" w:line="276" w:lineRule="auto"/>
        <w:contextualSpacing/>
        <w:rPr>
          <w:rFonts w:asciiTheme="minorHAnsi" w:hAnsiTheme="minorHAnsi"/>
          <w:bCs/>
          <w:i/>
          <w:sz w:val="22"/>
          <w:lang w:val="sq-AL"/>
        </w:rPr>
      </w:pPr>
    </w:p>
    <w:p w:rsidR="00FC6E77" w:rsidRPr="00F30139" w:rsidRDefault="00FC6E77" w:rsidP="00FC6E77">
      <w:pPr>
        <w:spacing w:after="240" w:line="276" w:lineRule="auto"/>
        <w:contextualSpacing/>
        <w:rPr>
          <w:rFonts w:asciiTheme="minorHAnsi" w:hAnsiTheme="minorHAnsi"/>
          <w:b/>
          <w:bCs/>
          <w:sz w:val="6"/>
          <w:szCs w:val="8"/>
          <w:lang w:val="sq-AL"/>
        </w:rPr>
      </w:pPr>
      <w:bookmarkStart w:id="88" w:name="_Toc76470062"/>
      <w:r w:rsidRPr="00F30139">
        <w:rPr>
          <w:rFonts w:asciiTheme="minorHAnsi" w:hAnsiTheme="minorHAnsi"/>
          <w:bCs/>
          <w:i/>
          <w:sz w:val="22"/>
          <w:lang w:val="sq-AL"/>
        </w:rPr>
        <w:lastRenderedPageBreak/>
        <w:t xml:space="preserve">Tabela </w:t>
      </w:r>
      <w:r w:rsidRPr="00F30139">
        <w:rPr>
          <w:rFonts w:asciiTheme="minorHAnsi" w:hAnsiTheme="minorHAnsi"/>
          <w:bCs/>
          <w:i/>
          <w:sz w:val="22"/>
          <w:lang w:val="sq-AL"/>
        </w:rPr>
        <w:fldChar w:fldCharType="begin"/>
      </w:r>
      <w:r w:rsidRPr="00F30139">
        <w:rPr>
          <w:rFonts w:asciiTheme="minorHAnsi" w:hAnsiTheme="minorHAnsi"/>
          <w:bCs/>
          <w:i/>
          <w:sz w:val="22"/>
          <w:lang w:val="sq-AL"/>
        </w:rPr>
        <w:instrText xml:space="preserve"> SEQ Tabela \* ARABIC </w:instrText>
      </w:r>
      <w:r w:rsidRPr="00F30139">
        <w:rPr>
          <w:rFonts w:asciiTheme="minorHAnsi" w:hAnsiTheme="minorHAnsi"/>
          <w:bCs/>
          <w:i/>
          <w:sz w:val="22"/>
          <w:lang w:val="sq-AL"/>
        </w:rPr>
        <w:fldChar w:fldCharType="separate"/>
      </w:r>
      <w:r w:rsidR="003C5F40">
        <w:rPr>
          <w:rFonts w:asciiTheme="minorHAnsi" w:hAnsiTheme="minorHAnsi"/>
          <w:bCs/>
          <w:i/>
          <w:noProof/>
          <w:sz w:val="22"/>
          <w:lang w:val="sq-AL"/>
        </w:rPr>
        <w:t>8</w:t>
      </w:r>
      <w:r w:rsidRPr="00F30139">
        <w:rPr>
          <w:rFonts w:asciiTheme="minorHAnsi" w:hAnsiTheme="minorHAnsi"/>
          <w:bCs/>
          <w:i/>
          <w:sz w:val="22"/>
          <w:lang w:val="sq-AL"/>
        </w:rPr>
        <w:fldChar w:fldCharType="end"/>
      </w:r>
      <w:r w:rsidRPr="00F30139">
        <w:rPr>
          <w:rFonts w:asciiTheme="minorHAnsi" w:hAnsiTheme="minorHAnsi"/>
          <w:bCs/>
          <w:i/>
          <w:sz w:val="22"/>
          <w:lang w:val="sq-AL"/>
        </w:rPr>
        <w:t>: Koncesionet/PPT-të aktive me mbështetje nga buxheti i shtetit (në mijë LEK)</w:t>
      </w:r>
      <w:bookmarkEnd w:id="87"/>
      <w:bookmarkEnd w:id="88"/>
    </w:p>
    <w:p w:rsidR="00FC6E77" w:rsidRDefault="00FC6E77" w:rsidP="00FC6E77">
      <w:pPr>
        <w:spacing w:before="240" w:line="276" w:lineRule="auto"/>
        <w:ind w:left="-180"/>
        <w:contextualSpacing/>
        <w:jc w:val="center"/>
        <w:rPr>
          <w:rFonts w:asciiTheme="minorHAnsi" w:hAnsiTheme="minorHAnsi"/>
          <w:i/>
          <w:lang w:val="sq-AL"/>
        </w:rPr>
      </w:pPr>
      <w:r w:rsidRPr="00A12ECA">
        <w:rPr>
          <w:noProof/>
        </w:rPr>
        <w:drawing>
          <wp:inline distT="0" distB="0" distL="0" distR="0" wp14:anchorId="0DF72340" wp14:editId="5D0FFB48">
            <wp:extent cx="6536055" cy="5905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562236" cy="5929155"/>
                    </a:xfrm>
                    <a:prstGeom prst="rect">
                      <a:avLst/>
                    </a:prstGeom>
                    <a:noFill/>
                    <a:ln>
                      <a:noFill/>
                    </a:ln>
                  </pic:spPr>
                </pic:pic>
              </a:graphicData>
            </a:graphic>
          </wp:inline>
        </w:drawing>
      </w:r>
    </w:p>
    <w:p w:rsidR="00FC6E77" w:rsidRDefault="00FC6E77" w:rsidP="00FC6E77">
      <w:pPr>
        <w:spacing w:line="276" w:lineRule="auto"/>
        <w:rPr>
          <w:rFonts w:asciiTheme="minorHAnsi" w:eastAsia="SimSun" w:hAnsiTheme="minorHAnsi"/>
          <w:i/>
          <w:sz w:val="20"/>
          <w:lang w:val="sq-AL"/>
        </w:rPr>
      </w:pPr>
      <w:r>
        <w:rPr>
          <w:rFonts w:asciiTheme="minorHAnsi" w:eastAsia="SimSun" w:hAnsiTheme="minorHAnsi"/>
          <w:i/>
          <w:sz w:val="20"/>
          <w:lang w:val="sq-AL"/>
        </w:rPr>
        <w:t>Burimi: Ministria e Financave dhe Ekonomisë (2021)</w:t>
      </w:r>
    </w:p>
    <w:p w:rsidR="00342E35" w:rsidRDefault="00342E35" w:rsidP="00562780">
      <w:pPr>
        <w:spacing w:line="276" w:lineRule="auto"/>
        <w:ind w:firstLine="720"/>
        <w:rPr>
          <w:rFonts w:asciiTheme="minorHAnsi" w:eastAsia="SimSun" w:hAnsiTheme="minorHAnsi"/>
          <w:i/>
          <w:sz w:val="20"/>
          <w:lang w:val="sq-AL"/>
        </w:rPr>
      </w:pPr>
    </w:p>
    <w:p w:rsidR="00932560" w:rsidRDefault="00932560" w:rsidP="00562780">
      <w:pPr>
        <w:spacing w:line="276" w:lineRule="auto"/>
        <w:ind w:firstLine="720"/>
        <w:rPr>
          <w:rFonts w:asciiTheme="minorHAnsi" w:eastAsia="SimSun" w:hAnsiTheme="minorHAnsi"/>
          <w:i/>
          <w:sz w:val="20"/>
          <w:lang w:val="sq-AL"/>
        </w:rPr>
      </w:pPr>
    </w:p>
    <w:p w:rsidR="00562780" w:rsidRPr="004C6F8D" w:rsidRDefault="00562780" w:rsidP="007F0B61">
      <w:pPr>
        <w:pStyle w:val="Heading2"/>
        <w:numPr>
          <w:ilvl w:val="0"/>
          <w:numId w:val="56"/>
        </w:numPr>
        <w:ind w:hanging="720"/>
        <w:rPr>
          <w:sz w:val="26"/>
          <w:szCs w:val="26"/>
        </w:rPr>
      </w:pPr>
      <w:bookmarkStart w:id="89" w:name="_Toc10033287"/>
      <w:bookmarkStart w:id="90" w:name="_Toc10721424"/>
      <w:bookmarkStart w:id="91" w:name="_Toc11134244"/>
      <w:bookmarkStart w:id="92" w:name="_Toc76470036"/>
      <w:r w:rsidRPr="004C6F8D">
        <w:rPr>
          <w:sz w:val="26"/>
          <w:szCs w:val="26"/>
        </w:rPr>
        <w:t>Detyrime të tjera Kontigjente</w:t>
      </w:r>
      <w:bookmarkEnd w:id="89"/>
      <w:bookmarkEnd w:id="90"/>
      <w:bookmarkEnd w:id="91"/>
      <w:bookmarkEnd w:id="92"/>
    </w:p>
    <w:p w:rsidR="00562780" w:rsidRPr="004C6F8D" w:rsidRDefault="00562780" w:rsidP="007F0B61">
      <w:pPr>
        <w:pStyle w:val="Heading2"/>
        <w:numPr>
          <w:ilvl w:val="0"/>
          <w:numId w:val="57"/>
        </w:numPr>
        <w:ind w:left="360"/>
        <w:rPr>
          <w:sz w:val="26"/>
          <w:szCs w:val="26"/>
        </w:rPr>
      </w:pPr>
      <w:bookmarkStart w:id="93" w:name="_Toc11134245"/>
      <w:bookmarkStart w:id="94" w:name="_Toc76470037"/>
      <w:r w:rsidRPr="004C6F8D">
        <w:rPr>
          <w:sz w:val="26"/>
          <w:szCs w:val="26"/>
        </w:rPr>
        <w:t>Vendimet e Gjykatës së të Drejtave të Njeriut në Strasburg (GJEDNJ)</w:t>
      </w:r>
      <w:bookmarkEnd w:id="93"/>
      <w:bookmarkEnd w:id="94"/>
      <w:r w:rsidRPr="004C6F8D">
        <w:rPr>
          <w:sz w:val="26"/>
          <w:szCs w:val="26"/>
        </w:rPr>
        <w:t xml:space="preserve"> </w:t>
      </w:r>
    </w:p>
    <w:p w:rsidR="00FF4AD5" w:rsidRPr="00FF4AD5" w:rsidRDefault="00FF4AD5" w:rsidP="00FF4AD5">
      <w:pPr>
        <w:spacing w:after="200" w:line="276" w:lineRule="auto"/>
        <w:contextualSpacing/>
        <w:jc w:val="both"/>
        <w:rPr>
          <w:rFonts w:asciiTheme="minorHAnsi" w:hAnsiTheme="minorHAnsi"/>
          <w:sz w:val="8"/>
          <w:szCs w:val="8"/>
          <w:lang w:val="sq-AL"/>
        </w:rPr>
      </w:pPr>
    </w:p>
    <w:p w:rsidR="00E2618C" w:rsidRPr="004678DB" w:rsidRDefault="00E2618C" w:rsidP="00E2618C">
      <w:pPr>
        <w:spacing w:after="200" w:line="276" w:lineRule="auto"/>
        <w:contextualSpacing/>
        <w:jc w:val="both"/>
        <w:rPr>
          <w:rFonts w:asciiTheme="minorHAnsi" w:hAnsiTheme="minorHAnsi"/>
          <w:lang w:val="sq-AL"/>
        </w:rPr>
      </w:pPr>
      <w:r w:rsidRPr="004678DB">
        <w:rPr>
          <w:rFonts w:asciiTheme="minorHAnsi" w:hAnsiTheme="minorHAnsi"/>
          <w:lang w:val="sq-AL"/>
        </w:rPr>
        <w:t xml:space="preserve">Këto vendime kanë të bëjnë kryesisht me çështje që lidhen me kthimin dhe kompensimin e pronave tek ish-pronarët. Sipas Avokaturës së Shtetit, risqet financiare që burojnë nga vendimet e GJEDNJ-së janë të karakterizuara nga një aftësi e dobët parashikuese, përsa kohë që kjo Gjykatë nuk funksionon me një kalendar të përcaktuar për komunikimin e çështjeve dhe nxjerrjen e vendimeve. Ministria e Financave dhe Ekonomisë ka respektuar në vazhdimësi të gjitha vendimet e miratuara nga GJEDNJ, përmes likujdimit të VKM-ve respektive miratuar në mbështetje të tyre, me përpikmëri dhe brenda afateve strikte të përcaktuara prej këtij organi. Kjo, duke konsideruar faktin se kur pagesat nuk kryhen brenda afatit tre mujor nga data kur vendimi përkatës merr formën e prerë, </w:t>
      </w:r>
      <w:r w:rsidRPr="004678DB">
        <w:rPr>
          <w:rFonts w:asciiTheme="minorHAnsi" w:hAnsiTheme="minorHAnsi"/>
          <w:lang w:val="sq-AL"/>
        </w:rPr>
        <w:lastRenderedPageBreak/>
        <w:t xml:space="preserve">shteti shqiptar ngarkohet me pagesën e një kamatë-vonese për çdo ditë vonesë. Sidoqoftë, për garantimin e shlyerjes në kohë të këtyre vendimeve, MFE ka rekomanduar vazhdimisht përdorimin e të gjitha kanaleve të mundshme institucionale dhe proceduriale, brenda hapësirave që siguron kuadri ligjor në fuqi, duke sugjeruar skedulimin e detyrimit financiar, sipas mundësive të buxhetit të shtetit me këste, në negocim me përfituesit. Ndërkohë, hyrja në fuqi më datë 30.12.2018 e ndryshimeve në ligjin “Për Avokaturën e Shtetit”, përmban një kre të veçantë dedikuar ekzekutimit të vendimeve të GJEDNJ-së, ku specifikisht në nenin 19/4 përcaktohen </w:t>
      </w:r>
      <w:r w:rsidR="00653723">
        <w:rPr>
          <w:rFonts w:asciiTheme="minorHAnsi" w:hAnsiTheme="minorHAnsi"/>
          <w:lang w:val="sq-AL"/>
        </w:rPr>
        <w:t>dy</w:t>
      </w:r>
      <w:r w:rsidRPr="004678DB">
        <w:rPr>
          <w:rFonts w:asciiTheme="minorHAnsi" w:hAnsiTheme="minorHAnsi"/>
          <w:lang w:val="sq-AL"/>
        </w:rPr>
        <w:t xml:space="preserve"> mënyra ekzekutimi të shpërblimit:</w:t>
      </w:r>
    </w:p>
    <w:p w:rsidR="00E2618C" w:rsidRPr="004678DB" w:rsidRDefault="00E2618C" w:rsidP="00E2618C">
      <w:pPr>
        <w:spacing w:after="200" w:line="276" w:lineRule="auto"/>
        <w:contextualSpacing/>
        <w:jc w:val="both"/>
        <w:rPr>
          <w:rFonts w:ascii="Calibri Light" w:eastAsia="MS Mincho" w:hAnsi="Calibri Light"/>
          <w:i/>
          <w:sz w:val="8"/>
          <w:szCs w:val="8"/>
          <w:lang w:val="sq-AL"/>
        </w:rPr>
      </w:pPr>
    </w:p>
    <w:p w:rsidR="00E2618C" w:rsidRPr="00F07CFC" w:rsidRDefault="00E2618C" w:rsidP="00F07CFC">
      <w:pPr>
        <w:numPr>
          <w:ilvl w:val="0"/>
          <w:numId w:val="12"/>
        </w:numPr>
        <w:spacing w:after="200"/>
        <w:ind w:left="360"/>
        <w:contextualSpacing/>
        <w:jc w:val="both"/>
        <w:rPr>
          <w:rFonts w:asciiTheme="minorHAnsi" w:eastAsia="MS Mincho" w:hAnsiTheme="minorHAnsi"/>
          <w:i/>
          <w:lang w:val="sq-AL"/>
        </w:rPr>
      </w:pPr>
      <w:r w:rsidRPr="00F07CFC">
        <w:rPr>
          <w:rFonts w:asciiTheme="minorHAnsi" w:eastAsia="MS Mincho" w:hAnsiTheme="minorHAnsi"/>
          <w:i/>
          <w:lang w:val="sq-AL"/>
        </w:rPr>
        <w:t>Vendimet me detyrim financiar mbi 10.000 EUR, implikojnë nxjerrjen e VKM-ve respektive për ekzekutimin e tyre.</w:t>
      </w:r>
    </w:p>
    <w:p w:rsidR="00E2618C" w:rsidRPr="00F07CFC" w:rsidRDefault="00E2618C" w:rsidP="00F07CFC">
      <w:pPr>
        <w:spacing w:after="200"/>
        <w:ind w:left="360"/>
        <w:contextualSpacing/>
        <w:jc w:val="both"/>
        <w:rPr>
          <w:rFonts w:asciiTheme="minorHAnsi" w:eastAsia="MS Mincho" w:hAnsiTheme="minorHAnsi"/>
          <w:i/>
          <w:sz w:val="8"/>
          <w:szCs w:val="8"/>
          <w:lang w:val="sq-AL"/>
        </w:rPr>
      </w:pPr>
    </w:p>
    <w:p w:rsidR="00E2618C" w:rsidRPr="00F07CFC" w:rsidRDefault="00E2618C" w:rsidP="00F07CFC">
      <w:pPr>
        <w:numPr>
          <w:ilvl w:val="0"/>
          <w:numId w:val="12"/>
        </w:numPr>
        <w:spacing w:after="200"/>
        <w:ind w:left="360"/>
        <w:contextualSpacing/>
        <w:jc w:val="both"/>
        <w:rPr>
          <w:rFonts w:asciiTheme="minorHAnsi" w:eastAsia="MS Mincho" w:hAnsiTheme="minorHAnsi"/>
          <w:i/>
          <w:lang w:val="sq-AL"/>
        </w:rPr>
      </w:pPr>
      <w:r w:rsidRPr="00F07CFC">
        <w:rPr>
          <w:rFonts w:asciiTheme="minorHAnsi" w:eastAsia="MS Mincho" w:hAnsiTheme="minorHAnsi"/>
          <w:i/>
          <w:lang w:val="sq-AL"/>
        </w:rPr>
        <w:t>Vendimet me detyrim financiar deri në 10.000 EUR, ekzekutohen drejtpërdrejtë nga Ministria e Financave dhe Ekonomisë, pas kërkesës zyrtare të Avokaturës së Shtetit.</w:t>
      </w:r>
    </w:p>
    <w:p w:rsidR="00E2618C" w:rsidRPr="00653723" w:rsidRDefault="00E2618C" w:rsidP="00E2618C">
      <w:pPr>
        <w:spacing w:after="200" w:line="276" w:lineRule="auto"/>
        <w:contextualSpacing/>
        <w:jc w:val="both"/>
        <w:rPr>
          <w:rFonts w:asciiTheme="minorHAnsi" w:eastAsia="MS Mincho" w:hAnsiTheme="minorHAnsi"/>
          <w:i/>
          <w:sz w:val="8"/>
          <w:lang w:val="sq-AL"/>
        </w:rPr>
      </w:pPr>
    </w:p>
    <w:p w:rsidR="00E2618C" w:rsidRDefault="00E2618C" w:rsidP="00E2618C">
      <w:pPr>
        <w:spacing w:after="200" w:line="276" w:lineRule="auto"/>
        <w:contextualSpacing/>
        <w:jc w:val="both"/>
        <w:rPr>
          <w:rFonts w:asciiTheme="minorHAnsi" w:hAnsiTheme="minorHAnsi"/>
          <w:lang w:val="sq-AL"/>
        </w:rPr>
      </w:pPr>
      <w:r>
        <w:rPr>
          <w:rFonts w:asciiTheme="minorHAnsi" w:hAnsiTheme="minorHAnsi"/>
          <w:lang w:val="sq-AL"/>
        </w:rPr>
        <w:t xml:space="preserve">Për periudhën Janar- Maj </w:t>
      </w:r>
      <w:r w:rsidRPr="004E355C">
        <w:rPr>
          <w:rFonts w:asciiTheme="minorHAnsi" w:hAnsiTheme="minorHAnsi"/>
          <w:lang w:val="sq-AL"/>
        </w:rPr>
        <w:t>20</w:t>
      </w:r>
      <w:r>
        <w:rPr>
          <w:rFonts w:asciiTheme="minorHAnsi" w:hAnsiTheme="minorHAnsi"/>
          <w:lang w:val="sq-AL"/>
        </w:rPr>
        <w:t>21:</w:t>
      </w:r>
    </w:p>
    <w:p w:rsidR="00E2618C" w:rsidRPr="00F07CFC" w:rsidRDefault="00E2618C" w:rsidP="00F07CFC">
      <w:pPr>
        <w:numPr>
          <w:ilvl w:val="0"/>
          <w:numId w:val="12"/>
        </w:numPr>
        <w:spacing w:after="200"/>
        <w:ind w:left="360"/>
        <w:contextualSpacing/>
        <w:jc w:val="both"/>
        <w:rPr>
          <w:rFonts w:asciiTheme="minorHAnsi" w:eastAsia="MS Mincho" w:hAnsiTheme="minorHAnsi"/>
          <w:i/>
          <w:lang w:val="sq-AL"/>
        </w:rPr>
      </w:pPr>
      <w:r w:rsidRPr="00F07CFC">
        <w:rPr>
          <w:rFonts w:asciiTheme="minorHAnsi" w:eastAsia="MS Mincho" w:hAnsiTheme="minorHAnsi"/>
          <w:i/>
          <w:lang w:val="sq-AL"/>
        </w:rPr>
        <w:t xml:space="preserve">Këshilli i Ministrave ka miratuar </w:t>
      </w:r>
      <w:r w:rsidR="00F07CFC">
        <w:rPr>
          <w:rFonts w:asciiTheme="minorHAnsi" w:eastAsia="MS Mincho" w:hAnsiTheme="minorHAnsi"/>
          <w:i/>
          <w:lang w:val="sq-AL"/>
        </w:rPr>
        <w:t>një</w:t>
      </w:r>
      <w:r w:rsidRPr="00F07CFC">
        <w:rPr>
          <w:rFonts w:asciiTheme="minorHAnsi" w:eastAsia="MS Mincho" w:hAnsiTheme="minorHAnsi"/>
          <w:i/>
          <w:lang w:val="sq-AL"/>
        </w:rPr>
        <w:t xml:space="preserve"> VKM </w:t>
      </w:r>
      <w:r w:rsidR="00F07CFC">
        <w:rPr>
          <w:rFonts w:asciiTheme="minorHAnsi" w:eastAsia="MS Mincho" w:hAnsiTheme="minorHAnsi"/>
          <w:i/>
          <w:lang w:val="sq-AL"/>
        </w:rPr>
        <w:t>në zbatim të</w:t>
      </w:r>
      <w:r w:rsidRPr="00F07CFC">
        <w:rPr>
          <w:rFonts w:asciiTheme="minorHAnsi" w:eastAsia="MS Mincho" w:hAnsiTheme="minorHAnsi"/>
          <w:i/>
          <w:lang w:val="sq-AL"/>
        </w:rPr>
        <w:t xml:space="preserve"> vendime</w:t>
      </w:r>
      <w:r w:rsidR="00F07CFC">
        <w:rPr>
          <w:rFonts w:asciiTheme="minorHAnsi" w:eastAsia="MS Mincho" w:hAnsiTheme="minorHAnsi"/>
          <w:i/>
          <w:lang w:val="sq-AL"/>
        </w:rPr>
        <w:t xml:space="preserve">ve </w:t>
      </w:r>
      <w:r w:rsidRPr="00F07CFC">
        <w:rPr>
          <w:rFonts w:asciiTheme="minorHAnsi" w:eastAsia="MS Mincho" w:hAnsiTheme="minorHAnsi"/>
          <w:i/>
          <w:lang w:val="sq-AL"/>
        </w:rPr>
        <w:t>t</w:t>
      </w:r>
      <w:r w:rsidR="00F07CFC">
        <w:rPr>
          <w:rFonts w:asciiTheme="minorHAnsi" w:eastAsia="MS Mincho" w:hAnsiTheme="minorHAnsi"/>
          <w:i/>
          <w:lang w:val="sq-AL"/>
        </w:rPr>
        <w:t>ë</w:t>
      </w:r>
      <w:r w:rsidRPr="00F07CFC">
        <w:rPr>
          <w:rFonts w:asciiTheme="minorHAnsi" w:eastAsia="MS Mincho" w:hAnsiTheme="minorHAnsi"/>
          <w:i/>
          <w:lang w:val="sq-AL"/>
        </w:rPr>
        <w:t xml:space="preserve"> GJEDNJ-së, me një vlerë totale prej 14.720 Euro (1.846 milion LEK), </w:t>
      </w:r>
      <w:r w:rsidR="00653723" w:rsidRPr="00F07CFC">
        <w:rPr>
          <w:rFonts w:asciiTheme="minorHAnsi" w:eastAsia="MS Mincho" w:hAnsiTheme="minorHAnsi"/>
          <w:i/>
          <w:lang w:val="sq-AL"/>
        </w:rPr>
        <w:t>q</w:t>
      </w:r>
      <w:r w:rsidRPr="00F07CFC">
        <w:rPr>
          <w:rFonts w:asciiTheme="minorHAnsi" w:eastAsia="MS Mincho" w:hAnsiTheme="minorHAnsi"/>
          <w:i/>
          <w:lang w:val="sq-AL"/>
        </w:rPr>
        <w:t xml:space="preserve">ë </w:t>
      </w:r>
      <w:r w:rsidR="00F07CFC">
        <w:rPr>
          <w:rFonts w:asciiTheme="minorHAnsi" w:eastAsia="MS Mincho" w:hAnsiTheme="minorHAnsi"/>
          <w:i/>
          <w:lang w:val="sq-AL"/>
        </w:rPr>
        <w:t>është</w:t>
      </w:r>
      <w:r w:rsidRPr="00F07CFC">
        <w:rPr>
          <w:rFonts w:asciiTheme="minorHAnsi" w:eastAsia="MS Mincho" w:hAnsiTheme="minorHAnsi"/>
          <w:i/>
          <w:lang w:val="sq-AL"/>
        </w:rPr>
        <w:t xml:space="preserve"> përballuar nga Fondi Rezervë i buxheti i shtetit, i miratuar për </w:t>
      </w:r>
      <w:r w:rsidR="00F07CFC">
        <w:rPr>
          <w:rFonts w:asciiTheme="minorHAnsi" w:eastAsia="MS Mincho" w:hAnsiTheme="minorHAnsi"/>
          <w:i/>
          <w:lang w:val="sq-AL"/>
        </w:rPr>
        <w:t xml:space="preserve">vitin </w:t>
      </w:r>
      <w:r w:rsidRPr="00F07CFC">
        <w:rPr>
          <w:rFonts w:asciiTheme="minorHAnsi" w:eastAsia="MS Mincho" w:hAnsiTheme="minorHAnsi"/>
          <w:i/>
          <w:lang w:val="sq-AL"/>
        </w:rPr>
        <w:t>2021.</w:t>
      </w:r>
    </w:p>
    <w:p w:rsidR="00DA03D6" w:rsidRPr="00F07CFC" w:rsidRDefault="00DA03D6" w:rsidP="00F07CFC">
      <w:pPr>
        <w:spacing w:after="200"/>
        <w:ind w:left="360"/>
        <w:contextualSpacing/>
        <w:jc w:val="both"/>
        <w:rPr>
          <w:rFonts w:asciiTheme="minorHAnsi" w:eastAsia="MS Mincho" w:hAnsiTheme="minorHAnsi"/>
          <w:i/>
          <w:sz w:val="8"/>
          <w:szCs w:val="8"/>
          <w:lang w:val="sq-AL"/>
        </w:rPr>
      </w:pPr>
    </w:p>
    <w:p w:rsidR="00E2618C" w:rsidRPr="00F07CFC" w:rsidRDefault="00653723" w:rsidP="00F07CFC">
      <w:pPr>
        <w:numPr>
          <w:ilvl w:val="0"/>
          <w:numId w:val="12"/>
        </w:numPr>
        <w:spacing w:after="200"/>
        <w:ind w:left="360"/>
        <w:contextualSpacing/>
        <w:jc w:val="both"/>
        <w:rPr>
          <w:rFonts w:asciiTheme="minorHAnsi" w:eastAsia="MS Mincho" w:hAnsiTheme="minorHAnsi"/>
          <w:i/>
          <w:lang w:val="sq-AL"/>
        </w:rPr>
      </w:pPr>
      <w:r w:rsidRPr="00F07CFC">
        <w:rPr>
          <w:rFonts w:asciiTheme="minorHAnsi" w:eastAsia="MS Mincho" w:hAnsiTheme="minorHAnsi"/>
          <w:i/>
          <w:lang w:val="sq-AL"/>
        </w:rPr>
        <w:t>MFE</w:t>
      </w:r>
      <w:r w:rsidR="00E2618C" w:rsidRPr="00F07CFC">
        <w:rPr>
          <w:rFonts w:asciiTheme="minorHAnsi" w:eastAsia="MS Mincho" w:hAnsiTheme="minorHAnsi"/>
          <w:i/>
          <w:lang w:val="sq-AL"/>
        </w:rPr>
        <w:t xml:space="preserve"> nuk ka ekzekutuar a</w:t>
      </w:r>
      <w:r w:rsidR="00F07CFC">
        <w:rPr>
          <w:rFonts w:asciiTheme="minorHAnsi" w:eastAsia="MS Mincho" w:hAnsiTheme="minorHAnsi"/>
          <w:i/>
          <w:lang w:val="sq-AL"/>
        </w:rPr>
        <w:t>s</w:t>
      </w:r>
      <w:r w:rsidR="00E2618C" w:rsidRPr="00F07CFC">
        <w:rPr>
          <w:rFonts w:asciiTheme="minorHAnsi" w:eastAsia="MS Mincho" w:hAnsiTheme="minorHAnsi"/>
          <w:i/>
          <w:lang w:val="sq-AL"/>
        </w:rPr>
        <w:t>një vendim të GJEDNJ-së, me vlerë përkatëse nën 10.000 Euro.</w:t>
      </w:r>
    </w:p>
    <w:p w:rsidR="00666B9F" w:rsidRDefault="00666B9F" w:rsidP="00562780">
      <w:pPr>
        <w:spacing w:after="200" w:line="276" w:lineRule="auto"/>
        <w:contextualSpacing/>
        <w:jc w:val="both"/>
        <w:rPr>
          <w:rFonts w:asciiTheme="minorHAnsi" w:eastAsia="Calibri" w:hAnsiTheme="minorHAnsi"/>
          <w:i/>
          <w:sz w:val="12"/>
          <w:lang w:val="sq-AL"/>
        </w:rPr>
      </w:pPr>
    </w:p>
    <w:p w:rsidR="00E2618C" w:rsidRPr="0065598A" w:rsidRDefault="00E2618C" w:rsidP="00562780">
      <w:pPr>
        <w:spacing w:after="200" w:line="276" w:lineRule="auto"/>
        <w:contextualSpacing/>
        <w:jc w:val="both"/>
        <w:rPr>
          <w:rFonts w:asciiTheme="minorHAnsi" w:eastAsia="Calibri" w:hAnsiTheme="minorHAnsi"/>
          <w:i/>
          <w:sz w:val="12"/>
          <w:lang w:val="sq-AL"/>
        </w:rPr>
      </w:pPr>
    </w:p>
    <w:p w:rsidR="00562780" w:rsidRPr="004C6F8D" w:rsidRDefault="00562780" w:rsidP="007F0B61">
      <w:pPr>
        <w:pStyle w:val="Heading2"/>
        <w:numPr>
          <w:ilvl w:val="0"/>
          <w:numId w:val="58"/>
        </w:numPr>
        <w:ind w:left="810" w:hanging="810"/>
        <w:rPr>
          <w:sz w:val="26"/>
          <w:szCs w:val="26"/>
        </w:rPr>
      </w:pPr>
      <w:bookmarkStart w:id="95" w:name="_Toc11134246"/>
      <w:bookmarkStart w:id="96" w:name="_Toc76470038"/>
      <w:r w:rsidRPr="004C6F8D">
        <w:rPr>
          <w:sz w:val="26"/>
          <w:szCs w:val="26"/>
        </w:rPr>
        <w:t>Vendimet e Gjykatës Ndërkombëtare të ARBITRAZHIT</w:t>
      </w:r>
      <w:bookmarkEnd w:id="95"/>
      <w:bookmarkEnd w:id="96"/>
      <w:r w:rsidRPr="004C6F8D">
        <w:rPr>
          <w:sz w:val="26"/>
          <w:szCs w:val="26"/>
        </w:rPr>
        <w:t xml:space="preserve"> </w:t>
      </w:r>
    </w:p>
    <w:p w:rsidR="00FF4AD5" w:rsidRPr="00FF4AD5" w:rsidRDefault="00FF4AD5" w:rsidP="00FF4AD5">
      <w:pPr>
        <w:spacing w:line="276" w:lineRule="auto"/>
        <w:contextualSpacing/>
        <w:jc w:val="both"/>
        <w:rPr>
          <w:rFonts w:asciiTheme="minorHAnsi" w:hAnsiTheme="minorHAnsi"/>
          <w:sz w:val="8"/>
          <w:szCs w:val="8"/>
          <w:lang w:val="sq-AL"/>
        </w:rPr>
      </w:pPr>
    </w:p>
    <w:p w:rsidR="00DA03D6" w:rsidRDefault="00DA03D6" w:rsidP="00DA03D6">
      <w:pPr>
        <w:spacing w:line="276" w:lineRule="auto"/>
        <w:contextualSpacing/>
        <w:jc w:val="both"/>
        <w:rPr>
          <w:rFonts w:asciiTheme="minorHAnsi" w:hAnsiTheme="minorHAnsi"/>
          <w:lang w:val="sq-AL"/>
        </w:rPr>
      </w:pPr>
      <w:r>
        <w:rPr>
          <w:rFonts w:asciiTheme="minorHAnsi" w:hAnsiTheme="minorHAnsi"/>
          <w:lang w:val="sq-AL"/>
        </w:rPr>
        <w:t>Këto vendime</w:t>
      </w:r>
      <w:r w:rsidRPr="004A11B3">
        <w:rPr>
          <w:rFonts w:asciiTheme="minorHAnsi" w:hAnsiTheme="minorHAnsi"/>
          <w:lang w:val="sq-AL"/>
        </w:rPr>
        <w:t xml:space="preserve"> kanë të bëjnë me vendimet e formës së prerë për zgjidhjen e konflikteve në mosmarrëveshjet dy ose shumëpalëshe, në ngarkim të shtetit shqiptar. Duke patur parasysh efektet e qënësishme financiare që rëndom shoqërojnë këto vendime, ato vlerësohen me risk të konsiderueshëm për buxhetin e shtetit. Në pjesën më të madhe, efektet financiare që rrjedhin nga zbatimi i këtyre vendimeve janë përballuar nga buxheti i vetë institucioneve buxhetore (kryesisht ministri linje), të cilat kanë qenë edhe palë e paditur në gjykimet respektive. Ndërkohë që, në rastet kur palë e paditur cilësohet ‘shteti shqiptar’ apo ‘qeveria shqiptare’, këto vendime likujdohen përmes buxhetit të </w:t>
      </w:r>
      <w:r>
        <w:rPr>
          <w:rFonts w:asciiTheme="minorHAnsi" w:hAnsiTheme="minorHAnsi"/>
          <w:lang w:val="sq-AL"/>
        </w:rPr>
        <w:t>MFE dhe/ose Fondit R</w:t>
      </w:r>
      <w:r w:rsidRPr="004A11B3">
        <w:rPr>
          <w:rFonts w:asciiTheme="minorHAnsi" w:hAnsiTheme="minorHAnsi"/>
          <w:lang w:val="sq-AL"/>
        </w:rPr>
        <w:t xml:space="preserve">ezervë të buxhetit të shtetit, nëse lind nevoja. </w:t>
      </w:r>
      <w:r>
        <w:rPr>
          <w:rFonts w:asciiTheme="minorHAnsi" w:hAnsiTheme="minorHAnsi"/>
          <w:lang w:val="sq-AL"/>
        </w:rPr>
        <w:t>MFE</w:t>
      </w:r>
      <w:r w:rsidRPr="00DE3687">
        <w:rPr>
          <w:rFonts w:asciiTheme="minorHAnsi" w:hAnsiTheme="minorHAnsi"/>
          <w:lang w:val="sq-AL"/>
        </w:rPr>
        <w:t>, në vazhdimësi dhe me këmbëngulje, ka rekomanduar forcimin e rolit negociues të institucioneve buxhetore dhe Avokaturës së Shtetit në çështjet e kësaj natyre, si edhe disiplinimin e proçesit të shlyerjes financiare të përfituesve. Kjo, me qëllimin final të lehtësimit, reduktimit dhe/ose shmangies së barrës financiare mbi buxhetin e shtetit.</w:t>
      </w:r>
      <w:r>
        <w:rPr>
          <w:rFonts w:asciiTheme="minorHAnsi" w:hAnsiTheme="minorHAnsi"/>
          <w:lang w:val="sq-AL"/>
        </w:rPr>
        <w:t xml:space="preserve"> </w:t>
      </w:r>
    </w:p>
    <w:p w:rsidR="00DA03D6" w:rsidRPr="002815BF" w:rsidRDefault="00DA03D6" w:rsidP="00DA03D6">
      <w:pPr>
        <w:spacing w:line="276" w:lineRule="auto"/>
        <w:jc w:val="both"/>
        <w:rPr>
          <w:rFonts w:asciiTheme="minorHAnsi" w:hAnsiTheme="minorHAnsi"/>
          <w:sz w:val="8"/>
          <w:szCs w:val="8"/>
          <w:lang w:val="sq-AL"/>
        </w:rPr>
      </w:pPr>
    </w:p>
    <w:p w:rsidR="00DA03D6" w:rsidRPr="002815BF" w:rsidRDefault="00DA03D6" w:rsidP="00DA03D6">
      <w:pPr>
        <w:spacing w:line="276" w:lineRule="auto"/>
        <w:jc w:val="both"/>
        <w:rPr>
          <w:rFonts w:asciiTheme="minorHAnsi" w:hAnsiTheme="minorHAnsi"/>
          <w:lang w:val="sq-AL"/>
        </w:rPr>
      </w:pPr>
      <w:r w:rsidRPr="002815BF">
        <w:rPr>
          <w:rFonts w:asciiTheme="minorHAnsi" w:hAnsiTheme="minorHAnsi"/>
          <w:lang w:val="sq-AL"/>
        </w:rPr>
        <w:t xml:space="preserve">Për </w:t>
      </w:r>
      <w:r w:rsidRPr="00DA03D6">
        <w:rPr>
          <w:rFonts w:asciiTheme="minorHAnsi" w:hAnsiTheme="minorHAnsi"/>
          <w:lang w:val="sq-AL"/>
        </w:rPr>
        <w:t>periudhën Janar-Qershor 2021, bazuar</w:t>
      </w:r>
      <w:r w:rsidRPr="002815BF">
        <w:rPr>
          <w:rFonts w:asciiTheme="minorHAnsi" w:hAnsiTheme="minorHAnsi"/>
          <w:lang w:val="sq-AL"/>
        </w:rPr>
        <w:t xml:space="preserve"> në raportimin e institucioneve buxhetore, vlera totale e paguar nga buxheti i shtetit, për vendimet e arbitrazhit, rezultoi në masën rreth </w:t>
      </w:r>
      <w:r>
        <w:rPr>
          <w:rFonts w:asciiTheme="minorHAnsi" w:hAnsiTheme="minorHAnsi"/>
          <w:lang w:val="sq-AL"/>
        </w:rPr>
        <w:t>99.2</w:t>
      </w:r>
      <w:r w:rsidRPr="00557296">
        <w:rPr>
          <w:rFonts w:asciiTheme="minorHAnsi" w:hAnsiTheme="minorHAnsi"/>
          <w:lang w:val="sq-AL"/>
        </w:rPr>
        <w:t xml:space="preserve"> milion LEK.</w:t>
      </w:r>
      <w:r w:rsidRPr="002815BF">
        <w:rPr>
          <w:rFonts w:asciiTheme="minorHAnsi" w:hAnsiTheme="minorHAnsi"/>
          <w:lang w:val="sq-AL"/>
        </w:rPr>
        <w:t xml:space="preserve"> Nga këto: </w:t>
      </w:r>
    </w:p>
    <w:p w:rsidR="00DA03D6" w:rsidRPr="00653723" w:rsidRDefault="00DA03D6" w:rsidP="007F0B61">
      <w:pPr>
        <w:pStyle w:val="ListParagraph"/>
        <w:numPr>
          <w:ilvl w:val="0"/>
          <w:numId w:val="59"/>
        </w:numPr>
        <w:spacing w:line="276" w:lineRule="auto"/>
        <w:jc w:val="both"/>
        <w:rPr>
          <w:rFonts w:asciiTheme="minorHAnsi" w:hAnsiTheme="minorHAnsi"/>
          <w:i/>
          <w:sz w:val="22"/>
          <w:lang w:val="sq-AL"/>
        </w:rPr>
      </w:pPr>
      <w:r w:rsidRPr="00653723">
        <w:rPr>
          <w:rFonts w:asciiTheme="minorHAnsi" w:hAnsiTheme="minorHAnsi"/>
          <w:i/>
          <w:sz w:val="22"/>
          <w:lang w:val="sq-AL"/>
        </w:rPr>
        <w:t>1.3 milion LEK nga Ministria e Infrastrukturës dhe Energjisë, për likuidimin e faturave të shërbimeve juridike, për përfaqësimin dhe mbrojtjen në çështjet e arbitrazhit ndërkombëtar.</w:t>
      </w:r>
    </w:p>
    <w:p w:rsidR="00DA03D6" w:rsidRPr="00653723" w:rsidRDefault="00DA03D6" w:rsidP="007F0B61">
      <w:pPr>
        <w:pStyle w:val="ListParagraph"/>
        <w:numPr>
          <w:ilvl w:val="0"/>
          <w:numId w:val="59"/>
        </w:numPr>
        <w:spacing w:line="276" w:lineRule="auto"/>
        <w:jc w:val="both"/>
        <w:rPr>
          <w:rFonts w:asciiTheme="minorHAnsi" w:hAnsiTheme="minorHAnsi"/>
          <w:i/>
          <w:sz w:val="22"/>
          <w:lang w:val="sq-AL"/>
        </w:rPr>
      </w:pPr>
      <w:r w:rsidRPr="00653723">
        <w:rPr>
          <w:rFonts w:asciiTheme="minorHAnsi" w:hAnsiTheme="minorHAnsi"/>
          <w:i/>
          <w:sz w:val="22"/>
          <w:lang w:val="sq-AL"/>
        </w:rPr>
        <w:t>41.94 milion Lek nga Ministria e Turizmit dhe Mjedisit për pagesën e shërbimeve juridike të studios ligjore, të kontraktuar për anullim vendim arbitrazhi.</w:t>
      </w:r>
    </w:p>
    <w:p w:rsidR="00DA03D6" w:rsidRPr="00653723" w:rsidRDefault="00DA03D6" w:rsidP="007F0B61">
      <w:pPr>
        <w:pStyle w:val="ListParagraph"/>
        <w:numPr>
          <w:ilvl w:val="0"/>
          <w:numId w:val="59"/>
        </w:numPr>
        <w:spacing w:line="276" w:lineRule="auto"/>
        <w:jc w:val="both"/>
        <w:rPr>
          <w:rFonts w:asciiTheme="minorHAnsi" w:hAnsiTheme="minorHAnsi"/>
          <w:i/>
          <w:sz w:val="22"/>
          <w:lang w:val="sq-AL"/>
        </w:rPr>
      </w:pPr>
      <w:r w:rsidRPr="00653723">
        <w:rPr>
          <w:rFonts w:asciiTheme="minorHAnsi" w:hAnsiTheme="minorHAnsi"/>
          <w:i/>
          <w:sz w:val="22"/>
          <w:lang w:val="sq-AL"/>
        </w:rPr>
        <w:t>10.084 milion LEK nga Ministria e Bujqësisë dhe Zhvillimit Rural, për pagesën e shpenzimeve administrative të gjykatës, për çështjen ‘Valeria SRL’.</w:t>
      </w:r>
    </w:p>
    <w:p w:rsidR="00DA03D6" w:rsidRPr="00653723" w:rsidRDefault="00DA03D6" w:rsidP="007F0B61">
      <w:pPr>
        <w:pStyle w:val="ListParagraph"/>
        <w:numPr>
          <w:ilvl w:val="0"/>
          <w:numId w:val="59"/>
        </w:numPr>
        <w:spacing w:line="276" w:lineRule="auto"/>
        <w:jc w:val="both"/>
        <w:rPr>
          <w:rFonts w:asciiTheme="minorHAnsi" w:hAnsiTheme="minorHAnsi"/>
          <w:i/>
          <w:sz w:val="22"/>
          <w:lang w:val="sq-AL"/>
        </w:rPr>
      </w:pPr>
      <w:r w:rsidRPr="00653723">
        <w:rPr>
          <w:rFonts w:asciiTheme="minorHAnsi" w:hAnsiTheme="minorHAnsi"/>
          <w:i/>
          <w:sz w:val="22"/>
          <w:lang w:val="sq-AL"/>
        </w:rPr>
        <w:t>45.84 milion LEK nga Ministria e Financave dhe Ekonomisë, për pagesën e shërbimeve juridike për përfaqësimin dhe mbrojtjen në çështjet e arbitrazhit ndërkombëtar.</w:t>
      </w:r>
    </w:p>
    <w:p w:rsidR="00DA03D6" w:rsidRPr="00E978C5" w:rsidRDefault="00DA03D6" w:rsidP="00DA03D6">
      <w:pPr>
        <w:spacing w:line="276" w:lineRule="auto"/>
        <w:jc w:val="both"/>
        <w:rPr>
          <w:rFonts w:ascii="Segoe UI Symbol" w:hAnsi="Segoe UI Symbol"/>
          <w:lang w:val="sq-AL" w:eastAsia="ja-JP"/>
        </w:rPr>
      </w:pPr>
      <w:r>
        <w:rPr>
          <w:rFonts w:asciiTheme="minorHAnsi" w:hAnsiTheme="minorHAnsi"/>
          <w:lang w:val="sq-AL"/>
        </w:rPr>
        <w:lastRenderedPageBreak/>
        <w:t xml:space="preserve">Mëposhtë paraqitet tabela përmbledhëse e detyrimeve për vendimet e Arbitrazhit Ndërkombëtar, </w:t>
      </w:r>
      <w:r w:rsidRPr="008B0AD0">
        <w:rPr>
          <w:rFonts w:asciiTheme="minorHAnsi" w:hAnsiTheme="minorHAnsi"/>
          <w:lang w:val="sq-AL"/>
        </w:rPr>
        <w:t xml:space="preserve"> </w:t>
      </w:r>
      <w:r>
        <w:rPr>
          <w:rFonts w:asciiTheme="minorHAnsi" w:hAnsiTheme="minorHAnsi"/>
          <w:lang w:val="sq-AL"/>
        </w:rPr>
        <w:t>bazuar në informacionin që disponon Ministria e Financave dhe Ekonomisë.</w:t>
      </w:r>
    </w:p>
    <w:p w:rsidR="00AF49E0" w:rsidRPr="00E2618C" w:rsidRDefault="00AF49E0" w:rsidP="008F207A">
      <w:pPr>
        <w:spacing w:after="240" w:line="276" w:lineRule="auto"/>
        <w:contextualSpacing/>
        <w:rPr>
          <w:rFonts w:ascii="Calibri" w:hAnsi="Calibri"/>
          <w:bCs/>
          <w:i/>
          <w:sz w:val="8"/>
          <w:szCs w:val="8"/>
          <w:lang w:val="sq-AL"/>
        </w:rPr>
      </w:pPr>
    </w:p>
    <w:p w:rsidR="008F207A" w:rsidRPr="00E2618C" w:rsidRDefault="008F207A" w:rsidP="008F207A">
      <w:pPr>
        <w:spacing w:after="240" w:line="276" w:lineRule="auto"/>
        <w:contextualSpacing/>
        <w:rPr>
          <w:rFonts w:ascii="Calibri" w:hAnsi="Calibri"/>
          <w:sz w:val="22"/>
          <w:lang w:val="sq-AL"/>
        </w:rPr>
      </w:pPr>
      <w:bookmarkStart w:id="97" w:name="_Toc76470063"/>
      <w:r w:rsidRPr="00E2618C">
        <w:rPr>
          <w:rFonts w:ascii="Calibri" w:hAnsi="Calibri"/>
          <w:bCs/>
          <w:i/>
          <w:sz w:val="22"/>
          <w:lang w:val="sq-AL"/>
        </w:rPr>
        <w:t xml:space="preserve">Tabela </w:t>
      </w:r>
      <w:r w:rsidRPr="00E2618C">
        <w:rPr>
          <w:rFonts w:ascii="Calibri" w:hAnsi="Calibri"/>
          <w:bCs/>
          <w:i/>
          <w:sz w:val="22"/>
          <w:lang w:val="sq-AL"/>
        </w:rPr>
        <w:fldChar w:fldCharType="begin"/>
      </w:r>
      <w:r w:rsidRPr="00E2618C">
        <w:rPr>
          <w:rFonts w:ascii="Calibri" w:hAnsi="Calibri"/>
          <w:bCs/>
          <w:i/>
          <w:sz w:val="22"/>
          <w:lang w:val="sq-AL"/>
        </w:rPr>
        <w:instrText xml:space="preserve"> SEQ Tabela \* ARABIC </w:instrText>
      </w:r>
      <w:r w:rsidRPr="00E2618C">
        <w:rPr>
          <w:rFonts w:ascii="Calibri" w:hAnsi="Calibri"/>
          <w:bCs/>
          <w:i/>
          <w:sz w:val="22"/>
          <w:lang w:val="sq-AL"/>
        </w:rPr>
        <w:fldChar w:fldCharType="separate"/>
      </w:r>
      <w:r w:rsidR="003C5F40">
        <w:rPr>
          <w:rFonts w:ascii="Calibri" w:hAnsi="Calibri"/>
          <w:bCs/>
          <w:i/>
          <w:noProof/>
          <w:sz w:val="22"/>
          <w:lang w:val="sq-AL"/>
        </w:rPr>
        <w:t>9</w:t>
      </w:r>
      <w:r w:rsidRPr="00E2618C">
        <w:rPr>
          <w:rFonts w:ascii="Calibri" w:hAnsi="Calibri"/>
          <w:bCs/>
          <w:i/>
          <w:sz w:val="22"/>
          <w:lang w:val="sq-AL"/>
        </w:rPr>
        <w:fldChar w:fldCharType="end"/>
      </w:r>
      <w:r w:rsidRPr="00E2618C">
        <w:rPr>
          <w:rFonts w:ascii="Calibri" w:hAnsi="Calibri"/>
          <w:bCs/>
          <w:i/>
          <w:sz w:val="22"/>
          <w:lang w:val="sq-AL"/>
        </w:rPr>
        <w:t xml:space="preserve">: </w:t>
      </w:r>
      <w:r w:rsidRPr="00E2618C">
        <w:rPr>
          <w:rFonts w:ascii="Calibri" w:hAnsi="Calibri"/>
          <w:i/>
          <w:sz w:val="22"/>
          <w:lang w:val="sq-AL"/>
        </w:rPr>
        <w:t>Detyrime për vendimet e Arbitrazhit Ndërkombëtar</w:t>
      </w:r>
      <w:r w:rsidRPr="00E2618C">
        <w:rPr>
          <w:rFonts w:ascii="Calibri" w:hAnsi="Calibri"/>
          <w:sz w:val="22"/>
          <w:lang w:val="sq-AL"/>
        </w:rPr>
        <w:t xml:space="preserve"> (n</w:t>
      </w:r>
      <w:r w:rsidR="002323A5" w:rsidRPr="00E2618C">
        <w:rPr>
          <w:rFonts w:ascii="Calibri" w:hAnsi="Calibri"/>
          <w:sz w:val="22"/>
          <w:lang w:val="sq-AL"/>
        </w:rPr>
        <w:t>ë</w:t>
      </w:r>
      <w:r w:rsidRPr="00E2618C">
        <w:rPr>
          <w:rFonts w:ascii="Calibri" w:hAnsi="Calibri"/>
          <w:sz w:val="22"/>
          <w:lang w:val="sq-AL"/>
        </w:rPr>
        <w:t xml:space="preserve"> EUR)</w:t>
      </w:r>
      <w:bookmarkEnd w:id="97"/>
      <w:r w:rsidRPr="00E2618C">
        <w:rPr>
          <w:rFonts w:ascii="Calibri" w:hAnsi="Calibri"/>
          <w:sz w:val="22"/>
          <w:lang w:val="sq-AL"/>
        </w:rPr>
        <w:t xml:space="preserve">                                                                    </w:t>
      </w:r>
    </w:p>
    <w:p w:rsidR="00FF4AD5" w:rsidRDefault="00422501" w:rsidP="00932560">
      <w:pPr>
        <w:ind w:left="-360"/>
        <w:jc w:val="center"/>
        <w:rPr>
          <w:rFonts w:asciiTheme="minorHAnsi" w:hAnsiTheme="minorHAnsi"/>
          <w:i/>
          <w:sz w:val="22"/>
          <w:lang w:val="sq-AL"/>
        </w:rPr>
      </w:pPr>
      <w:r w:rsidRPr="00B92AF6">
        <w:rPr>
          <w:noProof/>
        </w:rPr>
        <w:drawing>
          <wp:inline distT="0" distB="0" distL="0" distR="0" wp14:anchorId="14F1F912" wp14:editId="21ECF53E">
            <wp:extent cx="6614160" cy="66598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614458" cy="6660180"/>
                    </a:xfrm>
                    <a:prstGeom prst="rect">
                      <a:avLst/>
                    </a:prstGeom>
                    <a:noFill/>
                    <a:ln>
                      <a:noFill/>
                    </a:ln>
                  </pic:spPr>
                </pic:pic>
              </a:graphicData>
            </a:graphic>
          </wp:inline>
        </w:drawing>
      </w:r>
    </w:p>
    <w:p w:rsidR="00EF1561" w:rsidRPr="00EF1561" w:rsidRDefault="00EF1561" w:rsidP="008F207A">
      <w:pPr>
        <w:spacing w:line="276" w:lineRule="auto"/>
        <w:ind w:firstLine="720"/>
        <w:rPr>
          <w:rFonts w:asciiTheme="minorHAnsi" w:eastAsia="SimSun" w:hAnsiTheme="minorHAnsi"/>
          <w:i/>
          <w:sz w:val="4"/>
          <w:lang w:val="sq-AL"/>
        </w:rPr>
      </w:pPr>
    </w:p>
    <w:p w:rsidR="008F207A" w:rsidRDefault="008F207A" w:rsidP="008F207A">
      <w:pPr>
        <w:spacing w:line="276" w:lineRule="auto"/>
        <w:ind w:firstLine="720"/>
        <w:rPr>
          <w:rFonts w:asciiTheme="minorHAnsi" w:eastAsia="SimSun" w:hAnsiTheme="minorHAnsi"/>
          <w:i/>
          <w:sz w:val="18"/>
          <w:lang w:val="sq-AL"/>
        </w:rPr>
      </w:pPr>
      <w:r w:rsidRPr="00653723">
        <w:rPr>
          <w:rFonts w:asciiTheme="minorHAnsi" w:eastAsia="SimSun" w:hAnsiTheme="minorHAnsi"/>
          <w:i/>
          <w:sz w:val="18"/>
          <w:lang w:val="sq-AL"/>
        </w:rPr>
        <w:t>Burimi: Ministria e Financave dhe Ekonomisë (202</w:t>
      </w:r>
      <w:r w:rsidR="00653723">
        <w:rPr>
          <w:rFonts w:asciiTheme="minorHAnsi" w:eastAsia="SimSun" w:hAnsiTheme="minorHAnsi"/>
          <w:i/>
          <w:sz w:val="18"/>
          <w:lang w:val="sq-AL"/>
        </w:rPr>
        <w:t>1</w:t>
      </w:r>
      <w:r w:rsidRPr="00653723">
        <w:rPr>
          <w:rFonts w:asciiTheme="minorHAnsi" w:eastAsia="SimSun" w:hAnsiTheme="minorHAnsi"/>
          <w:i/>
          <w:sz w:val="18"/>
          <w:lang w:val="sq-AL"/>
        </w:rPr>
        <w:t>)</w:t>
      </w:r>
    </w:p>
    <w:p w:rsidR="00F07CFC" w:rsidRDefault="00F07CFC" w:rsidP="008F207A">
      <w:pPr>
        <w:spacing w:line="276" w:lineRule="auto"/>
        <w:ind w:firstLine="720"/>
        <w:rPr>
          <w:rFonts w:asciiTheme="minorHAnsi" w:eastAsia="SimSun" w:hAnsiTheme="minorHAnsi"/>
          <w:i/>
          <w:sz w:val="18"/>
          <w:lang w:val="sq-AL"/>
        </w:rPr>
      </w:pPr>
    </w:p>
    <w:p w:rsidR="00F07CFC" w:rsidRDefault="00F07CFC" w:rsidP="008F207A">
      <w:pPr>
        <w:spacing w:line="276" w:lineRule="auto"/>
        <w:ind w:firstLine="720"/>
        <w:rPr>
          <w:rFonts w:asciiTheme="minorHAnsi" w:eastAsia="SimSun" w:hAnsiTheme="minorHAnsi"/>
          <w:i/>
          <w:sz w:val="18"/>
          <w:lang w:val="sq-AL"/>
        </w:rPr>
      </w:pPr>
    </w:p>
    <w:p w:rsidR="00F07CFC" w:rsidRDefault="00F07CFC" w:rsidP="008F207A">
      <w:pPr>
        <w:spacing w:line="276" w:lineRule="auto"/>
        <w:ind w:firstLine="720"/>
        <w:rPr>
          <w:rFonts w:asciiTheme="minorHAnsi" w:eastAsia="SimSun" w:hAnsiTheme="minorHAnsi"/>
          <w:i/>
          <w:sz w:val="18"/>
          <w:lang w:val="sq-AL"/>
        </w:rPr>
      </w:pPr>
    </w:p>
    <w:p w:rsidR="00F07CFC" w:rsidRDefault="00F07CFC" w:rsidP="008F207A">
      <w:pPr>
        <w:spacing w:line="276" w:lineRule="auto"/>
        <w:ind w:firstLine="720"/>
        <w:rPr>
          <w:rFonts w:asciiTheme="minorHAnsi" w:eastAsia="SimSun" w:hAnsiTheme="minorHAnsi"/>
          <w:i/>
          <w:sz w:val="18"/>
          <w:lang w:val="sq-AL"/>
        </w:rPr>
      </w:pPr>
    </w:p>
    <w:p w:rsidR="00F07CFC" w:rsidRDefault="00F07CFC" w:rsidP="008F207A">
      <w:pPr>
        <w:spacing w:line="276" w:lineRule="auto"/>
        <w:ind w:firstLine="720"/>
        <w:rPr>
          <w:rFonts w:asciiTheme="minorHAnsi" w:eastAsia="SimSun" w:hAnsiTheme="minorHAnsi"/>
          <w:i/>
          <w:sz w:val="18"/>
          <w:lang w:val="sq-AL"/>
        </w:rPr>
      </w:pPr>
    </w:p>
    <w:p w:rsidR="00F07CFC" w:rsidRDefault="00F07CFC" w:rsidP="008F207A">
      <w:pPr>
        <w:spacing w:line="276" w:lineRule="auto"/>
        <w:ind w:firstLine="720"/>
        <w:rPr>
          <w:rFonts w:asciiTheme="minorHAnsi" w:eastAsia="SimSun" w:hAnsiTheme="minorHAnsi"/>
          <w:i/>
          <w:sz w:val="18"/>
          <w:lang w:val="sq-AL"/>
        </w:rPr>
      </w:pPr>
    </w:p>
    <w:p w:rsidR="00F07CFC" w:rsidRDefault="00F07CFC" w:rsidP="008F207A">
      <w:pPr>
        <w:spacing w:line="276" w:lineRule="auto"/>
        <w:ind w:firstLine="720"/>
        <w:rPr>
          <w:rFonts w:asciiTheme="minorHAnsi" w:eastAsia="SimSun" w:hAnsiTheme="minorHAnsi"/>
          <w:i/>
          <w:sz w:val="18"/>
          <w:lang w:val="sq-AL"/>
        </w:rPr>
      </w:pPr>
    </w:p>
    <w:p w:rsidR="00F07CFC" w:rsidRDefault="00F07CFC" w:rsidP="008F207A">
      <w:pPr>
        <w:spacing w:line="276" w:lineRule="auto"/>
        <w:ind w:firstLine="720"/>
        <w:rPr>
          <w:rFonts w:asciiTheme="minorHAnsi" w:eastAsia="SimSun" w:hAnsiTheme="minorHAnsi"/>
          <w:i/>
          <w:sz w:val="18"/>
          <w:lang w:val="sq-AL"/>
        </w:rPr>
      </w:pPr>
    </w:p>
    <w:p w:rsidR="00F07CFC" w:rsidRPr="00653723" w:rsidRDefault="00F07CFC" w:rsidP="008F207A">
      <w:pPr>
        <w:spacing w:line="276" w:lineRule="auto"/>
        <w:ind w:firstLine="720"/>
        <w:rPr>
          <w:rFonts w:asciiTheme="minorHAnsi" w:eastAsia="SimSun" w:hAnsiTheme="minorHAnsi"/>
          <w:i/>
          <w:sz w:val="18"/>
          <w:lang w:val="sq-AL"/>
        </w:rPr>
      </w:pPr>
    </w:p>
    <w:p w:rsidR="00F02D9D" w:rsidRPr="00F02D9D" w:rsidRDefault="00F02D9D" w:rsidP="008F207A">
      <w:pPr>
        <w:spacing w:line="276" w:lineRule="auto"/>
        <w:ind w:firstLine="720"/>
        <w:rPr>
          <w:rFonts w:asciiTheme="minorHAnsi" w:eastAsia="SimSun" w:hAnsiTheme="minorHAnsi"/>
          <w:i/>
          <w:sz w:val="4"/>
          <w:lang w:val="sq-AL"/>
        </w:rPr>
      </w:pPr>
    </w:p>
    <w:p w:rsidR="00880BDE" w:rsidRPr="00A40EC7" w:rsidRDefault="00765663" w:rsidP="00F02D9D">
      <w:pPr>
        <w:pStyle w:val="Heading1"/>
        <w:numPr>
          <w:ilvl w:val="0"/>
          <w:numId w:val="1"/>
        </w:numPr>
        <w:spacing w:before="0" w:line="276" w:lineRule="auto"/>
        <w:ind w:left="720"/>
        <w:jc w:val="both"/>
        <w:rPr>
          <w:color w:val="C00000"/>
          <w:sz w:val="32"/>
          <w:u w:val="none"/>
        </w:rPr>
      </w:pPr>
      <w:bookmarkStart w:id="98" w:name="_Toc76470039"/>
      <w:r w:rsidRPr="00A40EC7">
        <w:rPr>
          <w:color w:val="C00000"/>
          <w:sz w:val="32"/>
          <w:u w:val="none"/>
        </w:rPr>
        <w:lastRenderedPageBreak/>
        <w:t>KONKLUZIONE DHE PROPOZIME</w:t>
      </w:r>
      <w:bookmarkEnd w:id="98"/>
    </w:p>
    <w:p w:rsidR="00F02D9D" w:rsidRPr="00F02D9D" w:rsidRDefault="00F02D9D" w:rsidP="00C74FE0">
      <w:pPr>
        <w:spacing w:line="276" w:lineRule="auto"/>
        <w:jc w:val="both"/>
        <w:rPr>
          <w:rFonts w:ascii="Calibri" w:hAnsi="Calibri"/>
          <w:i/>
          <w:sz w:val="8"/>
          <w:szCs w:val="8"/>
          <w:lang w:val="sq-AL"/>
        </w:rPr>
      </w:pPr>
    </w:p>
    <w:p w:rsidR="002C1E6C" w:rsidRPr="005C5B2F" w:rsidRDefault="002C1E6C" w:rsidP="00F07CFC">
      <w:pPr>
        <w:spacing w:before="240" w:line="276" w:lineRule="auto"/>
        <w:jc w:val="both"/>
        <w:rPr>
          <w:rFonts w:ascii="Calibri" w:hAnsi="Calibri"/>
          <w:noProof/>
          <w:lang w:val="sq-AL"/>
        </w:rPr>
      </w:pPr>
      <w:r w:rsidRPr="002C1E6C">
        <w:rPr>
          <w:rFonts w:ascii="Calibri" w:hAnsi="Calibri"/>
          <w:i/>
          <w:noProof/>
          <w:lang w:val="sq-AL"/>
        </w:rPr>
        <w:t>Perspektiva për ekonominë shqiptare ka ardhur në përmirësim</w:t>
      </w:r>
      <w:r w:rsidRPr="005C5B2F">
        <w:rPr>
          <w:rFonts w:ascii="Calibri" w:hAnsi="Calibri"/>
          <w:noProof/>
          <w:lang w:val="sq-AL"/>
        </w:rPr>
        <w:t>, duke faktorizuar fleksibilitetin e deritanishëm të ekonomisë për t’iu përshtatur kushteve të reja, mbështetjen e vazhduar me politika ekonomike stimuluese, dhe rritjen e imunitetit të popullsisë, në linjë me vazhdimin e programeve të vaksinimit.</w:t>
      </w:r>
      <w:r>
        <w:rPr>
          <w:rFonts w:ascii="Calibri" w:hAnsi="Calibri"/>
          <w:noProof/>
          <w:lang w:val="sq-AL"/>
        </w:rPr>
        <w:t xml:space="preserve"> </w:t>
      </w:r>
      <w:r w:rsidRPr="005C5B2F">
        <w:rPr>
          <w:rFonts w:ascii="Calibri" w:hAnsi="Calibri"/>
          <w:noProof/>
          <w:lang w:val="sq-AL"/>
        </w:rPr>
        <w:t xml:space="preserve">Parashikimi per vitin aktual 2021 është pozitiv dhe pritet që ekonomia të rikthehet në ritmet pozitive të rritjes, në nivelin prej 5.5%. Pёrgjatё periudhёs afatmesme, rritja ekonomike pritet të gjenerohet kryesisht nga kërkesa e brendshme, si konsumi privat ashtu edhe investimet. Ndërkohë kërkesa e huaj neto (eksport – import) pritet të sjellë gjithashtu një efekt pozitiv, por marxhinal. </w:t>
      </w:r>
    </w:p>
    <w:p w:rsidR="00BA5358" w:rsidRPr="008021D4" w:rsidRDefault="00D57893" w:rsidP="00F07CFC">
      <w:pPr>
        <w:spacing w:before="240" w:line="276" w:lineRule="auto"/>
        <w:jc w:val="both"/>
        <w:rPr>
          <w:rFonts w:asciiTheme="minorHAnsi" w:hAnsiTheme="minorHAnsi" w:cstheme="minorHAnsi"/>
          <w:noProof/>
          <w:color w:val="FF0000"/>
          <w:lang w:val="sq-AL"/>
        </w:rPr>
      </w:pPr>
      <w:r>
        <w:rPr>
          <w:rFonts w:asciiTheme="minorHAnsi" w:hAnsiTheme="minorHAnsi"/>
          <w:i/>
          <w:lang w:val="sq-AL"/>
        </w:rPr>
        <w:t>Pritshm</w:t>
      </w:r>
      <w:r w:rsidR="000B7B21">
        <w:rPr>
          <w:rFonts w:asciiTheme="minorHAnsi" w:hAnsiTheme="minorHAnsi"/>
          <w:i/>
          <w:lang w:val="sq-AL"/>
        </w:rPr>
        <w:t>ë</w:t>
      </w:r>
      <w:r>
        <w:rPr>
          <w:rFonts w:asciiTheme="minorHAnsi" w:hAnsiTheme="minorHAnsi"/>
          <w:i/>
          <w:lang w:val="sq-AL"/>
        </w:rPr>
        <w:t>ria n</w:t>
      </w:r>
      <w:r w:rsidR="00BA5358">
        <w:rPr>
          <w:rFonts w:asciiTheme="minorHAnsi" w:hAnsiTheme="minorHAnsi"/>
          <w:i/>
          <w:lang w:val="sq-AL"/>
        </w:rPr>
        <w:t xml:space="preserve">ë kahun e </w:t>
      </w:r>
      <w:r w:rsidR="0078470D" w:rsidRPr="00C74FE0">
        <w:rPr>
          <w:rFonts w:asciiTheme="minorHAnsi" w:hAnsiTheme="minorHAnsi"/>
          <w:i/>
          <w:lang w:val="sq-AL"/>
        </w:rPr>
        <w:t>të ardhurave buxhetore</w:t>
      </w:r>
      <w:r w:rsidR="0078470D" w:rsidRPr="00C74FE0">
        <w:rPr>
          <w:rFonts w:asciiTheme="minorHAnsi" w:hAnsiTheme="minorHAnsi"/>
          <w:lang w:val="sq-AL"/>
        </w:rPr>
        <w:t xml:space="preserve"> </w:t>
      </w:r>
      <w:r w:rsidR="00BA5358">
        <w:rPr>
          <w:rFonts w:asciiTheme="minorHAnsi" w:hAnsiTheme="minorHAnsi"/>
          <w:lang w:val="sq-AL"/>
        </w:rPr>
        <w:t xml:space="preserve">– </w:t>
      </w:r>
      <w:r w:rsidR="00BA5358" w:rsidRPr="00FF064D">
        <w:rPr>
          <w:rFonts w:asciiTheme="minorHAnsi" w:hAnsiTheme="minorHAnsi" w:cstheme="minorHAnsi"/>
          <w:color w:val="000000" w:themeColor="text1"/>
          <w:lang w:val="sq-AL"/>
        </w:rPr>
        <w:t>Bazuar</w:t>
      </w:r>
      <w:r w:rsidR="00BA5358">
        <w:rPr>
          <w:rFonts w:asciiTheme="minorHAnsi" w:hAnsiTheme="minorHAnsi" w:cstheme="minorHAnsi"/>
          <w:color w:val="000000" w:themeColor="text1"/>
          <w:lang w:val="sq-AL"/>
        </w:rPr>
        <w:t xml:space="preserve"> </w:t>
      </w:r>
      <w:r w:rsidR="00BA5358" w:rsidRPr="00FF064D">
        <w:rPr>
          <w:rFonts w:asciiTheme="minorHAnsi" w:hAnsiTheme="minorHAnsi" w:cstheme="minorHAnsi"/>
          <w:color w:val="000000" w:themeColor="text1"/>
          <w:lang w:val="sq-AL"/>
        </w:rPr>
        <w:t>në performancën e 5 mujorit Janar</w:t>
      </w:r>
      <w:r w:rsidR="00BA5358">
        <w:rPr>
          <w:rFonts w:asciiTheme="minorHAnsi" w:hAnsiTheme="minorHAnsi" w:cstheme="minorHAnsi"/>
          <w:color w:val="000000" w:themeColor="text1"/>
          <w:lang w:val="sq-AL"/>
        </w:rPr>
        <w:t>-</w:t>
      </w:r>
      <w:r w:rsidR="00BA5358" w:rsidRPr="00FF064D">
        <w:rPr>
          <w:rFonts w:asciiTheme="minorHAnsi" w:hAnsiTheme="minorHAnsi" w:cstheme="minorHAnsi"/>
          <w:color w:val="000000" w:themeColor="text1"/>
          <w:lang w:val="sq-AL"/>
        </w:rPr>
        <w:t>Maj</w:t>
      </w:r>
      <w:r w:rsidR="00BA5358">
        <w:rPr>
          <w:rFonts w:asciiTheme="minorHAnsi" w:hAnsiTheme="minorHAnsi" w:cstheme="minorHAnsi"/>
          <w:color w:val="000000" w:themeColor="text1"/>
          <w:lang w:val="sq-AL"/>
        </w:rPr>
        <w:t xml:space="preserve"> 2021</w:t>
      </w:r>
      <w:r>
        <w:rPr>
          <w:rFonts w:asciiTheme="minorHAnsi" w:hAnsiTheme="minorHAnsi" w:cstheme="minorHAnsi"/>
          <w:color w:val="000000" w:themeColor="text1"/>
          <w:lang w:val="sq-AL"/>
        </w:rPr>
        <w:t>, si dh</w:t>
      </w:r>
      <w:r w:rsidR="00BA5358" w:rsidRPr="00FF064D">
        <w:rPr>
          <w:rFonts w:asciiTheme="minorHAnsi" w:hAnsiTheme="minorHAnsi" w:cstheme="minorHAnsi"/>
          <w:color w:val="000000" w:themeColor="text1"/>
          <w:lang w:val="sq-AL"/>
        </w:rPr>
        <w:t xml:space="preserve">në analizën e faktorëve që mund të impaktojnë realizimin e të ardhurave tatimore dhe doganore </w:t>
      </w:r>
      <w:r w:rsidR="00BA5358">
        <w:rPr>
          <w:rFonts w:asciiTheme="minorHAnsi" w:hAnsiTheme="minorHAnsi" w:cstheme="minorHAnsi"/>
          <w:color w:val="000000" w:themeColor="text1"/>
          <w:lang w:val="sq-AL"/>
        </w:rPr>
        <w:t>p</w:t>
      </w:r>
      <w:r w:rsidR="00BA5358" w:rsidRPr="00FF064D">
        <w:rPr>
          <w:rFonts w:asciiTheme="minorHAnsi" w:hAnsiTheme="minorHAnsi" w:cstheme="minorHAnsi"/>
          <w:color w:val="000000" w:themeColor="text1"/>
          <w:lang w:val="sq-AL"/>
        </w:rPr>
        <w:t>ë</w:t>
      </w:r>
      <w:r w:rsidR="00BA5358">
        <w:rPr>
          <w:rFonts w:asciiTheme="minorHAnsi" w:hAnsiTheme="minorHAnsi" w:cstheme="minorHAnsi"/>
          <w:color w:val="000000" w:themeColor="text1"/>
          <w:lang w:val="sq-AL"/>
        </w:rPr>
        <w:t>r</w:t>
      </w:r>
      <w:r w:rsidR="00BA5358" w:rsidRPr="00FF064D">
        <w:rPr>
          <w:rFonts w:asciiTheme="minorHAnsi" w:hAnsiTheme="minorHAnsi" w:cstheme="minorHAnsi"/>
          <w:color w:val="000000" w:themeColor="text1"/>
          <w:lang w:val="sq-AL"/>
        </w:rPr>
        <w:t xml:space="preserve"> 7 mujorin në vijim të vitit 2021, të ardhurat që administrohen nga Drejtoria e Përgjithshme e Tatimeve (DPT) dhe Drejtoria e Përgjithshme e Doganave (DPD), p</w:t>
      </w:r>
      <w:r w:rsidR="00BA5358" w:rsidRPr="00FF064D">
        <w:rPr>
          <w:rFonts w:asciiTheme="minorHAnsi" w:hAnsiTheme="minorHAnsi" w:cstheme="minorHAnsi"/>
          <w:noProof/>
          <w:color w:val="000000" w:themeColor="text1"/>
          <w:lang w:val="sq-AL"/>
        </w:rPr>
        <w:t xml:space="preserve">ërfshirë kontributet e sigurimeve shoqërore dhe shëndetësore, </w:t>
      </w:r>
      <w:r w:rsidR="00BA5358" w:rsidRPr="00393991">
        <w:rPr>
          <w:rFonts w:asciiTheme="minorHAnsi" w:hAnsiTheme="minorHAnsi" w:cstheme="minorHAnsi"/>
          <w:noProof/>
          <w:lang w:val="sq-AL"/>
        </w:rPr>
        <w:t xml:space="preserve">pritet të realizohen </w:t>
      </w:r>
      <w:r w:rsidR="00BA5358">
        <w:rPr>
          <w:rFonts w:asciiTheme="minorHAnsi" w:hAnsiTheme="minorHAnsi" w:cstheme="minorHAnsi"/>
          <w:noProof/>
          <w:lang w:val="sq-AL"/>
        </w:rPr>
        <w:t>kënaqshëm</w:t>
      </w:r>
      <w:r w:rsidR="008021D4">
        <w:rPr>
          <w:rFonts w:asciiTheme="minorHAnsi" w:hAnsiTheme="minorHAnsi" w:cstheme="minorHAnsi"/>
          <w:noProof/>
          <w:lang w:val="sq-AL"/>
        </w:rPr>
        <w:t xml:space="preserve"> </w:t>
      </w:r>
      <w:r w:rsidR="00BA5358" w:rsidRPr="00393991">
        <w:rPr>
          <w:rFonts w:asciiTheme="minorHAnsi" w:hAnsiTheme="minorHAnsi" w:cstheme="minorHAnsi"/>
          <w:noProof/>
          <w:lang w:val="sq-AL"/>
        </w:rPr>
        <w:t xml:space="preserve">në nivelin 97.5% - 98%. </w:t>
      </w:r>
      <w:r w:rsidR="00BA5358" w:rsidRPr="001F638E">
        <w:rPr>
          <w:rFonts w:asciiTheme="minorHAnsi" w:hAnsiTheme="minorHAnsi" w:cstheme="minorHAnsi"/>
          <w:color w:val="000000" w:themeColor="text1"/>
          <w:lang w:val="sq-AL"/>
        </w:rPr>
        <w:t>Ndër faktorët kryesorë të cilët do të ndikojnë në realizimin e  pritshëm të të ardh</w:t>
      </w:r>
      <w:r w:rsidR="00BA5358">
        <w:rPr>
          <w:rFonts w:asciiTheme="minorHAnsi" w:hAnsiTheme="minorHAnsi" w:cstheme="minorHAnsi"/>
          <w:color w:val="000000" w:themeColor="text1"/>
          <w:lang w:val="sq-AL"/>
        </w:rPr>
        <w:t>urave deri në fund të vitit 2021</w:t>
      </w:r>
      <w:r w:rsidR="00BA5358" w:rsidRPr="001F638E">
        <w:rPr>
          <w:rFonts w:asciiTheme="minorHAnsi" w:hAnsiTheme="minorHAnsi" w:cstheme="minorHAnsi"/>
          <w:color w:val="000000" w:themeColor="text1"/>
          <w:lang w:val="sq-AL"/>
        </w:rPr>
        <w:t xml:space="preserve"> janë: </w:t>
      </w:r>
    </w:p>
    <w:p w:rsidR="00BA5358" w:rsidRPr="00F07CFC" w:rsidRDefault="00BA5358" w:rsidP="007F0B61">
      <w:pPr>
        <w:pStyle w:val="ListParagraph"/>
        <w:widowControl w:val="0"/>
        <w:numPr>
          <w:ilvl w:val="0"/>
          <w:numId w:val="11"/>
        </w:numPr>
        <w:spacing w:line="276" w:lineRule="auto"/>
        <w:ind w:left="540"/>
        <w:jc w:val="both"/>
        <w:rPr>
          <w:rFonts w:asciiTheme="minorHAnsi" w:hAnsiTheme="minorHAnsi" w:cstheme="minorHAnsi"/>
          <w:i/>
          <w:lang w:val="sq-AL"/>
        </w:rPr>
      </w:pPr>
      <w:r w:rsidRPr="00F07CFC">
        <w:rPr>
          <w:rFonts w:asciiTheme="minorHAnsi" w:hAnsiTheme="minorHAnsi" w:cstheme="minorHAnsi"/>
          <w:i/>
          <w:lang w:val="sq-AL"/>
        </w:rPr>
        <w:t>Thellimi i luftës kundër informalitetit, duke përmirësuar administrimin tatimor dhe atë doganor.</w:t>
      </w:r>
    </w:p>
    <w:p w:rsidR="00BA5358" w:rsidRPr="00F07CFC" w:rsidRDefault="00BA5358" w:rsidP="007F0B61">
      <w:pPr>
        <w:pStyle w:val="ListParagraph"/>
        <w:widowControl w:val="0"/>
        <w:numPr>
          <w:ilvl w:val="0"/>
          <w:numId w:val="11"/>
        </w:numPr>
        <w:spacing w:line="276" w:lineRule="auto"/>
        <w:ind w:left="540"/>
        <w:jc w:val="both"/>
        <w:rPr>
          <w:rFonts w:asciiTheme="minorHAnsi" w:hAnsiTheme="minorHAnsi" w:cstheme="minorHAnsi"/>
          <w:i/>
          <w:lang w:val="sq-AL"/>
        </w:rPr>
      </w:pPr>
      <w:r w:rsidRPr="00F07CFC">
        <w:rPr>
          <w:rFonts w:asciiTheme="minorHAnsi" w:hAnsiTheme="minorHAnsi" w:cstheme="minorHAnsi"/>
          <w:i/>
          <w:lang w:val="sq-AL"/>
        </w:rPr>
        <w:t>Ecuria e çmimit brent të naftës bruto.</w:t>
      </w:r>
    </w:p>
    <w:p w:rsidR="00BA5358" w:rsidRPr="00F07CFC" w:rsidRDefault="00BA5358" w:rsidP="007F0B61">
      <w:pPr>
        <w:pStyle w:val="ListParagraph"/>
        <w:widowControl w:val="0"/>
        <w:numPr>
          <w:ilvl w:val="0"/>
          <w:numId w:val="11"/>
        </w:numPr>
        <w:spacing w:line="276" w:lineRule="auto"/>
        <w:ind w:left="540"/>
        <w:jc w:val="both"/>
        <w:rPr>
          <w:rFonts w:asciiTheme="minorHAnsi" w:hAnsiTheme="minorHAnsi" w:cstheme="minorHAnsi"/>
          <w:i/>
          <w:lang w:val="sq-AL"/>
        </w:rPr>
      </w:pPr>
      <w:r w:rsidRPr="00F07CFC">
        <w:rPr>
          <w:rFonts w:asciiTheme="minorHAnsi" w:hAnsiTheme="minorHAnsi" w:cstheme="minorHAnsi"/>
          <w:i/>
          <w:lang w:val="sq-AL"/>
        </w:rPr>
        <w:t>Përmirësimi i performancës së administratës tatimore në administrimin e TVSH-së së brendshme, duke nxitur vetëdeklarimin dhe kontrolluar mbi bazë risku sektorët dhe industritë që gjenerojnë këtë tatim.</w:t>
      </w:r>
    </w:p>
    <w:p w:rsidR="00BA5358" w:rsidRPr="00F07CFC" w:rsidRDefault="00BA5358" w:rsidP="007F0B61">
      <w:pPr>
        <w:pStyle w:val="ListParagraph"/>
        <w:widowControl w:val="0"/>
        <w:numPr>
          <w:ilvl w:val="0"/>
          <w:numId w:val="11"/>
        </w:numPr>
        <w:spacing w:line="276" w:lineRule="auto"/>
        <w:ind w:left="540"/>
        <w:jc w:val="both"/>
        <w:rPr>
          <w:rFonts w:asciiTheme="minorHAnsi" w:hAnsiTheme="minorHAnsi" w:cstheme="minorHAnsi"/>
          <w:i/>
          <w:lang w:val="sq-AL"/>
        </w:rPr>
      </w:pPr>
      <w:r w:rsidRPr="00F07CFC">
        <w:rPr>
          <w:rFonts w:asciiTheme="minorHAnsi" w:hAnsiTheme="minorHAnsi" w:cstheme="minorHAnsi"/>
          <w:i/>
          <w:lang w:val="sq-AL"/>
        </w:rPr>
        <w:t>Zbatimi i programeve të miratuara për rimbursimin  e stokut të TVSH-së me q</w:t>
      </w:r>
      <w:r w:rsidRPr="00F07CFC">
        <w:rPr>
          <w:rFonts w:asciiTheme="minorHAnsi" w:hAnsiTheme="minorHAnsi"/>
          <w:i/>
          <w:lang w:val="sq-AL"/>
        </w:rPr>
        <w:t>ëllim zerimin e tij në fund të vitit.</w:t>
      </w:r>
    </w:p>
    <w:p w:rsidR="00BA5358" w:rsidRPr="00F07CFC" w:rsidRDefault="00BA5358" w:rsidP="007F0B61">
      <w:pPr>
        <w:pStyle w:val="ListParagraph"/>
        <w:widowControl w:val="0"/>
        <w:numPr>
          <w:ilvl w:val="0"/>
          <w:numId w:val="11"/>
        </w:numPr>
        <w:spacing w:line="276" w:lineRule="auto"/>
        <w:ind w:left="540"/>
        <w:jc w:val="both"/>
        <w:rPr>
          <w:rFonts w:asciiTheme="minorHAnsi" w:hAnsiTheme="minorHAnsi" w:cstheme="minorHAnsi"/>
          <w:i/>
          <w:lang w:val="sq-AL"/>
        </w:rPr>
      </w:pPr>
      <w:r w:rsidRPr="00F07CFC">
        <w:rPr>
          <w:rFonts w:asciiTheme="minorHAnsi" w:hAnsiTheme="minorHAnsi" w:cstheme="minorHAnsi"/>
          <w:i/>
          <w:lang w:val="sq-AL"/>
        </w:rPr>
        <w:t>Rimbursimi n</w:t>
      </w:r>
      <w:r w:rsidRPr="00F07CFC">
        <w:rPr>
          <w:rFonts w:asciiTheme="minorHAnsi" w:hAnsiTheme="minorHAnsi" w:cs="Calibri"/>
          <w:i/>
          <w:lang w:val="sq-AL"/>
        </w:rPr>
        <w:t>ë</w:t>
      </w:r>
      <w:r w:rsidRPr="00F07CFC">
        <w:rPr>
          <w:rFonts w:asciiTheme="minorHAnsi" w:hAnsiTheme="minorHAnsi" w:cstheme="minorHAnsi"/>
          <w:i/>
          <w:lang w:val="sq-AL"/>
        </w:rPr>
        <w:t xml:space="preserve"> afatet kohore ligjore të  TVSH-së për eksportuesit dhe industrinë fasone. </w:t>
      </w:r>
    </w:p>
    <w:p w:rsidR="004D05F2" w:rsidRDefault="00F02D9D" w:rsidP="00A40EC7">
      <w:pPr>
        <w:spacing w:before="240" w:line="276" w:lineRule="auto"/>
        <w:jc w:val="both"/>
        <w:rPr>
          <w:rFonts w:asciiTheme="minorHAnsi" w:hAnsiTheme="minorHAnsi"/>
          <w:lang w:val="sq-AL"/>
        </w:rPr>
      </w:pPr>
      <w:r w:rsidRPr="00F02D9D">
        <w:rPr>
          <w:rFonts w:asciiTheme="minorHAnsi" w:hAnsiTheme="minorHAnsi"/>
          <w:i/>
          <w:lang w:val="sq-AL"/>
        </w:rPr>
        <w:t xml:space="preserve">Pritshmëria </w:t>
      </w:r>
      <w:r w:rsidR="00A40EC7">
        <w:rPr>
          <w:rFonts w:asciiTheme="minorHAnsi" w:hAnsiTheme="minorHAnsi"/>
          <w:i/>
          <w:lang w:val="sq-AL"/>
        </w:rPr>
        <w:t>lidhur me</w:t>
      </w:r>
      <w:r w:rsidRPr="00F02D9D">
        <w:rPr>
          <w:rFonts w:asciiTheme="minorHAnsi" w:hAnsiTheme="minorHAnsi"/>
          <w:i/>
          <w:lang w:val="sq-AL"/>
        </w:rPr>
        <w:t xml:space="preserve"> ecurinë e shpenzimeve buxhetore</w:t>
      </w:r>
      <w:r w:rsidRPr="00F02D9D">
        <w:rPr>
          <w:rFonts w:asciiTheme="minorHAnsi" w:hAnsiTheme="minorHAnsi"/>
          <w:lang w:val="sq-AL"/>
        </w:rPr>
        <w:t xml:space="preserve"> </w:t>
      </w:r>
      <w:r w:rsidR="004D05F2">
        <w:rPr>
          <w:rFonts w:asciiTheme="minorHAnsi" w:hAnsiTheme="minorHAnsi"/>
          <w:lang w:val="sq-AL"/>
        </w:rPr>
        <w:t>– N</w:t>
      </w:r>
      <w:r w:rsidRPr="00F02D9D">
        <w:rPr>
          <w:rFonts w:asciiTheme="minorHAnsi" w:hAnsiTheme="minorHAnsi"/>
          <w:lang w:val="sq-AL"/>
        </w:rPr>
        <w:t xml:space="preserve">ë kushtet e </w:t>
      </w:r>
      <w:r w:rsidR="004D05F2">
        <w:rPr>
          <w:rFonts w:asciiTheme="minorHAnsi" w:hAnsiTheme="minorHAnsi"/>
          <w:lang w:val="sq-AL"/>
        </w:rPr>
        <w:t>nj</w:t>
      </w:r>
      <w:r w:rsidR="000B7B21">
        <w:rPr>
          <w:rFonts w:asciiTheme="minorHAnsi" w:hAnsiTheme="minorHAnsi"/>
          <w:lang w:val="sq-AL"/>
        </w:rPr>
        <w:t>ë</w:t>
      </w:r>
      <w:r w:rsidR="004D05F2">
        <w:rPr>
          <w:rFonts w:asciiTheme="minorHAnsi" w:hAnsiTheme="minorHAnsi"/>
          <w:lang w:val="sq-AL"/>
        </w:rPr>
        <w:t xml:space="preserve"> rishikimi t</w:t>
      </w:r>
      <w:r w:rsidR="000B7B21">
        <w:rPr>
          <w:rFonts w:asciiTheme="minorHAnsi" w:hAnsiTheme="minorHAnsi"/>
          <w:lang w:val="sq-AL"/>
        </w:rPr>
        <w:t>ë</w:t>
      </w:r>
      <w:r w:rsidR="004D05F2">
        <w:rPr>
          <w:rFonts w:asciiTheme="minorHAnsi" w:hAnsiTheme="minorHAnsi"/>
          <w:lang w:val="sq-AL"/>
        </w:rPr>
        <w:t xml:space="preserve"> shp</w:t>
      </w:r>
      <w:r w:rsidR="00A40EC7">
        <w:rPr>
          <w:rFonts w:asciiTheme="minorHAnsi" w:hAnsiTheme="minorHAnsi"/>
          <w:lang w:val="sq-AL"/>
        </w:rPr>
        <w:t>e</w:t>
      </w:r>
      <w:r w:rsidR="004D05F2">
        <w:rPr>
          <w:rFonts w:asciiTheme="minorHAnsi" w:hAnsiTheme="minorHAnsi"/>
          <w:lang w:val="sq-AL"/>
        </w:rPr>
        <w:t>sht</w:t>
      </w:r>
      <w:r w:rsidR="000B7B21">
        <w:rPr>
          <w:rFonts w:asciiTheme="minorHAnsi" w:hAnsiTheme="minorHAnsi"/>
          <w:lang w:val="sq-AL"/>
        </w:rPr>
        <w:t>ë</w:t>
      </w:r>
      <w:r w:rsidR="004D05F2">
        <w:rPr>
          <w:rFonts w:asciiTheme="minorHAnsi" w:hAnsiTheme="minorHAnsi"/>
          <w:lang w:val="sq-AL"/>
        </w:rPr>
        <w:t xml:space="preserve"> t</w:t>
      </w:r>
      <w:r w:rsidR="000B7B21">
        <w:rPr>
          <w:rFonts w:asciiTheme="minorHAnsi" w:hAnsiTheme="minorHAnsi"/>
          <w:lang w:val="sq-AL"/>
        </w:rPr>
        <w:t>ë</w:t>
      </w:r>
      <w:r w:rsidR="004D05F2">
        <w:rPr>
          <w:rFonts w:asciiTheme="minorHAnsi" w:hAnsiTheme="minorHAnsi"/>
          <w:lang w:val="sq-AL"/>
        </w:rPr>
        <w:t xml:space="preserve"> ligjit t</w:t>
      </w:r>
      <w:r w:rsidR="000B7B21">
        <w:rPr>
          <w:rFonts w:asciiTheme="minorHAnsi" w:hAnsiTheme="minorHAnsi"/>
          <w:lang w:val="sq-AL"/>
        </w:rPr>
        <w:t>ë</w:t>
      </w:r>
      <w:r w:rsidR="004D05F2">
        <w:rPr>
          <w:rFonts w:asciiTheme="minorHAnsi" w:hAnsiTheme="minorHAnsi"/>
          <w:lang w:val="sq-AL"/>
        </w:rPr>
        <w:t xml:space="preserve"> buxhetit 2021 </w:t>
      </w:r>
      <w:r w:rsidR="00A40EC7">
        <w:rPr>
          <w:rFonts w:asciiTheme="minorHAnsi" w:hAnsiTheme="minorHAnsi"/>
          <w:lang w:val="sq-AL"/>
        </w:rPr>
        <w:t>(</w:t>
      </w:r>
      <w:r w:rsidR="004D05F2" w:rsidRPr="00A40EC7">
        <w:rPr>
          <w:rFonts w:asciiTheme="minorHAnsi" w:hAnsiTheme="minorHAnsi"/>
          <w:i/>
          <w:lang w:val="sq-AL"/>
        </w:rPr>
        <w:t>kat</w:t>
      </w:r>
      <w:r w:rsidR="000B7B21" w:rsidRPr="00A40EC7">
        <w:rPr>
          <w:rFonts w:asciiTheme="minorHAnsi" w:hAnsiTheme="minorHAnsi"/>
          <w:i/>
          <w:lang w:val="sq-AL"/>
        </w:rPr>
        <w:t>ë</w:t>
      </w:r>
      <w:r w:rsidR="004D05F2" w:rsidRPr="00A40EC7">
        <w:rPr>
          <w:rFonts w:asciiTheme="minorHAnsi" w:hAnsiTheme="minorHAnsi"/>
          <w:i/>
          <w:lang w:val="sq-AL"/>
        </w:rPr>
        <w:t>r her</w:t>
      </w:r>
      <w:r w:rsidR="000B7B21" w:rsidRPr="00A40EC7">
        <w:rPr>
          <w:rFonts w:asciiTheme="minorHAnsi" w:hAnsiTheme="minorHAnsi"/>
          <w:i/>
          <w:lang w:val="sq-AL"/>
        </w:rPr>
        <w:t>ë</w:t>
      </w:r>
      <w:r w:rsidR="004D05F2" w:rsidRPr="00A40EC7">
        <w:rPr>
          <w:rFonts w:asciiTheme="minorHAnsi" w:hAnsiTheme="minorHAnsi"/>
          <w:i/>
          <w:lang w:val="sq-AL"/>
        </w:rPr>
        <w:t xml:space="preserve"> vet</w:t>
      </w:r>
      <w:r w:rsidR="000B7B21" w:rsidRPr="00A40EC7">
        <w:rPr>
          <w:rFonts w:asciiTheme="minorHAnsi" w:hAnsiTheme="minorHAnsi"/>
          <w:i/>
          <w:lang w:val="sq-AL"/>
        </w:rPr>
        <w:t>ë</w:t>
      </w:r>
      <w:r w:rsidR="004D05F2" w:rsidRPr="00A40EC7">
        <w:rPr>
          <w:rFonts w:asciiTheme="minorHAnsi" w:hAnsiTheme="minorHAnsi"/>
          <w:i/>
          <w:lang w:val="sq-AL"/>
        </w:rPr>
        <w:t>m p</w:t>
      </w:r>
      <w:r w:rsidR="000B7B21" w:rsidRPr="00A40EC7">
        <w:rPr>
          <w:rFonts w:asciiTheme="minorHAnsi" w:hAnsiTheme="minorHAnsi"/>
          <w:i/>
          <w:lang w:val="sq-AL"/>
        </w:rPr>
        <w:t>ë</w:t>
      </w:r>
      <w:r w:rsidR="004D05F2" w:rsidRPr="00A40EC7">
        <w:rPr>
          <w:rFonts w:asciiTheme="minorHAnsi" w:hAnsiTheme="minorHAnsi"/>
          <w:i/>
          <w:lang w:val="sq-AL"/>
        </w:rPr>
        <w:t>rgjat</w:t>
      </w:r>
      <w:r w:rsidR="000B7B21" w:rsidRPr="00A40EC7">
        <w:rPr>
          <w:rFonts w:asciiTheme="minorHAnsi" w:hAnsiTheme="minorHAnsi"/>
          <w:i/>
          <w:lang w:val="sq-AL"/>
        </w:rPr>
        <w:t>ë</w:t>
      </w:r>
      <w:r w:rsidR="004D05F2" w:rsidRPr="00A40EC7">
        <w:rPr>
          <w:rFonts w:asciiTheme="minorHAnsi" w:hAnsiTheme="minorHAnsi"/>
          <w:i/>
          <w:lang w:val="sq-AL"/>
        </w:rPr>
        <w:t xml:space="preserve"> gjat</w:t>
      </w:r>
      <w:r w:rsidR="000B7B21" w:rsidRPr="00A40EC7">
        <w:rPr>
          <w:rFonts w:asciiTheme="minorHAnsi" w:hAnsiTheme="minorHAnsi"/>
          <w:i/>
          <w:lang w:val="sq-AL"/>
        </w:rPr>
        <w:t>ë</w:t>
      </w:r>
      <w:r w:rsidR="004D05F2" w:rsidRPr="00A40EC7">
        <w:rPr>
          <w:rFonts w:asciiTheme="minorHAnsi" w:hAnsiTheme="minorHAnsi"/>
          <w:i/>
          <w:lang w:val="sq-AL"/>
        </w:rPr>
        <w:t>mujorit t</w:t>
      </w:r>
      <w:r w:rsidR="000B7B21" w:rsidRPr="00A40EC7">
        <w:rPr>
          <w:rFonts w:asciiTheme="minorHAnsi" w:hAnsiTheme="minorHAnsi"/>
          <w:i/>
          <w:lang w:val="sq-AL"/>
        </w:rPr>
        <w:t>ë</w:t>
      </w:r>
      <w:r w:rsidR="004D05F2" w:rsidRPr="00A40EC7">
        <w:rPr>
          <w:rFonts w:asciiTheme="minorHAnsi" w:hAnsiTheme="minorHAnsi"/>
          <w:i/>
          <w:lang w:val="sq-AL"/>
        </w:rPr>
        <w:t xml:space="preserve"> par</w:t>
      </w:r>
      <w:r w:rsidR="000B7B21" w:rsidRPr="00A40EC7">
        <w:rPr>
          <w:rFonts w:asciiTheme="minorHAnsi" w:hAnsiTheme="minorHAnsi"/>
          <w:i/>
          <w:lang w:val="sq-AL"/>
        </w:rPr>
        <w:t>ë</w:t>
      </w:r>
      <w:r w:rsidR="00A40EC7">
        <w:rPr>
          <w:rFonts w:asciiTheme="minorHAnsi" w:hAnsiTheme="minorHAnsi"/>
          <w:lang w:val="sq-AL"/>
        </w:rPr>
        <w:t>)</w:t>
      </w:r>
      <w:r w:rsidR="004D05F2">
        <w:rPr>
          <w:rFonts w:asciiTheme="minorHAnsi" w:hAnsiTheme="minorHAnsi"/>
          <w:lang w:val="sq-AL"/>
        </w:rPr>
        <w:t>, pritshm</w:t>
      </w:r>
      <w:r w:rsidR="000B7B21">
        <w:rPr>
          <w:rFonts w:asciiTheme="minorHAnsi" w:hAnsiTheme="minorHAnsi"/>
          <w:lang w:val="sq-AL"/>
        </w:rPr>
        <w:t>ë</w:t>
      </w:r>
      <w:r w:rsidR="004D05F2">
        <w:rPr>
          <w:rFonts w:asciiTheme="minorHAnsi" w:hAnsiTheme="minorHAnsi"/>
          <w:lang w:val="sq-AL"/>
        </w:rPr>
        <w:t>ria e performanc</w:t>
      </w:r>
      <w:r w:rsidR="000B7B21">
        <w:rPr>
          <w:rFonts w:asciiTheme="minorHAnsi" w:hAnsiTheme="minorHAnsi"/>
          <w:lang w:val="sq-AL"/>
        </w:rPr>
        <w:t>ë</w:t>
      </w:r>
      <w:r w:rsidR="004D05F2">
        <w:rPr>
          <w:rFonts w:asciiTheme="minorHAnsi" w:hAnsiTheme="minorHAnsi"/>
          <w:lang w:val="sq-AL"/>
        </w:rPr>
        <w:t>s s</w:t>
      </w:r>
      <w:r w:rsidR="000B7B21">
        <w:rPr>
          <w:rFonts w:asciiTheme="minorHAnsi" w:hAnsiTheme="minorHAnsi"/>
          <w:lang w:val="sq-AL"/>
        </w:rPr>
        <w:t>ë</w:t>
      </w:r>
      <w:r w:rsidR="004D05F2">
        <w:rPr>
          <w:rFonts w:asciiTheme="minorHAnsi" w:hAnsiTheme="minorHAnsi"/>
          <w:lang w:val="sq-AL"/>
        </w:rPr>
        <w:t xml:space="preserve"> z</w:t>
      </w:r>
      <w:r w:rsidR="000B7B21">
        <w:rPr>
          <w:rFonts w:asciiTheme="minorHAnsi" w:hAnsiTheme="minorHAnsi"/>
          <w:lang w:val="sq-AL"/>
        </w:rPr>
        <w:t>ë</w:t>
      </w:r>
      <w:r w:rsidR="004D05F2">
        <w:rPr>
          <w:rFonts w:asciiTheme="minorHAnsi" w:hAnsiTheme="minorHAnsi"/>
          <w:lang w:val="sq-AL"/>
        </w:rPr>
        <w:t>rave t</w:t>
      </w:r>
      <w:r w:rsidR="000B7B21">
        <w:rPr>
          <w:rFonts w:asciiTheme="minorHAnsi" w:hAnsiTheme="minorHAnsi"/>
          <w:lang w:val="sq-AL"/>
        </w:rPr>
        <w:t>ë</w:t>
      </w:r>
      <w:r w:rsidR="004D05F2">
        <w:rPr>
          <w:rFonts w:asciiTheme="minorHAnsi" w:hAnsiTheme="minorHAnsi"/>
          <w:lang w:val="sq-AL"/>
        </w:rPr>
        <w:t xml:space="preserve"> shpenzimeve publike vler</w:t>
      </w:r>
      <w:r w:rsidR="000B7B21">
        <w:rPr>
          <w:rFonts w:asciiTheme="minorHAnsi" w:hAnsiTheme="minorHAnsi"/>
          <w:lang w:val="sq-AL"/>
        </w:rPr>
        <w:t>ë</w:t>
      </w:r>
      <w:r w:rsidR="004D05F2">
        <w:rPr>
          <w:rFonts w:asciiTheme="minorHAnsi" w:hAnsiTheme="minorHAnsi"/>
          <w:lang w:val="sq-AL"/>
        </w:rPr>
        <w:t>sohet t</w:t>
      </w:r>
      <w:r w:rsidR="000B7B21">
        <w:rPr>
          <w:rFonts w:asciiTheme="minorHAnsi" w:hAnsiTheme="minorHAnsi"/>
          <w:lang w:val="sq-AL"/>
        </w:rPr>
        <w:t>ë</w:t>
      </w:r>
      <w:r w:rsidR="004D05F2">
        <w:rPr>
          <w:rFonts w:asciiTheme="minorHAnsi" w:hAnsiTheme="minorHAnsi"/>
          <w:lang w:val="sq-AL"/>
        </w:rPr>
        <w:t xml:space="preserve"> jet</w:t>
      </w:r>
      <w:r w:rsidR="000B7B21">
        <w:rPr>
          <w:rFonts w:asciiTheme="minorHAnsi" w:hAnsiTheme="minorHAnsi"/>
          <w:lang w:val="sq-AL"/>
        </w:rPr>
        <w:t>ë</w:t>
      </w:r>
      <w:r w:rsidR="004D05F2">
        <w:rPr>
          <w:rFonts w:asciiTheme="minorHAnsi" w:hAnsiTheme="minorHAnsi"/>
          <w:lang w:val="sq-AL"/>
        </w:rPr>
        <w:t>:</w:t>
      </w:r>
    </w:p>
    <w:p w:rsidR="00A40EC7" w:rsidRPr="00A40EC7" w:rsidRDefault="00A40EC7" w:rsidP="00A40EC7">
      <w:pPr>
        <w:pStyle w:val="ListParagraph"/>
        <w:widowControl w:val="0"/>
        <w:spacing w:line="276" w:lineRule="auto"/>
        <w:ind w:left="540"/>
        <w:jc w:val="both"/>
        <w:rPr>
          <w:rFonts w:asciiTheme="minorHAnsi" w:hAnsiTheme="minorHAnsi" w:cstheme="minorHAnsi"/>
          <w:i/>
          <w:sz w:val="8"/>
          <w:szCs w:val="8"/>
          <w:lang w:val="sq-AL"/>
        </w:rPr>
      </w:pPr>
    </w:p>
    <w:p w:rsidR="004D05F2" w:rsidRDefault="004D05F2" w:rsidP="007F0B61">
      <w:pPr>
        <w:pStyle w:val="ListParagraph"/>
        <w:widowControl w:val="0"/>
        <w:numPr>
          <w:ilvl w:val="0"/>
          <w:numId w:val="11"/>
        </w:numPr>
        <w:spacing w:line="276" w:lineRule="auto"/>
        <w:ind w:left="540"/>
        <w:jc w:val="both"/>
        <w:rPr>
          <w:rFonts w:asciiTheme="minorHAnsi" w:hAnsiTheme="minorHAnsi" w:cstheme="minorHAnsi"/>
          <w:i/>
          <w:lang w:val="sq-AL"/>
        </w:rPr>
      </w:pPr>
      <w:r>
        <w:rPr>
          <w:rFonts w:asciiTheme="minorHAnsi" w:hAnsiTheme="minorHAnsi" w:cstheme="minorHAnsi"/>
          <w:i/>
          <w:lang w:val="sq-AL"/>
        </w:rPr>
        <w:t>N</w:t>
      </w:r>
      <w:r w:rsidRPr="004D05F2">
        <w:rPr>
          <w:rFonts w:asciiTheme="minorHAnsi" w:hAnsiTheme="minorHAnsi" w:cstheme="minorHAnsi"/>
          <w:i/>
          <w:lang w:val="sq-AL"/>
        </w:rPr>
        <w:t>ga nj</w:t>
      </w:r>
      <w:r w:rsidR="000B7B21">
        <w:rPr>
          <w:rFonts w:asciiTheme="minorHAnsi" w:hAnsiTheme="minorHAnsi" w:cstheme="minorHAnsi"/>
          <w:i/>
          <w:lang w:val="sq-AL"/>
        </w:rPr>
        <w:t>ë</w:t>
      </w:r>
      <w:r w:rsidRPr="004D05F2">
        <w:rPr>
          <w:rFonts w:asciiTheme="minorHAnsi" w:hAnsiTheme="minorHAnsi" w:cstheme="minorHAnsi"/>
          <w:i/>
          <w:lang w:val="sq-AL"/>
        </w:rPr>
        <w:t>ra an</w:t>
      </w:r>
      <w:r w:rsidR="000B7B21">
        <w:rPr>
          <w:rFonts w:asciiTheme="minorHAnsi" w:hAnsiTheme="minorHAnsi" w:cstheme="minorHAnsi"/>
          <w:i/>
          <w:lang w:val="sq-AL"/>
        </w:rPr>
        <w:t>ë</w:t>
      </w:r>
      <w:r>
        <w:rPr>
          <w:rFonts w:asciiTheme="minorHAnsi" w:hAnsiTheme="minorHAnsi" w:cstheme="minorHAnsi"/>
          <w:i/>
          <w:lang w:val="sq-AL"/>
        </w:rPr>
        <w:t xml:space="preserve">, </w:t>
      </w:r>
      <w:r w:rsidRPr="004D05F2">
        <w:rPr>
          <w:rFonts w:asciiTheme="minorHAnsi" w:hAnsiTheme="minorHAnsi" w:cstheme="minorHAnsi"/>
          <w:i/>
          <w:lang w:val="sq-AL"/>
        </w:rPr>
        <w:t>n</w:t>
      </w:r>
      <w:r w:rsidR="000B7B21">
        <w:rPr>
          <w:rFonts w:asciiTheme="minorHAnsi" w:hAnsiTheme="minorHAnsi" w:cstheme="minorHAnsi"/>
          <w:i/>
          <w:lang w:val="sq-AL"/>
        </w:rPr>
        <w:t>ë</w:t>
      </w:r>
      <w:r w:rsidRPr="004D05F2">
        <w:rPr>
          <w:rFonts w:asciiTheme="minorHAnsi" w:hAnsiTheme="minorHAnsi" w:cstheme="minorHAnsi"/>
          <w:i/>
          <w:lang w:val="sq-AL"/>
        </w:rPr>
        <w:t xml:space="preserve"> linj</w:t>
      </w:r>
      <w:r w:rsidR="000B7B21">
        <w:rPr>
          <w:rFonts w:asciiTheme="minorHAnsi" w:hAnsiTheme="minorHAnsi" w:cstheme="minorHAnsi"/>
          <w:i/>
          <w:lang w:val="sq-AL"/>
        </w:rPr>
        <w:t>ë</w:t>
      </w:r>
      <w:r w:rsidRPr="004D05F2">
        <w:rPr>
          <w:rFonts w:asciiTheme="minorHAnsi" w:hAnsiTheme="minorHAnsi" w:cstheme="minorHAnsi"/>
          <w:i/>
          <w:lang w:val="sq-AL"/>
        </w:rPr>
        <w:t xml:space="preserve"> me parashikimet q</w:t>
      </w:r>
      <w:r w:rsidR="000B7B21">
        <w:rPr>
          <w:rFonts w:asciiTheme="minorHAnsi" w:hAnsiTheme="minorHAnsi" w:cstheme="minorHAnsi"/>
          <w:i/>
          <w:lang w:val="sq-AL"/>
        </w:rPr>
        <w:t>ë</w:t>
      </w:r>
      <w:r w:rsidRPr="004D05F2">
        <w:rPr>
          <w:rFonts w:asciiTheme="minorHAnsi" w:hAnsiTheme="minorHAnsi" w:cstheme="minorHAnsi"/>
          <w:i/>
          <w:lang w:val="sq-AL"/>
        </w:rPr>
        <w:t xml:space="preserve"> kan</w:t>
      </w:r>
      <w:r w:rsidR="000B7B21">
        <w:rPr>
          <w:rFonts w:asciiTheme="minorHAnsi" w:hAnsiTheme="minorHAnsi" w:cstheme="minorHAnsi"/>
          <w:i/>
          <w:lang w:val="sq-AL"/>
        </w:rPr>
        <w:t>ë</w:t>
      </w:r>
      <w:r w:rsidRPr="004D05F2">
        <w:rPr>
          <w:rFonts w:asciiTheme="minorHAnsi" w:hAnsiTheme="minorHAnsi" w:cstheme="minorHAnsi"/>
          <w:i/>
          <w:lang w:val="sq-AL"/>
        </w:rPr>
        <w:t xml:space="preserve"> kusht</w:t>
      </w:r>
      <w:r w:rsidR="000B7B21">
        <w:rPr>
          <w:rFonts w:asciiTheme="minorHAnsi" w:hAnsiTheme="minorHAnsi" w:cstheme="minorHAnsi"/>
          <w:i/>
          <w:lang w:val="sq-AL"/>
        </w:rPr>
        <w:t>ë</w:t>
      </w:r>
      <w:r w:rsidRPr="004D05F2">
        <w:rPr>
          <w:rFonts w:asciiTheme="minorHAnsi" w:hAnsiTheme="minorHAnsi" w:cstheme="minorHAnsi"/>
          <w:i/>
          <w:lang w:val="sq-AL"/>
        </w:rPr>
        <w:t xml:space="preserve">zuar </w:t>
      </w:r>
      <w:r w:rsidR="00A40EC7">
        <w:rPr>
          <w:rFonts w:asciiTheme="minorHAnsi" w:hAnsiTheme="minorHAnsi" w:cstheme="minorHAnsi"/>
          <w:i/>
          <w:lang w:val="sq-AL"/>
        </w:rPr>
        <w:t xml:space="preserve">tashmë </w:t>
      </w:r>
      <w:r w:rsidRPr="004D05F2">
        <w:rPr>
          <w:rFonts w:asciiTheme="minorHAnsi" w:hAnsiTheme="minorHAnsi" w:cstheme="minorHAnsi"/>
          <w:i/>
          <w:lang w:val="sq-AL"/>
        </w:rPr>
        <w:t>kat</w:t>
      </w:r>
      <w:r w:rsidR="000B7B21">
        <w:rPr>
          <w:rFonts w:asciiTheme="minorHAnsi" w:hAnsiTheme="minorHAnsi" w:cstheme="minorHAnsi"/>
          <w:i/>
          <w:lang w:val="sq-AL"/>
        </w:rPr>
        <w:t>ë</w:t>
      </w:r>
      <w:r w:rsidRPr="004D05F2">
        <w:rPr>
          <w:rFonts w:asciiTheme="minorHAnsi" w:hAnsiTheme="minorHAnsi" w:cstheme="minorHAnsi"/>
          <w:i/>
          <w:lang w:val="sq-AL"/>
        </w:rPr>
        <w:t>r rishikimet e m</w:t>
      </w:r>
      <w:r w:rsidR="000B7B21">
        <w:rPr>
          <w:rFonts w:asciiTheme="minorHAnsi" w:hAnsiTheme="minorHAnsi" w:cstheme="minorHAnsi"/>
          <w:i/>
          <w:lang w:val="sq-AL"/>
        </w:rPr>
        <w:t>ë</w:t>
      </w:r>
      <w:r w:rsidRPr="004D05F2">
        <w:rPr>
          <w:rFonts w:asciiTheme="minorHAnsi" w:hAnsiTheme="minorHAnsi" w:cstheme="minorHAnsi"/>
          <w:i/>
          <w:lang w:val="sq-AL"/>
        </w:rPr>
        <w:t>parshme (dhe sidomos t</w:t>
      </w:r>
      <w:r w:rsidR="000B7B21">
        <w:rPr>
          <w:rFonts w:asciiTheme="minorHAnsi" w:hAnsiTheme="minorHAnsi" w:cstheme="minorHAnsi"/>
          <w:i/>
          <w:lang w:val="sq-AL"/>
        </w:rPr>
        <w:t>ë</w:t>
      </w:r>
      <w:r w:rsidRPr="004D05F2">
        <w:rPr>
          <w:rFonts w:asciiTheme="minorHAnsi" w:hAnsiTheme="minorHAnsi" w:cstheme="minorHAnsi"/>
          <w:i/>
          <w:lang w:val="sq-AL"/>
        </w:rPr>
        <w:t xml:space="preserve"> fundit)</w:t>
      </w:r>
      <w:r w:rsidR="00A40EC7">
        <w:rPr>
          <w:rFonts w:asciiTheme="minorHAnsi" w:hAnsiTheme="minorHAnsi" w:cstheme="minorHAnsi"/>
          <w:i/>
          <w:lang w:val="sq-AL"/>
        </w:rPr>
        <w:t xml:space="preserve"> të buxhetit 2021</w:t>
      </w:r>
      <w:r>
        <w:rPr>
          <w:rFonts w:asciiTheme="minorHAnsi" w:hAnsiTheme="minorHAnsi" w:cstheme="minorHAnsi"/>
          <w:i/>
          <w:lang w:val="sq-AL"/>
        </w:rPr>
        <w:t>, t</w:t>
      </w:r>
      <w:r w:rsidR="000B7B21">
        <w:rPr>
          <w:rFonts w:asciiTheme="minorHAnsi" w:hAnsiTheme="minorHAnsi" w:cstheme="minorHAnsi"/>
          <w:i/>
          <w:lang w:val="sq-AL"/>
        </w:rPr>
        <w:t>ë</w:t>
      </w:r>
      <w:r>
        <w:rPr>
          <w:rFonts w:asciiTheme="minorHAnsi" w:hAnsiTheme="minorHAnsi" w:cstheme="minorHAnsi"/>
          <w:i/>
          <w:lang w:val="sq-AL"/>
        </w:rPr>
        <w:t xml:space="preserve"> cilat u karakterizuar nga financime dhe sistemime t</w:t>
      </w:r>
      <w:r w:rsidR="000B7B21">
        <w:rPr>
          <w:rFonts w:asciiTheme="minorHAnsi" w:hAnsiTheme="minorHAnsi" w:cstheme="minorHAnsi"/>
          <w:i/>
          <w:lang w:val="sq-AL"/>
        </w:rPr>
        <w:t>ë</w:t>
      </w:r>
      <w:r>
        <w:rPr>
          <w:rFonts w:asciiTheme="minorHAnsi" w:hAnsiTheme="minorHAnsi" w:cstheme="minorHAnsi"/>
          <w:i/>
          <w:lang w:val="sq-AL"/>
        </w:rPr>
        <w:t xml:space="preserve"> vlefshme p</w:t>
      </w:r>
      <w:r w:rsidR="000B7B21">
        <w:rPr>
          <w:rFonts w:asciiTheme="minorHAnsi" w:hAnsiTheme="minorHAnsi" w:cstheme="minorHAnsi"/>
          <w:i/>
          <w:lang w:val="sq-AL"/>
        </w:rPr>
        <w:t>ë</w:t>
      </w:r>
      <w:r>
        <w:rPr>
          <w:rFonts w:asciiTheme="minorHAnsi" w:hAnsiTheme="minorHAnsi" w:cstheme="minorHAnsi"/>
          <w:i/>
          <w:lang w:val="sq-AL"/>
        </w:rPr>
        <w:t>r mbar</w:t>
      </w:r>
      <w:r w:rsidR="000B7B21">
        <w:rPr>
          <w:rFonts w:asciiTheme="minorHAnsi" w:hAnsiTheme="minorHAnsi" w:cstheme="minorHAnsi"/>
          <w:i/>
          <w:lang w:val="sq-AL"/>
        </w:rPr>
        <w:t>ë</w:t>
      </w:r>
      <w:r>
        <w:rPr>
          <w:rFonts w:asciiTheme="minorHAnsi" w:hAnsiTheme="minorHAnsi" w:cstheme="minorHAnsi"/>
          <w:i/>
          <w:lang w:val="sq-AL"/>
        </w:rPr>
        <w:t>vajtjen e vitit buxhetor n</w:t>
      </w:r>
      <w:r w:rsidR="000B7B21">
        <w:rPr>
          <w:rFonts w:asciiTheme="minorHAnsi" w:hAnsiTheme="minorHAnsi" w:cstheme="minorHAnsi"/>
          <w:i/>
          <w:lang w:val="sq-AL"/>
        </w:rPr>
        <w:t>ë</w:t>
      </w:r>
      <w:r>
        <w:rPr>
          <w:rFonts w:asciiTheme="minorHAnsi" w:hAnsiTheme="minorHAnsi" w:cstheme="minorHAnsi"/>
          <w:i/>
          <w:lang w:val="sq-AL"/>
        </w:rPr>
        <w:t xml:space="preserve"> t</w:t>
      </w:r>
      <w:r w:rsidR="000B7B21">
        <w:rPr>
          <w:rFonts w:asciiTheme="minorHAnsi" w:hAnsiTheme="minorHAnsi" w:cstheme="minorHAnsi"/>
          <w:i/>
          <w:lang w:val="sq-AL"/>
        </w:rPr>
        <w:t>ë</w:t>
      </w:r>
      <w:r>
        <w:rPr>
          <w:rFonts w:asciiTheme="minorHAnsi" w:hAnsiTheme="minorHAnsi" w:cstheme="minorHAnsi"/>
          <w:i/>
          <w:lang w:val="sq-AL"/>
        </w:rPr>
        <w:t>r</w:t>
      </w:r>
      <w:r w:rsidR="000B7B21">
        <w:rPr>
          <w:rFonts w:asciiTheme="minorHAnsi" w:hAnsiTheme="minorHAnsi" w:cstheme="minorHAnsi"/>
          <w:i/>
          <w:lang w:val="sq-AL"/>
        </w:rPr>
        <w:t>ë</w:t>
      </w:r>
      <w:r>
        <w:rPr>
          <w:rFonts w:asciiTheme="minorHAnsi" w:hAnsiTheme="minorHAnsi" w:cstheme="minorHAnsi"/>
          <w:i/>
          <w:lang w:val="sq-AL"/>
        </w:rPr>
        <w:t xml:space="preserve">si; </w:t>
      </w:r>
    </w:p>
    <w:p w:rsidR="00D662F9" w:rsidRPr="00D662F9" w:rsidRDefault="00D662F9" w:rsidP="00D662F9">
      <w:pPr>
        <w:pStyle w:val="ListParagraph"/>
        <w:widowControl w:val="0"/>
        <w:spacing w:line="276" w:lineRule="auto"/>
        <w:ind w:left="540"/>
        <w:jc w:val="both"/>
        <w:rPr>
          <w:rFonts w:asciiTheme="minorHAnsi" w:hAnsiTheme="minorHAnsi" w:cstheme="minorHAnsi"/>
          <w:i/>
          <w:sz w:val="8"/>
          <w:szCs w:val="8"/>
          <w:lang w:val="sq-AL"/>
        </w:rPr>
      </w:pPr>
    </w:p>
    <w:p w:rsidR="004D05F2" w:rsidRDefault="004D05F2" w:rsidP="007F0B61">
      <w:pPr>
        <w:pStyle w:val="ListParagraph"/>
        <w:widowControl w:val="0"/>
        <w:numPr>
          <w:ilvl w:val="0"/>
          <w:numId w:val="11"/>
        </w:numPr>
        <w:spacing w:line="276" w:lineRule="auto"/>
        <w:ind w:left="540"/>
        <w:jc w:val="both"/>
        <w:rPr>
          <w:rFonts w:asciiTheme="minorHAnsi" w:hAnsiTheme="minorHAnsi" w:cstheme="minorHAnsi"/>
          <w:i/>
          <w:lang w:val="sq-AL"/>
        </w:rPr>
      </w:pPr>
      <w:r>
        <w:rPr>
          <w:rFonts w:asciiTheme="minorHAnsi" w:hAnsiTheme="minorHAnsi" w:cstheme="minorHAnsi"/>
          <w:i/>
          <w:lang w:val="sq-AL"/>
        </w:rPr>
        <w:t>Por nga ana tjet</w:t>
      </w:r>
      <w:r w:rsidR="000B7B21">
        <w:rPr>
          <w:rFonts w:asciiTheme="minorHAnsi" w:hAnsiTheme="minorHAnsi" w:cstheme="minorHAnsi"/>
          <w:i/>
          <w:lang w:val="sq-AL"/>
        </w:rPr>
        <w:t>ë</w:t>
      </w:r>
      <w:r>
        <w:rPr>
          <w:rFonts w:asciiTheme="minorHAnsi" w:hAnsiTheme="minorHAnsi" w:cstheme="minorHAnsi"/>
          <w:i/>
          <w:lang w:val="sq-AL"/>
        </w:rPr>
        <w:t xml:space="preserve">r, </w:t>
      </w:r>
      <w:r w:rsidR="00A40EC7">
        <w:rPr>
          <w:rFonts w:asciiTheme="minorHAnsi" w:hAnsiTheme="minorHAnsi" w:cstheme="minorHAnsi"/>
          <w:i/>
          <w:lang w:val="sq-AL"/>
        </w:rPr>
        <w:t>ato vazhdojnë të mbeten subjekt i vlerësimeve intensive nga ana e MFE, duke patur parasysh aspektet specifike që kanë karakterizuar vitin 2021 nga pikëpamja e Pandemisë Covid-19 dhe rrjedhimisht, nevojat e herë pas hershme për financim me qëllim garantimin e suportit financiar për sektorin shëndetësor, theksojmë këtu fushatën e vaksinimit masiv në vend.</w:t>
      </w:r>
    </w:p>
    <w:p w:rsidR="00F07CFC" w:rsidRDefault="00F07CFC" w:rsidP="00F07CFC">
      <w:pPr>
        <w:tabs>
          <w:tab w:val="left" w:pos="2730"/>
        </w:tabs>
        <w:spacing w:before="240" w:line="276" w:lineRule="auto"/>
        <w:jc w:val="both"/>
        <w:rPr>
          <w:rFonts w:asciiTheme="minorHAnsi" w:hAnsiTheme="minorHAnsi"/>
          <w:i/>
          <w:lang w:val="sq-AL"/>
        </w:rPr>
      </w:pPr>
    </w:p>
    <w:p w:rsidR="00397DA3" w:rsidRDefault="00397DA3" w:rsidP="00F07CFC">
      <w:pPr>
        <w:tabs>
          <w:tab w:val="left" w:pos="2730"/>
        </w:tabs>
        <w:spacing w:before="240" w:line="276" w:lineRule="auto"/>
        <w:jc w:val="both"/>
        <w:rPr>
          <w:rFonts w:asciiTheme="minorHAnsi" w:hAnsiTheme="minorHAnsi"/>
          <w:lang w:val="sq-AL"/>
        </w:rPr>
      </w:pPr>
      <w:r w:rsidRPr="00397DA3">
        <w:rPr>
          <w:rFonts w:asciiTheme="minorHAnsi" w:hAnsiTheme="minorHAnsi"/>
          <w:i/>
          <w:lang w:val="sq-AL"/>
        </w:rPr>
        <w:lastRenderedPageBreak/>
        <w:t>Pritshmëria e borxhit publik</w:t>
      </w:r>
      <w:r>
        <w:rPr>
          <w:rFonts w:asciiTheme="minorHAnsi" w:hAnsiTheme="minorHAnsi"/>
          <w:lang w:val="sq-AL"/>
        </w:rPr>
        <w:t xml:space="preserve"> – </w:t>
      </w:r>
      <w:r w:rsidRPr="00125DA8">
        <w:rPr>
          <w:rFonts w:asciiTheme="minorHAnsi" w:hAnsiTheme="minorHAnsi"/>
          <w:lang w:val="sq-AL"/>
        </w:rPr>
        <w:t>Gjatë</w:t>
      </w:r>
      <w:r>
        <w:rPr>
          <w:rFonts w:asciiTheme="minorHAnsi" w:hAnsiTheme="minorHAnsi"/>
          <w:lang w:val="sq-AL"/>
        </w:rPr>
        <w:t xml:space="preserve"> </w:t>
      </w:r>
      <w:r w:rsidRPr="00125DA8">
        <w:rPr>
          <w:rFonts w:asciiTheme="minorHAnsi" w:hAnsiTheme="minorHAnsi"/>
          <w:lang w:val="sq-AL"/>
        </w:rPr>
        <w:t>periudhës së mbetur të vitit 20</w:t>
      </w:r>
      <w:r>
        <w:rPr>
          <w:rFonts w:asciiTheme="minorHAnsi" w:hAnsiTheme="minorHAnsi"/>
          <w:lang w:val="sq-AL"/>
        </w:rPr>
        <w:t>21</w:t>
      </w:r>
      <w:r w:rsidRPr="00125DA8">
        <w:rPr>
          <w:rFonts w:asciiTheme="minorHAnsi" w:hAnsiTheme="minorHAnsi"/>
          <w:lang w:val="sq-AL"/>
        </w:rPr>
        <w:t xml:space="preserve">, menaxhimi i borxhit do të ketë në fokus </w:t>
      </w:r>
      <w:r>
        <w:rPr>
          <w:rFonts w:asciiTheme="minorHAnsi" w:hAnsiTheme="minorHAnsi"/>
          <w:lang w:val="sq-AL"/>
        </w:rPr>
        <w:t xml:space="preserve">plotësimin me financim të nevojave, edhe këtë vit veçanërisht të larta, si dhe </w:t>
      </w:r>
      <w:r w:rsidRPr="00125DA8">
        <w:rPr>
          <w:rFonts w:asciiTheme="minorHAnsi" w:hAnsiTheme="minorHAnsi"/>
          <w:lang w:val="sq-AL"/>
        </w:rPr>
        <w:t xml:space="preserve">përmirësimin e mëtejshëm të strukturës së borxhit </w:t>
      </w:r>
      <w:r w:rsidRPr="00125DA8">
        <w:rPr>
          <w:rFonts w:asciiTheme="minorHAnsi" w:hAnsiTheme="minorHAnsi"/>
          <w:i/>
          <w:lang w:val="sq-AL"/>
        </w:rPr>
        <w:t>(kryesisht strukturën e portofolit të borxhit të brendshëm)</w:t>
      </w:r>
      <w:r w:rsidRPr="00125DA8">
        <w:rPr>
          <w:rFonts w:asciiTheme="minorHAnsi" w:hAnsiTheme="minorHAnsi"/>
          <w:lang w:val="sq-AL"/>
        </w:rPr>
        <w:t xml:space="preserve"> në drejtim të uljes së ekspozimit ndaj risqeve, megjithëse nevojat në rritje për huamarrje e vështirësojnë procesin e realizimit të këtij objektivi.</w:t>
      </w:r>
      <w:r>
        <w:rPr>
          <w:rFonts w:asciiTheme="minorHAnsi" w:hAnsiTheme="minorHAnsi"/>
          <w:lang w:val="sq-AL"/>
        </w:rPr>
        <w:t xml:space="preserve"> </w:t>
      </w:r>
      <w:r w:rsidRPr="00125DA8">
        <w:rPr>
          <w:rFonts w:asciiTheme="minorHAnsi" w:hAnsiTheme="minorHAnsi"/>
          <w:lang w:val="sq-AL"/>
        </w:rPr>
        <w:t>Në tregun e brendshëm, nëpërmjet titujve afatshkurtër do të synohet kryesisht rifinancimi i titujve ekzistues, si dhe menaxhimi aktiv i nevojave për likuiditet. Ndërkohë, nëpërmjet titujve afatgjatë do të synohet të mbulohet financimi i deficitit.</w:t>
      </w:r>
      <w:r>
        <w:rPr>
          <w:rFonts w:asciiTheme="minorHAnsi" w:hAnsiTheme="minorHAnsi"/>
          <w:lang w:val="sq-AL"/>
        </w:rPr>
        <w:t xml:space="preserve"> </w:t>
      </w:r>
      <w:r w:rsidRPr="00125DA8">
        <w:rPr>
          <w:rFonts w:asciiTheme="minorHAnsi" w:hAnsiTheme="minorHAnsi"/>
          <w:lang w:val="sq-AL"/>
        </w:rPr>
        <w:t xml:space="preserve">Financimi i huaj do të shërbejë si plotësues i burimeve të brendshme dhe përveç të tjerash edhe si optimizues i kostove të borxhit. Huamarrja e huaj pritet të realizohet nëpërmjet </w:t>
      </w:r>
      <w:r>
        <w:rPr>
          <w:rFonts w:asciiTheme="minorHAnsi" w:hAnsiTheme="minorHAnsi"/>
          <w:lang w:val="sq-AL"/>
        </w:rPr>
        <w:t xml:space="preserve">mbështetjeve buxhetore të planifikuara për tu mundësuar brenda këtij viti, si dhe nëpërmjet emetimit të mundshëm të </w:t>
      </w:r>
      <w:r w:rsidRPr="00125DA8">
        <w:rPr>
          <w:rFonts w:asciiTheme="minorHAnsi" w:hAnsiTheme="minorHAnsi"/>
          <w:lang w:val="sq-AL"/>
        </w:rPr>
        <w:t xml:space="preserve">instrumentit të Eurobond-it, </w:t>
      </w:r>
      <w:r>
        <w:rPr>
          <w:rFonts w:asciiTheme="minorHAnsi" w:hAnsiTheme="minorHAnsi"/>
          <w:lang w:val="sq-AL"/>
        </w:rPr>
        <w:t xml:space="preserve">në varësi të kushteve të tregjeve ndërkombëtare. </w:t>
      </w:r>
    </w:p>
    <w:p w:rsidR="00F07CFC" w:rsidRDefault="00F07CFC" w:rsidP="0078470D">
      <w:pPr>
        <w:spacing w:before="240" w:after="240" w:line="276" w:lineRule="auto"/>
        <w:jc w:val="both"/>
        <w:rPr>
          <w:rFonts w:asciiTheme="minorHAnsi" w:hAnsiTheme="minorHAnsi"/>
          <w:i/>
          <w:noProof/>
          <w:lang w:val="sq-AL"/>
        </w:rPr>
      </w:pPr>
    </w:p>
    <w:p w:rsidR="0078470D" w:rsidRDefault="0078470D" w:rsidP="0078470D">
      <w:pPr>
        <w:spacing w:before="240" w:after="240" w:line="276" w:lineRule="auto"/>
        <w:jc w:val="both"/>
        <w:rPr>
          <w:rFonts w:asciiTheme="minorHAnsi" w:hAnsiTheme="minorHAnsi"/>
          <w:i/>
          <w:noProof/>
          <w:lang w:val="sq-AL"/>
        </w:rPr>
      </w:pPr>
      <w:r w:rsidRPr="0065598A">
        <w:rPr>
          <w:rFonts w:asciiTheme="minorHAnsi" w:hAnsiTheme="minorHAnsi"/>
          <w:i/>
          <w:noProof/>
          <w:lang w:val="sq-AL"/>
        </w:rPr>
        <w:t xml:space="preserve">Në përfundim, nën dritën e analizës së mësipërme mbi ecurinë </w:t>
      </w:r>
      <w:r w:rsidR="00A40EC7">
        <w:rPr>
          <w:rFonts w:asciiTheme="minorHAnsi" w:hAnsiTheme="minorHAnsi"/>
          <w:i/>
          <w:noProof/>
          <w:lang w:val="sq-AL"/>
        </w:rPr>
        <w:t>thuajse 6</w:t>
      </w:r>
      <w:r w:rsidRPr="0065598A">
        <w:rPr>
          <w:rFonts w:asciiTheme="minorHAnsi" w:hAnsiTheme="minorHAnsi"/>
          <w:i/>
          <w:noProof/>
          <w:lang w:val="sq-AL"/>
        </w:rPr>
        <w:t>-mujore dhe pritshmëritë deri n</w:t>
      </w:r>
      <w:r w:rsidR="00CB2AA1" w:rsidRPr="0065598A">
        <w:rPr>
          <w:rFonts w:asciiTheme="minorHAnsi" w:hAnsiTheme="minorHAnsi"/>
          <w:i/>
          <w:noProof/>
          <w:lang w:val="sq-AL"/>
        </w:rPr>
        <w:t>ë</w:t>
      </w:r>
      <w:r w:rsidRPr="0065598A">
        <w:rPr>
          <w:rFonts w:asciiTheme="minorHAnsi" w:hAnsiTheme="minorHAnsi"/>
          <w:i/>
          <w:noProof/>
          <w:lang w:val="sq-AL"/>
        </w:rPr>
        <w:t xml:space="preserve"> fund t</w:t>
      </w:r>
      <w:r w:rsidR="00CB2AA1" w:rsidRPr="0065598A">
        <w:rPr>
          <w:rFonts w:asciiTheme="minorHAnsi" w:hAnsiTheme="minorHAnsi"/>
          <w:i/>
          <w:noProof/>
          <w:lang w:val="sq-AL"/>
        </w:rPr>
        <w:t>ë</w:t>
      </w:r>
      <w:r w:rsidRPr="0065598A">
        <w:rPr>
          <w:rFonts w:asciiTheme="minorHAnsi" w:hAnsiTheme="minorHAnsi"/>
          <w:i/>
          <w:noProof/>
          <w:lang w:val="sq-AL"/>
        </w:rPr>
        <w:t xml:space="preserve"> vitit fiskal 20</w:t>
      </w:r>
      <w:r w:rsidR="00FF4AD5">
        <w:rPr>
          <w:rFonts w:asciiTheme="minorHAnsi" w:hAnsiTheme="minorHAnsi"/>
          <w:i/>
          <w:noProof/>
          <w:lang w:val="sq-AL"/>
        </w:rPr>
        <w:t>2</w:t>
      </w:r>
      <w:r w:rsidR="00A40EC7">
        <w:rPr>
          <w:rFonts w:asciiTheme="minorHAnsi" w:hAnsiTheme="minorHAnsi"/>
          <w:i/>
          <w:noProof/>
          <w:lang w:val="sq-AL"/>
        </w:rPr>
        <w:t>1</w:t>
      </w:r>
      <w:r w:rsidRPr="0065598A">
        <w:rPr>
          <w:rFonts w:asciiTheme="minorHAnsi" w:hAnsiTheme="minorHAnsi"/>
          <w:i/>
          <w:noProof/>
          <w:lang w:val="sq-AL"/>
        </w:rPr>
        <w:t xml:space="preserve">, </w:t>
      </w:r>
      <w:r w:rsidR="00A40EC7">
        <w:rPr>
          <w:rFonts w:asciiTheme="minorHAnsi" w:hAnsiTheme="minorHAnsi"/>
          <w:i/>
          <w:noProof/>
          <w:lang w:val="sq-AL"/>
        </w:rPr>
        <w:t>si edhe n</w:t>
      </w:r>
      <w:r w:rsidR="00657BC2">
        <w:rPr>
          <w:rFonts w:asciiTheme="minorHAnsi" w:hAnsiTheme="minorHAnsi"/>
          <w:i/>
          <w:noProof/>
          <w:lang w:val="sq-AL"/>
        </w:rPr>
        <w:t>ë</w:t>
      </w:r>
      <w:r w:rsidR="00A40EC7">
        <w:rPr>
          <w:rFonts w:asciiTheme="minorHAnsi" w:hAnsiTheme="minorHAnsi"/>
          <w:i/>
          <w:noProof/>
          <w:lang w:val="sq-AL"/>
        </w:rPr>
        <w:t xml:space="preserve"> vijim t</w:t>
      </w:r>
      <w:r w:rsidR="00657BC2">
        <w:rPr>
          <w:rFonts w:asciiTheme="minorHAnsi" w:hAnsiTheme="minorHAnsi"/>
          <w:i/>
          <w:noProof/>
          <w:lang w:val="sq-AL"/>
        </w:rPr>
        <w:t>ë</w:t>
      </w:r>
      <w:r w:rsidR="00A40EC7">
        <w:rPr>
          <w:rFonts w:asciiTheme="minorHAnsi" w:hAnsiTheme="minorHAnsi"/>
          <w:i/>
          <w:noProof/>
          <w:lang w:val="sq-AL"/>
        </w:rPr>
        <w:t xml:space="preserve"> rishikimit s</w:t>
      </w:r>
      <w:r w:rsidR="00657BC2">
        <w:rPr>
          <w:rFonts w:asciiTheme="minorHAnsi" w:hAnsiTheme="minorHAnsi"/>
          <w:i/>
          <w:noProof/>
          <w:lang w:val="sq-AL"/>
        </w:rPr>
        <w:t>ë</w:t>
      </w:r>
      <w:r w:rsidR="00A40EC7">
        <w:rPr>
          <w:rFonts w:asciiTheme="minorHAnsi" w:hAnsiTheme="minorHAnsi"/>
          <w:i/>
          <w:noProof/>
          <w:lang w:val="sq-AL"/>
        </w:rPr>
        <w:t xml:space="preserve"> fundimi t</w:t>
      </w:r>
      <w:r w:rsidR="00657BC2">
        <w:rPr>
          <w:rFonts w:asciiTheme="minorHAnsi" w:hAnsiTheme="minorHAnsi"/>
          <w:i/>
          <w:noProof/>
          <w:lang w:val="sq-AL"/>
        </w:rPr>
        <w:t>ë</w:t>
      </w:r>
      <w:r w:rsidR="00A40EC7">
        <w:rPr>
          <w:rFonts w:asciiTheme="minorHAnsi" w:hAnsiTheme="minorHAnsi"/>
          <w:i/>
          <w:noProof/>
          <w:lang w:val="sq-AL"/>
        </w:rPr>
        <w:t xml:space="preserve"> ligjit t</w:t>
      </w:r>
      <w:r w:rsidR="00657BC2">
        <w:rPr>
          <w:rFonts w:asciiTheme="minorHAnsi" w:hAnsiTheme="minorHAnsi"/>
          <w:i/>
          <w:noProof/>
          <w:lang w:val="sq-AL"/>
        </w:rPr>
        <w:t>ë</w:t>
      </w:r>
      <w:r w:rsidR="00A40EC7">
        <w:rPr>
          <w:rFonts w:asciiTheme="minorHAnsi" w:hAnsiTheme="minorHAnsi"/>
          <w:i/>
          <w:noProof/>
          <w:lang w:val="sq-AL"/>
        </w:rPr>
        <w:t xml:space="preserve"> buxhetit 2021 p</w:t>
      </w:r>
      <w:r w:rsidR="00657BC2">
        <w:rPr>
          <w:rFonts w:asciiTheme="minorHAnsi" w:hAnsiTheme="minorHAnsi"/>
          <w:i/>
          <w:noProof/>
          <w:lang w:val="sq-AL"/>
        </w:rPr>
        <w:t>ë</w:t>
      </w:r>
      <w:r w:rsidR="00A40EC7">
        <w:rPr>
          <w:rFonts w:asciiTheme="minorHAnsi" w:hAnsiTheme="minorHAnsi"/>
          <w:i/>
          <w:noProof/>
          <w:lang w:val="sq-AL"/>
        </w:rPr>
        <w:t>rmes AN nr.26 dat</w:t>
      </w:r>
      <w:r w:rsidR="00657BC2">
        <w:rPr>
          <w:rFonts w:asciiTheme="minorHAnsi" w:hAnsiTheme="minorHAnsi"/>
          <w:i/>
          <w:noProof/>
          <w:lang w:val="sq-AL"/>
        </w:rPr>
        <w:t>ë</w:t>
      </w:r>
      <w:r w:rsidR="00A40EC7">
        <w:rPr>
          <w:rFonts w:asciiTheme="minorHAnsi" w:hAnsiTheme="minorHAnsi"/>
          <w:i/>
          <w:noProof/>
          <w:lang w:val="sq-AL"/>
        </w:rPr>
        <w:t xml:space="preserve"> 22.06.2021, </w:t>
      </w:r>
      <w:r w:rsidRPr="0065598A">
        <w:rPr>
          <w:rFonts w:asciiTheme="minorHAnsi" w:hAnsiTheme="minorHAnsi"/>
          <w:i/>
          <w:noProof/>
          <w:lang w:val="sq-AL"/>
        </w:rPr>
        <w:t xml:space="preserve">Ministria e Financave dhe Ekonomisë gjykon se vlerësimi i performancës </w:t>
      </w:r>
      <w:r w:rsidR="00A40EC7">
        <w:rPr>
          <w:rFonts w:asciiTheme="minorHAnsi" w:hAnsiTheme="minorHAnsi"/>
          <w:i/>
          <w:noProof/>
          <w:lang w:val="sq-AL"/>
        </w:rPr>
        <w:t>s</w:t>
      </w:r>
      <w:r w:rsidRPr="0065598A">
        <w:rPr>
          <w:rFonts w:asciiTheme="minorHAnsi" w:hAnsiTheme="minorHAnsi"/>
          <w:i/>
          <w:noProof/>
          <w:lang w:val="sq-AL"/>
        </w:rPr>
        <w:t>ë ecurisë së treguesve të konsoliduar makro-fiskal dhe buxhetorë, si të të ardhurave ashtu edhe të shp</w:t>
      </w:r>
      <w:r w:rsidR="00A40EC7">
        <w:rPr>
          <w:rFonts w:asciiTheme="minorHAnsi" w:hAnsiTheme="minorHAnsi"/>
          <w:i/>
          <w:noProof/>
          <w:lang w:val="sq-AL"/>
        </w:rPr>
        <w:t>enzimeve n</w:t>
      </w:r>
      <w:r w:rsidR="00657BC2">
        <w:rPr>
          <w:rFonts w:asciiTheme="minorHAnsi" w:hAnsiTheme="minorHAnsi"/>
          <w:i/>
          <w:noProof/>
          <w:lang w:val="sq-AL"/>
        </w:rPr>
        <w:t>ë</w:t>
      </w:r>
      <w:r w:rsidR="00A40EC7">
        <w:rPr>
          <w:rFonts w:asciiTheme="minorHAnsi" w:hAnsiTheme="minorHAnsi"/>
          <w:i/>
          <w:noProof/>
          <w:lang w:val="sq-AL"/>
        </w:rPr>
        <w:t xml:space="preserve"> nivel t</w:t>
      </w:r>
      <w:r w:rsidR="00657BC2">
        <w:rPr>
          <w:rFonts w:asciiTheme="minorHAnsi" w:hAnsiTheme="minorHAnsi"/>
          <w:i/>
          <w:noProof/>
          <w:lang w:val="sq-AL"/>
        </w:rPr>
        <w:t>ë</w:t>
      </w:r>
      <w:r w:rsidR="00A40EC7">
        <w:rPr>
          <w:rFonts w:asciiTheme="minorHAnsi" w:hAnsiTheme="minorHAnsi"/>
          <w:i/>
          <w:noProof/>
          <w:lang w:val="sq-AL"/>
        </w:rPr>
        <w:t xml:space="preserve"> pakt</w:t>
      </w:r>
      <w:r w:rsidR="00657BC2">
        <w:rPr>
          <w:rFonts w:asciiTheme="minorHAnsi" w:hAnsiTheme="minorHAnsi"/>
          <w:i/>
          <w:noProof/>
          <w:lang w:val="sq-AL"/>
        </w:rPr>
        <w:t>ë</w:t>
      </w:r>
      <w:r w:rsidR="00A40EC7">
        <w:rPr>
          <w:rFonts w:asciiTheme="minorHAnsi" w:hAnsiTheme="minorHAnsi"/>
          <w:i/>
          <w:noProof/>
          <w:lang w:val="sq-AL"/>
        </w:rPr>
        <w:t xml:space="preserve">n 9-mujori, </w:t>
      </w:r>
      <w:r w:rsidRPr="0065598A">
        <w:rPr>
          <w:rFonts w:asciiTheme="minorHAnsi" w:hAnsiTheme="minorHAnsi"/>
          <w:i/>
          <w:noProof/>
          <w:lang w:val="sq-AL"/>
        </w:rPr>
        <w:t xml:space="preserve">do të jetë vendimtar në drejtim të </w:t>
      </w:r>
      <w:r w:rsidR="00417DCB" w:rsidRPr="0065598A">
        <w:rPr>
          <w:rFonts w:asciiTheme="minorHAnsi" w:hAnsiTheme="minorHAnsi"/>
          <w:i/>
          <w:noProof/>
          <w:lang w:val="sq-AL"/>
        </w:rPr>
        <w:t>angazhimit</w:t>
      </w:r>
      <w:r w:rsidRPr="0065598A">
        <w:rPr>
          <w:rFonts w:asciiTheme="minorHAnsi" w:hAnsiTheme="minorHAnsi"/>
          <w:i/>
          <w:noProof/>
          <w:lang w:val="sq-AL"/>
        </w:rPr>
        <w:t xml:space="preserve"> për një rishikim </w:t>
      </w:r>
      <w:r w:rsidR="00A40EC7">
        <w:rPr>
          <w:rFonts w:asciiTheme="minorHAnsi" w:hAnsiTheme="minorHAnsi"/>
          <w:i/>
          <w:noProof/>
          <w:lang w:val="sq-AL"/>
        </w:rPr>
        <w:t>tjet</w:t>
      </w:r>
      <w:r w:rsidR="00657BC2">
        <w:rPr>
          <w:rFonts w:asciiTheme="minorHAnsi" w:hAnsiTheme="minorHAnsi"/>
          <w:i/>
          <w:noProof/>
          <w:lang w:val="sq-AL"/>
        </w:rPr>
        <w:t>ë</w:t>
      </w:r>
      <w:r w:rsidR="00A40EC7">
        <w:rPr>
          <w:rFonts w:asciiTheme="minorHAnsi" w:hAnsiTheme="minorHAnsi"/>
          <w:i/>
          <w:noProof/>
          <w:lang w:val="sq-AL"/>
        </w:rPr>
        <w:t xml:space="preserve">r </w:t>
      </w:r>
      <w:r w:rsidRPr="0065598A">
        <w:rPr>
          <w:rFonts w:asciiTheme="minorHAnsi" w:hAnsiTheme="minorHAnsi"/>
          <w:i/>
          <w:noProof/>
          <w:lang w:val="sq-AL"/>
        </w:rPr>
        <w:t xml:space="preserve">eventual të </w:t>
      </w:r>
      <w:r w:rsidR="00417DCB" w:rsidRPr="0065598A">
        <w:rPr>
          <w:rFonts w:asciiTheme="minorHAnsi" w:hAnsiTheme="minorHAnsi"/>
          <w:i/>
          <w:noProof/>
          <w:lang w:val="sq-AL"/>
        </w:rPr>
        <w:t>ligjit t</w:t>
      </w:r>
      <w:r w:rsidR="000D1394" w:rsidRPr="0065598A">
        <w:rPr>
          <w:rFonts w:asciiTheme="minorHAnsi" w:hAnsiTheme="minorHAnsi"/>
          <w:i/>
          <w:noProof/>
          <w:lang w:val="sq-AL"/>
        </w:rPr>
        <w:t>ë</w:t>
      </w:r>
      <w:r w:rsidR="00417DCB" w:rsidRPr="0065598A">
        <w:rPr>
          <w:rFonts w:asciiTheme="minorHAnsi" w:hAnsiTheme="minorHAnsi"/>
          <w:i/>
          <w:noProof/>
          <w:lang w:val="sq-AL"/>
        </w:rPr>
        <w:t xml:space="preserve"> </w:t>
      </w:r>
      <w:r w:rsidRPr="0065598A">
        <w:rPr>
          <w:rFonts w:asciiTheme="minorHAnsi" w:hAnsiTheme="minorHAnsi"/>
          <w:i/>
          <w:noProof/>
          <w:lang w:val="sq-AL"/>
        </w:rPr>
        <w:t xml:space="preserve">buxhetit të </w:t>
      </w:r>
      <w:r w:rsidR="00417DCB" w:rsidRPr="0065598A">
        <w:rPr>
          <w:rFonts w:asciiTheme="minorHAnsi" w:hAnsiTheme="minorHAnsi"/>
          <w:i/>
          <w:noProof/>
          <w:lang w:val="sq-AL"/>
        </w:rPr>
        <w:t>vitit</w:t>
      </w:r>
      <w:r w:rsidRPr="0065598A">
        <w:rPr>
          <w:rFonts w:asciiTheme="minorHAnsi" w:hAnsiTheme="minorHAnsi"/>
          <w:i/>
          <w:noProof/>
          <w:lang w:val="sq-AL"/>
        </w:rPr>
        <w:t xml:space="preserve"> 20</w:t>
      </w:r>
      <w:r w:rsidR="00FF4AD5">
        <w:rPr>
          <w:rFonts w:asciiTheme="minorHAnsi" w:hAnsiTheme="minorHAnsi"/>
          <w:i/>
          <w:noProof/>
          <w:lang w:val="sq-AL"/>
        </w:rPr>
        <w:t>2</w:t>
      </w:r>
      <w:r w:rsidR="00A40EC7">
        <w:rPr>
          <w:rFonts w:asciiTheme="minorHAnsi" w:hAnsiTheme="minorHAnsi"/>
          <w:i/>
          <w:noProof/>
          <w:lang w:val="sq-AL"/>
        </w:rPr>
        <w:t>1</w:t>
      </w:r>
      <w:r w:rsidRPr="0065598A">
        <w:rPr>
          <w:rFonts w:asciiTheme="minorHAnsi" w:hAnsiTheme="minorHAnsi"/>
          <w:i/>
          <w:noProof/>
          <w:lang w:val="sq-AL"/>
        </w:rPr>
        <w:t>.</w:t>
      </w:r>
      <w:r w:rsidR="00A40EC7">
        <w:rPr>
          <w:rFonts w:asciiTheme="minorHAnsi" w:hAnsiTheme="minorHAnsi"/>
          <w:i/>
          <w:noProof/>
          <w:lang w:val="sq-AL"/>
        </w:rPr>
        <w:t xml:space="preserve"> Kjo, duke patur parasysh </w:t>
      </w:r>
      <w:r w:rsidR="00657BC2">
        <w:rPr>
          <w:rFonts w:asciiTheme="minorHAnsi" w:hAnsiTheme="minorHAnsi"/>
          <w:i/>
          <w:noProof/>
          <w:lang w:val="sq-AL"/>
        </w:rPr>
        <w:t>edhe</w:t>
      </w:r>
      <w:r w:rsidR="00A40EC7">
        <w:rPr>
          <w:rFonts w:asciiTheme="minorHAnsi" w:hAnsiTheme="minorHAnsi"/>
          <w:i/>
          <w:noProof/>
          <w:lang w:val="sq-AL"/>
        </w:rPr>
        <w:t xml:space="preserve"> konstituimin po n</w:t>
      </w:r>
      <w:r w:rsidR="00657BC2">
        <w:rPr>
          <w:rFonts w:asciiTheme="minorHAnsi" w:hAnsiTheme="minorHAnsi"/>
          <w:i/>
          <w:noProof/>
          <w:lang w:val="sq-AL"/>
        </w:rPr>
        <w:t>ë</w:t>
      </w:r>
      <w:r w:rsidR="00A40EC7">
        <w:rPr>
          <w:rFonts w:asciiTheme="minorHAnsi" w:hAnsiTheme="minorHAnsi"/>
          <w:i/>
          <w:noProof/>
          <w:lang w:val="sq-AL"/>
        </w:rPr>
        <w:t xml:space="preserve"> muajin </w:t>
      </w:r>
      <w:r w:rsidR="00657BC2">
        <w:rPr>
          <w:rFonts w:asciiTheme="minorHAnsi" w:hAnsiTheme="minorHAnsi"/>
          <w:i/>
          <w:noProof/>
          <w:lang w:val="sq-AL"/>
        </w:rPr>
        <w:t>S</w:t>
      </w:r>
      <w:r w:rsidR="00A40EC7">
        <w:rPr>
          <w:rFonts w:asciiTheme="minorHAnsi" w:hAnsiTheme="minorHAnsi"/>
          <w:i/>
          <w:noProof/>
          <w:lang w:val="sq-AL"/>
        </w:rPr>
        <w:t>htator 2021 t</w:t>
      </w:r>
      <w:r w:rsidR="00657BC2">
        <w:rPr>
          <w:rFonts w:asciiTheme="minorHAnsi" w:hAnsiTheme="minorHAnsi"/>
          <w:i/>
          <w:noProof/>
          <w:lang w:val="sq-AL"/>
        </w:rPr>
        <w:t>ë</w:t>
      </w:r>
      <w:r w:rsidR="00A40EC7">
        <w:rPr>
          <w:rFonts w:asciiTheme="minorHAnsi" w:hAnsiTheme="minorHAnsi"/>
          <w:i/>
          <w:noProof/>
          <w:lang w:val="sq-AL"/>
        </w:rPr>
        <w:t xml:space="preserve"> Kabinetit t</w:t>
      </w:r>
      <w:r w:rsidR="00657BC2">
        <w:rPr>
          <w:rFonts w:asciiTheme="minorHAnsi" w:hAnsiTheme="minorHAnsi"/>
          <w:i/>
          <w:noProof/>
          <w:lang w:val="sq-AL"/>
        </w:rPr>
        <w:t>ë</w:t>
      </w:r>
      <w:r w:rsidR="00A40EC7">
        <w:rPr>
          <w:rFonts w:asciiTheme="minorHAnsi" w:hAnsiTheme="minorHAnsi"/>
          <w:i/>
          <w:noProof/>
          <w:lang w:val="sq-AL"/>
        </w:rPr>
        <w:t xml:space="preserve"> ri Qeveritar </w:t>
      </w:r>
      <w:r w:rsidR="00657BC2">
        <w:rPr>
          <w:rFonts w:asciiTheme="minorHAnsi" w:hAnsiTheme="minorHAnsi"/>
          <w:i/>
          <w:noProof/>
          <w:lang w:val="sq-AL"/>
        </w:rPr>
        <w:t xml:space="preserve">të dalë nga zgjedhjet e përgjithshme të datës 25 Prill 2021, </w:t>
      </w:r>
      <w:r w:rsidR="00A40EC7">
        <w:rPr>
          <w:rFonts w:asciiTheme="minorHAnsi" w:hAnsiTheme="minorHAnsi"/>
          <w:i/>
          <w:noProof/>
          <w:lang w:val="sq-AL"/>
        </w:rPr>
        <w:t>dhe/ose ristrukturimin eventual t</w:t>
      </w:r>
      <w:r w:rsidR="00657BC2">
        <w:rPr>
          <w:rFonts w:asciiTheme="minorHAnsi" w:hAnsiTheme="minorHAnsi"/>
          <w:i/>
          <w:noProof/>
          <w:lang w:val="sq-AL"/>
        </w:rPr>
        <w:t>ë</w:t>
      </w:r>
      <w:r w:rsidR="00A40EC7">
        <w:rPr>
          <w:rFonts w:asciiTheme="minorHAnsi" w:hAnsiTheme="minorHAnsi"/>
          <w:i/>
          <w:noProof/>
          <w:lang w:val="sq-AL"/>
        </w:rPr>
        <w:t xml:space="preserve"> struktur</w:t>
      </w:r>
      <w:r w:rsidR="00657BC2">
        <w:rPr>
          <w:rFonts w:asciiTheme="minorHAnsi" w:hAnsiTheme="minorHAnsi"/>
          <w:i/>
          <w:noProof/>
          <w:lang w:val="sq-AL"/>
        </w:rPr>
        <w:t>ë</w:t>
      </w:r>
      <w:r w:rsidR="00A40EC7">
        <w:rPr>
          <w:rFonts w:asciiTheme="minorHAnsi" w:hAnsiTheme="minorHAnsi"/>
          <w:i/>
          <w:noProof/>
          <w:lang w:val="sq-AL"/>
        </w:rPr>
        <w:t xml:space="preserve">s </w:t>
      </w:r>
      <w:r w:rsidR="00657BC2">
        <w:rPr>
          <w:rFonts w:asciiTheme="minorHAnsi" w:hAnsiTheme="minorHAnsi"/>
          <w:i/>
          <w:noProof/>
          <w:lang w:val="sq-AL"/>
        </w:rPr>
        <w:t>o</w:t>
      </w:r>
      <w:r w:rsidR="00A40EC7">
        <w:rPr>
          <w:rFonts w:asciiTheme="minorHAnsi" w:hAnsiTheme="minorHAnsi"/>
          <w:i/>
          <w:noProof/>
          <w:lang w:val="sq-AL"/>
        </w:rPr>
        <w:t>rganizative e funksionale t</w:t>
      </w:r>
      <w:r w:rsidR="00657BC2">
        <w:rPr>
          <w:rFonts w:asciiTheme="minorHAnsi" w:hAnsiTheme="minorHAnsi"/>
          <w:i/>
          <w:noProof/>
          <w:lang w:val="sq-AL"/>
        </w:rPr>
        <w:t>ë</w:t>
      </w:r>
      <w:r w:rsidR="00A40EC7">
        <w:rPr>
          <w:rFonts w:asciiTheme="minorHAnsi" w:hAnsiTheme="minorHAnsi"/>
          <w:i/>
          <w:noProof/>
          <w:lang w:val="sq-AL"/>
        </w:rPr>
        <w:t xml:space="preserve"> ministrive t</w:t>
      </w:r>
      <w:r w:rsidR="00657BC2">
        <w:rPr>
          <w:rFonts w:asciiTheme="minorHAnsi" w:hAnsiTheme="minorHAnsi"/>
          <w:i/>
          <w:noProof/>
          <w:lang w:val="sq-AL"/>
        </w:rPr>
        <w:t>ë</w:t>
      </w:r>
      <w:r w:rsidR="00A40EC7">
        <w:rPr>
          <w:rFonts w:asciiTheme="minorHAnsi" w:hAnsiTheme="minorHAnsi"/>
          <w:i/>
          <w:noProof/>
          <w:lang w:val="sq-AL"/>
        </w:rPr>
        <w:t xml:space="preserve"> linj</w:t>
      </w:r>
      <w:r w:rsidR="00657BC2">
        <w:rPr>
          <w:rFonts w:asciiTheme="minorHAnsi" w:hAnsiTheme="minorHAnsi"/>
          <w:i/>
          <w:noProof/>
          <w:lang w:val="sq-AL"/>
        </w:rPr>
        <w:t>ë</w:t>
      </w:r>
      <w:r w:rsidR="00A40EC7">
        <w:rPr>
          <w:rFonts w:asciiTheme="minorHAnsi" w:hAnsiTheme="minorHAnsi"/>
          <w:i/>
          <w:noProof/>
          <w:lang w:val="sq-AL"/>
        </w:rPr>
        <w:t>s.</w:t>
      </w:r>
    </w:p>
    <w:p w:rsidR="00F02D9D" w:rsidRDefault="00F02D9D" w:rsidP="0078470D">
      <w:pPr>
        <w:spacing w:before="240" w:after="240" w:line="276" w:lineRule="auto"/>
        <w:jc w:val="both"/>
        <w:rPr>
          <w:rFonts w:asciiTheme="minorHAnsi" w:hAnsiTheme="minorHAnsi"/>
          <w:i/>
          <w:noProof/>
          <w:lang w:val="sq-AL"/>
        </w:rPr>
      </w:pPr>
    </w:p>
    <w:p w:rsidR="00C666E5" w:rsidRDefault="00C666E5" w:rsidP="0078470D">
      <w:pPr>
        <w:spacing w:before="240" w:after="240" w:line="276" w:lineRule="auto"/>
        <w:jc w:val="both"/>
        <w:rPr>
          <w:rFonts w:asciiTheme="minorHAnsi" w:hAnsiTheme="minorHAnsi"/>
          <w:i/>
          <w:noProof/>
          <w:lang w:val="sq-AL"/>
        </w:rPr>
      </w:pPr>
    </w:p>
    <w:p w:rsidR="00C666E5" w:rsidRDefault="00C666E5" w:rsidP="0078470D">
      <w:pPr>
        <w:spacing w:before="240" w:after="240" w:line="276" w:lineRule="auto"/>
        <w:jc w:val="both"/>
        <w:rPr>
          <w:rFonts w:asciiTheme="minorHAnsi" w:hAnsiTheme="minorHAnsi"/>
          <w:i/>
          <w:noProof/>
          <w:lang w:val="sq-AL"/>
        </w:rPr>
      </w:pPr>
    </w:p>
    <w:p w:rsidR="00C666E5" w:rsidRDefault="00C666E5" w:rsidP="0078470D">
      <w:pPr>
        <w:spacing w:before="240" w:after="240" w:line="276" w:lineRule="auto"/>
        <w:jc w:val="both"/>
        <w:rPr>
          <w:rFonts w:asciiTheme="minorHAnsi" w:hAnsiTheme="minorHAnsi"/>
          <w:i/>
          <w:noProof/>
          <w:lang w:val="sq-AL"/>
        </w:rPr>
      </w:pPr>
    </w:p>
    <w:p w:rsidR="00C666E5" w:rsidRDefault="00C666E5" w:rsidP="0078470D">
      <w:pPr>
        <w:spacing w:before="240" w:after="240" w:line="276" w:lineRule="auto"/>
        <w:jc w:val="both"/>
        <w:rPr>
          <w:rFonts w:asciiTheme="minorHAnsi" w:hAnsiTheme="minorHAnsi"/>
          <w:i/>
          <w:noProof/>
          <w:lang w:val="sq-AL"/>
        </w:rPr>
      </w:pPr>
    </w:p>
    <w:p w:rsidR="00C666E5" w:rsidRDefault="00C666E5" w:rsidP="0078470D">
      <w:pPr>
        <w:spacing w:before="240" w:after="240" w:line="276" w:lineRule="auto"/>
        <w:jc w:val="both"/>
        <w:rPr>
          <w:rFonts w:asciiTheme="minorHAnsi" w:hAnsiTheme="minorHAnsi"/>
          <w:i/>
          <w:noProof/>
          <w:lang w:val="sq-AL"/>
        </w:rPr>
      </w:pPr>
    </w:p>
    <w:p w:rsidR="00C666E5" w:rsidRDefault="00C666E5" w:rsidP="0078470D">
      <w:pPr>
        <w:spacing w:before="240" w:after="240" w:line="276" w:lineRule="auto"/>
        <w:jc w:val="both"/>
        <w:rPr>
          <w:rFonts w:asciiTheme="minorHAnsi" w:hAnsiTheme="minorHAnsi"/>
          <w:i/>
          <w:noProof/>
          <w:lang w:val="sq-AL"/>
        </w:rPr>
      </w:pPr>
    </w:p>
    <w:p w:rsidR="00C666E5" w:rsidRDefault="00C666E5" w:rsidP="0078470D">
      <w:pPr>
        <w:spacing w:before="240" w:after="240" w:line="276" w:lineRule="auto"/>
        <w:jc w:val="both"/>
        <w:rPr>
          <w:rFonts w:asciiTheme="minorHAnsi" w:hAnsiTheme="minorHAnsi"/>
          <w:i/>
          <w:noProof/>
          <w:lang w:val="sq-AL"/>
        </w:rPr>
      </w:pPr>
    </w:p>
    <w:p w:rsidR="00C666E5" w:rsidRDefault="00C666E5" w:rsidP="0078470D">
      <w:pPr>
        <w:spacing w:before="240" w:after="240" w:line="276" w:lineRule="auto"/>
        <w:jc w:val="both"/>
        <w:rPr>
          <w:rFonts w:asciiTheme="minorHAnsi" w:hAnsiTheme="minorHAnsi"/>
          <w:i/>
          <w:noProof/>
          <w:lang w:val="sq-AL"/>
        </w:rPr>
      </w:pPr>
    </w:p>
    <w:p w:rsidR="00F02D9D" w:rsidRDefault="00F02D9D" w:rsidP="0078470D">
      <w:pPr>
        <w:spacing w:before="240" w:after="240" w:line="276" w:lineRule="auto"/>
        <w:jc w:val="both"/>
        <w:rPr>
          <w:rFonts w:asciiTheme="minorHAnsi" w:hAnsiTheme="minorHAnsi"/>
          <w:i/>
          <w:noProof/>
          <w:lang w:val="sq-AL"/>
        </w:rPr>
      </w:pPr>
    </w:p>
    <w:p w:rsidR="00534682" w:rsidRDefault="00534682" w:rsidP="0078470D">
      <w:pPr>
        <w:spacing w:before="240" w:after="240" w:line="276" w:lineRule="auto"/>
        <w:jc w:val="both"/>
        <w:rPr>
          <w:rFonts w:asciiTheme="minorHAnsi" w:hAnsiTheme="minorHAnsi"/>
          <w:i/>
          <w:noProof/>
          <w:lang w:val="sq-AL"/>
        </w:rPr>
      </w:pPr>
    </w:p>
    <w:p w:rsidR="000A1A4D" w:rsidRPr="0065598A" w:rsidRDefault="00D3619E" w:rsidP="00B95810">
      <w:pPr>
        <w:pStyle w:val="Heading1"/>
        <w:numPr>
          <w:ilvl w:val="0"/>
          <w:numId w:val="1"/>
        </w:numPr>
        <w:spacing w:line="276" w:lineRule="auto"/>
        <w:ind w:left="720"/>
        <w:jc w:val="both"/>
        <w:rPr>
          <w:sz w:val="32"/>
          <w:u w:val="none"/>
        </w:rPr>
      </w:pPr>
      <w:bookmarkStart w:id="99" w:name="_Toc76470040"/>
      <w:r w:rsidRPr="0065598A">
        <w:rPr>
          <w:sz w:val="32"/>
          <w:u w:val="none"/>
        </w:rPr>
        <w:lastRenderedPageBreak/>
        <w:t>SHTOJCAT</w:t>
      </w:r>
      <w:bookmarkEnd w:id="99"/>
    </w:p>
    <w:p w:rsidR="000A1A4D" w:rsidRPr="0065598A" w:rsidRDefault="000A1A4D" w:rsidP="002334F6">
      <w:pPr>
        <w:pStyle w:val="Heading2"/>
      </w:pPr>
      <w:bookmarkStart w:id="100" w:name="_Toc76470041"/>
      <w:r w:rsidRPr="0065598A">
        <w:t>VI.1</w:t>
      </w:r>
      <w:r w:rsidRPr="0065598A">
        <w:tab/>
        <w:t xml:space="preserve">Ecuria e </w:t>
      </w:r>
      <w:r w:rsidR="003D082B" w:rsidRPr="0065598A">
        <w:t xml:space="preserve">detajuar e </w:t>
      </w:r>
      <w:r w:rsidRPr="0065598A">
        <w:t>treguesve makroekonomik</w:t>
      </w:r>
      <w:r w:rsidR="00CB4E18" w:rsidRPr="0065598A">
        <w:t>ë</w:t>
      </w:r>
      <w:r w:rsidRPr="0065598A">
        <w:t xml:space="preserve"> gjat</w:t>
      </w:r>
      <w:r w:rsidR="00CB4E18" w:rsidRPr="0065598A">
        <w:t>ë</w:t>
      </w:r>
      <w:r w:rsidRPr="0065598A">
        <w:t xml:space="preserve"> janar-maj 20</w:t>
      </w:r>
      <w:r w:rsidR="001F417D" w:rsidRPr="0065598A">
        <w:t>2</w:t>
      </w:r>
      <w:r w:rsidR="00CD3BAD">
        <w:t>1</w:t>
      </w:r>
      <w:r w:rsidR="00302A6A" w:rsidRPr="0065598A">
        <w:rPr>
          <w:rStyle w:val="FootnoteReference"/>
        </w:rPr>
        <w:footnoteReference w:id="3"/>
      </w:r>
      <w:bookmarkEnd w:id="100"/>
      <w:r w:rsidR="00365407">
        <w:t xml:space="preserve"> </w:t>
      </w:r>
    </w:p>
    <w:p w:rsidR="000A1A4D" w:rsidRPr="0065598A" w:rsidRDefault="000A1A4D" w:rsidP="000A1A4D">
      <w:pPr>
        <w:autoSpaceDE w:val="0"/>
        <w:autoSpaceDN w:val="0"/>
        <w:adjustRightInd w:val="0"/>
        <w:spacing w:line="276" w:lineRule="auto"/>
        <w:contextualSpacing/>
        <w:jc w:val="both"/>
        <w:rPr>
          <w:rFonts w:asciiTheme="minorHAnsi" w:hAnsiTheme="minorHAnsi"/>
          <w:b/>
          <w:i/>
          <w:noProof/>
          <w:sz w:val="8"/>
          <w:lang w:val="sq-AL"/>
        </w:rPr>
      </w:pPr>
    </w:p>
    <w:p w:rsidR="00B31CF7" w:rsidRPr="005C5B2F" w:rsidRDefault="00B31CF7" w:rsidP="00B31CF7">
      <w:pPr>
        <w:autoSpaceDE w:val="0"/>
        <w:autoSpaceDN w:val="0"/>
        <w:adjustRightInd w:val="0"/>
        <w:spacing w:after="120" w:line="276" w:lineRule="auto"/>
        <w:jc w:val="both"/>
        <w:rPr>
          <w:rFonts w:ascii="Calibri" w:hAnsi="Calibri"/>
          <w:i/>
          <w:noProof/>
          <w:u w:val="single"/>
          <w:lang w:val="sq-AL"/>
        </w:rPr>
      </w:pPr>
      <w:r w:rsidRPr="005C5B2F">
        <w:rPr>
          <w:rFonts w:ascii="Calibri" w:hAnsi="Calibri"/>
          <w:i/>
          <w:noProof/>
          <w:u w:val="single"/>
          <w:lang w:val="sq-AL"/>
        </w:rPr>
        <w:t xml:space="preserve">Sektori real  </w:t>
      </w:r>
    </w:p>
    <w:p w:rsidR="00B31CF7" w:rsidRPr="005C5B2F" w:rsidRDefault="00B31CF7" w:rsidP="00B31CF7">
      <w:pPr>
        <w:tabs>
          <w:tab w:val="left" w:pos="2730"/>
        </w:tabs>
        <w:spacing w:after="120" w:line="276" w:lineRule="auto"/>
        <w:jc w:val="both"/>
        <w:rPr>
          <w:rFonts w:asciiTheme="minorHAnsi" w:hAnsiTheme="minorHAnsi"/>
          <w:lang w:val="sq-AL"/>
        </w:rPr>
      </w:pPr>
      <w:r w:rsidRPr="005C5B2F">
        <w:rPr>
          <w:rFonts w:ascii="Calibri" w:hAnsi="Calibri"/>
          <w:noProof/>
          <w:lang w:val="sq-AL"/>
        </w:rPr>
        <w:t xml:space="preserve">Bazuar në statistikat dhe informacionin më të fundit të disponueshëm, rezulton se ekonomia po rikthehet drejt normalizimit, pasi </w:t>
      </w:r>
      <w:r>
        <w:rPr>
          <w:rFonts w:ascii="Calibri" w:hAnsi="Calibri"/>
          <w:noProof/>
          <w:lang w:val="sq-AL"/>
        </w:rPr>
        <w:t>lehtwsimi i masave kufizuese tw ndwrmarra pwr kontrollin e pandemisw</w:t>
      </w:r>
      <w:r w:rsidRPr="005C5B2F">
        <w:rPr>
          <w:rFonts w:ascii="Calibri" w:hAnsi="Calibri"/>
          <w:noProof/>
          <w:lang w:val="sq-AL"/>
        </w:rPr>
        <w:t xml:space="preserve"> janë duke u hequr gradualisht dhe ndërkohë </w:t>
      </w:r>
      <w:r w:rsidRPr="005C5B2F">
        <w:rPr>
          <w:rFonts w:asciiTheme="minorHAnsi" w:hAnsiTheme="minorHAnsi"/>
          <w:lang w:val="sq-AL"/>
        </w:rPr>
        <w:t xml:space="preserve">proçesi i vaksinimt të popullatës, si dhe grupeve prioritare vazhdon me intensitet të lartë. </w:t>
      </w:r>
    </w:p>
    <w:p w:rsidR="00B31CF7" w:rsidRPr="005C5B2F" w:rsidRDefault="00B31CF7" w:rsidP="00B31CF7">
      <w:pPr>
        <w:tabs>
          <w:tab w:val="left" w:pos="2730"/>
        </w:tabs>
        <w:spacing w:after="120" w:line="276" w:lineRule="auto"/>
        <w:jc w:val="both"/>
        <w:rPr>
          <w:rFonts w:ascii="Calibri" w:hAnsi="Calibri"/>
          <w:noProof/>
          <w:lang w:val="sq-AL"/>
        </w:rPr>
      </w:pPr>
      <w:r w:rsidRPr="005C5B2F">
        <w:rPr>
          <w:rFonts w:ascii="Calibri" w:hAnsi="Calibri"/>
          <w:noProof/>
          <w:lang w:val="sq-AL"/>
        </w:rPr>
        <w:t>Tashmë mund të thuhet se pasojat në tregun e punës nuk duken të kenë qenë shumë shqetësuese, veçanërisht në lidhje me implikimet strukturore afatgjata. Shkalla e papunësisë në tremujorin e fundit të vitit 2020 ishte 12.3%, me një rritje margjinale nga niveli prej 11.6% që shënonte në fund të vitit 2019. Sipas informacioni më i fundit nga INSTAT, shkalla e papunësisë për grupmoshën 15-64 vjeç në tremujorin e parë të 2021 arriti në nivelin 12.6, një rritje prej 0.3% krahasuar me një tremujor më parë. Ndërsa i njëjti tregues por për grupmoshën 15 vjeç e lart, shënoi nivelin prej 11.9%, pothuaj i njëjti nivel krahasuar me një tremujor më parë. Numri i tё punёsuarve pёr 3-mujorin e parё 2021 u ul me 2.9% nё terma vjetor pёr grup-moshёn 15-64 vjeç. Shkalla e punёsimit ka arritur vlerёn 59.0% pёr grupmoshёn 15-64 vjeç, duke qëndruar më poshtë se mesatarja mё e lartё nё dhjetё vitet e fundit. Krahasuar me 3 mujorin e mëparshëm ajo pësoi renie me 0.3 pikë përqindje.</w:t>
      </w:r>
      <w:r w:rsidR="002C40CB">
        <w:rPr>
          <w:rFonts w:ascii="Calibri" w:hAnsi="Calibri"/>
          <w:noProof/>
          <w:lang w:val="sq-AL"/>
        </w:rPr>
        <w:t xml:space="preserve"> </w:t>
      </w:r>
      <w:r w:rsidRPr="005C5B2F">
        <w:rPr>
          <w:rFonts w:ascii="Calibri" w:hAnsi="Calibri"/>
          <w:noProof/>
          <w:lang w:val="sq-AL"/>
        </w:rPr>
        <w:t xml:space="preserve">Pra, tendencat e punësimit dhe papunësisë, sipas vlerësimeve të INSTAT për tremujorin e parë 2021, tregojnë vlera të qëndrueshme pranë mesatareve pozitive të viteve të fundit, ku efektet nga pandemia tashmë janë pasqyruar dhe vërehet se pasojat nuk janë aq të rënda sa parashikohej në fillim të pandemisë. </w:t>
      </w:r>
    </w:p>
    <w:p w:rsidR="00B31CF7" w:rsidRPr="005C5B2F" w:rsidRDefault="00B31CF7" w:rsidP="00B31CF7">
      <w:pPr>
        <w:tabs>
          <w:tab w:val="left" w:pos="2730"/>
        </w:tabs>
        <w:spacing w:after="120" w:line="276" w:lineRule="auto"/>
        <w:jc w:val="both"/>
        <w:rPr>
          <w:rFonts w:ascii="Calibri" w:hAnsi="Calibri"/>
          <w:noProof/>
          <w:lang w:val="sq-AL"/>
        </w:rPr>
      </w:pPr>
      <w:r w:rsidRPr="005C5B2F">
        <w:rPr>
          <w:rFonts w:ascii="Calibri" w:hAnsi="Calibri"/>
          <w:noProof/>
          <w:lang w:val="sq-AL"/>
        </w:rPr>
        <w:t>Një tjetër tregues i rëndësishëm që jep sinjale mbi rritjen ekonomike është treguesi i ndjesisë ekonomike (TNE) që në tremujorin e parë të vitit 2021 shënoi nivelin 91.8 duke pësuar një rritje prej 10.3 pikësh nga tremujori i kaluar dhe një rënie me 11.2 pikë përqindje në krahasim me T1-2020. Niveli aktual i TNE-së qëndron 8.2 pikë nën mesataren afatgjatë (në nivelin 100), dhe rreth 7.8 pikë përqindje nën mesataren e 6 viteve të fundit (T1_2015 – T1_2021). Rritja tremujore e TNE-së i atribuohet si përmirësimit të besimit të bizneseve, ashtu edhe besimit të konsumatorëve.</w:t>
      </w:r>
    </w:p>
    <w:p w:rsidR="00B31CF7" w:rsidRPr="005C5B2F" w:rsidRDefault="00B31CF7" w:rsidP="00B31CF7">
      <w:pPr>
        <w:tabs>
          <w:tab w:val="left" w:pos="2730"/>
        </w:tabs>
        <w:spacing w:after="120" w:line="276" w:lineRule="auto"/>
        <w:jc w:val="both"/>
        <w:rPr>
          <w:rFonts w:ascii="Calibri" w:hAnsi="Calibri"/>
          <w:noProof/>
          <w:lang w:val="sq-AL"/>
        </w:rPr>
      </w:pPr>
      <w:r w:rsidRPr="005C5B2F">
        <w:rPr>
          <w:rFonts w:ascii="Calibri" w:hAnsi="Calibri"/>
          <w:noProof/>
          <w:lang w:val="sq-AL"/>
        </w:rPr>
        <w:t>Besimi në sektorin e tregtisë, industrisë, dhe ndërtimit shënuan rritje krahasuar me tremujorin e parë të 2020.</w:t>
      </w:r>
      <w:r w:rsidR="00CD3BAD">
        <w:rPr>
          <w:rFonts w:ascii="Calibri" w:hAnsi="Calibri"/>
          <w:noProof/>
          <w:lang w:val="sq-AL"/>
        </w:rPr>
        <w:t xml:space="preserve"> </w:t>
      </w:r>
      <w:r w:rsidRPr="005C5B2F">
        <w:rPr>
          <w:rFonts w:ascii="Calibri" w:hAnsi="Calibri"/>
          <w:noProof/>
          <w:lang w:val="sq-AL"/>
        </w:rPr>
        <w:t xml:space="preserve">Treguesi i besimit në sektorin e industrisë (TBI) shënoi nivelin -1.5 në T1-2021 (+3.6 pikë përqindje më shumë krahasuar me T1-2020), duke pësuar një rritje tremujore prej 9.5 pikë përqindje. Treguesi i besimit në sektorin e ndërtimit (TBN) shënoi nivelin -29.6 në T1-2021 (1 pikë përqindje më shumë krahasuar me T1-2020), duke pësuar një rritje tremujore prej 8 pikë përqindje. Treguesi i besimit në shërbime (TBSH) shënoi nivelin -5 në T1-2021 (17.7 pikë përqindje më pak krahasuar me T1-2020), duke pësuar një rritje tremujore me rreth 9.5 pikë përqindje. Treguesi i besimit të tregtisë në T1-2021 ishte në nivelin -0.7, duke pësuar një rritje vjetore prej 7.8 pikë përqindje. Treguesi i besimit të konsumatorëve (TBK) shënoi nivelin -18.9 në T1-2021 (3.3 pikë përqindje më pak krahasuar me T1-2020) duke pësuar rritje tremujore me 1.1 pikë përqindje. </w:t>
      </w:r>
    </w:p>
    <w:p w:rsidR="00B31CF7" w:rsidRPr="005C5B2F" w:rsidRDefault="00B31CF7" w:rsidP="00B31CF7">
      <w:pPr>
        <w:autoSpaceDE w:val="0"/>
        <w:autoSpaceDN w:val="0"/>
        <w:adjustRightInd w:val="0"/>
        <w:spacing w:after="120" w:line="276" w:lineRule="auto"/>
        <w:jc w:val="both"/>
        <w:rPr>
          <w:rFonts w:ascii="Calibri" w:hAnsi="Calibri"/>
          <w:i/>
          <w:noProof/>
          <w:u w:val="single"/>
          <w:lang w:val="sq-AL"/>
        </w:rPr>
      </w:pPr>
      <w:r w:rsidRPr="005C5B2F">
        <w:rPr>
          <w:rFonts w:ascii="Calibri" w:hAnsi="Calibri"/>
          <w:i/>
          <w:noProof/>
          <w:u w:val="single"/>
          <w:lang w:val="sq-AL"/>
        </w:rPr>
        <w:lastRenderedPageBreak/>
        <w:t xml:space="preserve">Sektori i jashtëm  </w:t>
      </w:r>
    </w:p>
    <w:p w:rsidR="00B31CF7" w:rsidRPr="0035070D" w:rsidRDefault="00B31CF7" w:rsidP="00B31CF7">
      <w:pPr>
        <w:autoSpaceDE w:val="0"/>
        <w:autoSpaceDN w:val="0"/>
        <w:adjustRightInd w:val="0"/>
        <w:spacing w:after="120" w:line="276" w:lineRule="auto"/>
        <w:jc w:val="both"/>
        <w:rPr>
          <w:rFonts w:asciiTheme="minorHAnsi" w:hAnsiTheme="minorHAnsi" w:cstheme="minorHAnsi"/>
          <w:noProof/>
          <w:lang w:val="sq-AL"/>
        </w:rPr>
      </w:pPr>
      <w:r w:rsidRPr="00D927AA">
        <w:rPr>
          <w:rFonts w:ascii="Calibri" w:hAnsi="Calibri"/>
          <w:i/>
          <w:noProof/>
          <w:lang w:val="sq-AL"/>
        </w:rPr>
        <w:t>Eksportet</w:t>
      </w:r>
      <w:r w:rsidRPr="00D927AA">
        <w:rPr>
          <w:rFonts w:asciiTheme="minorHAnsi" w:hAnsiTheme="minorHAnsi" w:cstheme="minorHAnsi"/>
          <w:i/>
          <w:noProof/>
          <w:lang w:val="sq-AL"/>
        </w:rPr>
        <w:t xml:space="preserve"> e mallrave</w:t>
      </w:r>
      <w:r w:rsidRPr="0035070D">
        <w:rPr>
          <w:rFonts w:asciiTheme="minorHAnsi" w:hAnsiTheme="minorHAnsi" w:cstheme="minorHAnsi"/>
          <w:noProof/>
          <w:lang w:val="sq-AL"/>
        </w:rPr>
        <w:t xml:space="preserve"> për periudhёn janar - maj 2021 shënuan rritje prej 38.6% krahasuar me një vit më parë. Gjithashtu vetëm pёr muajin maj 2021</w:t>
      </w:r>
      <w:r>
        <w:rPr>
          <w:rFonts w:asciiTheme="minorHAnsi" w:hAnsiTheme="minorHAnsi" w:cstheme="minorHAnsi"/>
          <w:noProof/>
          <w:lang w:val="sq-AL"/>
        </w:rPr>
        <w:t>,</w:t>
      </w:r>
      <w:r w:rsidRPr="0035070D">
        <w:rPr>
          <w:rFonts w:asciiTheme="minorHAnsi" w:hAnsiTheme="minorHAnsi" w:cstheme="minorHAnsi"/>
          <w:noProof/>
          <w:lang w:val="sq-AL"/>
        </w:rPr>
        <w:t xml:space="preserve"> eksportet shёnuan rritje prej 52.7% nё krahasim mё muajin maj 2020. Në maj 2021 eksportet e mallrave arritën vlerën 32.86 miliard</w:t>
      </w:r>
      <w:r>
        <w:rPr>
          <w:rFonts w:asciiTheme="minorHAnsi" w:hAnsiTheme="minorHAnsi" w:cstheme="minorHAnsi"/>
          <w:noProof/>
          <w:lang w:val="sq-AL"/>
        </w:rPr>
        <w:t>ë</w:t>
      </w:r>
      <w:r w:rsidRPr="0035070D">
        <w:rPr>
          <w:rFonts w:asciiTheme="minorHAnsi" w:hAnsiTheme="minorHAnsi" w:cstheme="minorHAnsi"/>
          <w:noProof/>
          <w:lang w:val="sq-AL"/>
        </w:rPr>
        <w:t xml:space="preserve"> </w:t>
      </w:r>
      <w:r>
        <w:rPr>
          <w:rFonts w:asciiTheme="minorHAnsi" w:hAnsiTheme="minorHAnsi" w:cstheme="minorHAnsi"/>
          <w:noProof/>
          <w:lang w:val="sq-AL"/>
        </w:rPr>
        <w:t>lekë, ndërsa në 5-</w:t>
      </w:r>
      <w:r w:rsidRPr="0035070D">
        <w:rPr>
          <w:rFonts w:asciiTheme="minorHAnsi" w:hAnsiTheme="minorHAnsi" w:cstheme="minorHAnsi"/>
          <w:noProof/>
          <w:lang w:val="sq-AL"/>
        </w:rPr>
        <w:t>mujorin e parë të vitit 2021 eksportet e mallrave arritën vlerën 141.77 miliard</w:t>
      </w:r>
      <w:r>
        <w:rPr>
          <w:rFonts w:asciiTheme="minorHAnsi" w:hAnsiTheme="minorHAnsi" w:cstheme="minorHAnsi"/>
          <w:noProof/>
          <w:lang w:val="sq-AL"/>
        </w:rPr>
        <w:t>ë</w:t>
      </w:r>
      <w:r w:rsidRPr="0035070D">
        <w:rPr>
          <w:rFonts w:asciiTheme="minorHAnsi" w:hAnsiTheme="minorHAnsi" w:cstheme="minorHAnsi"/>
          <w:noProof/>
          <w:lang w:val="sq-AL"/>
        </w:rPr>
        <w:t xml:space="preserve"> lekë, duke u rritur me 38.6%, krahasuar me një vit më parë. </w:t>
      </w:r>
    </w:p>
    <w:p w:rsidR="00B31CF7" w:rsidRPr="00D927AA" w:rsidRDefault="00B31CF7" w:rsidP="00B31CF7">
      <w:pPr>
        <w:keepNext/>
        <w:spacing w:before="240" w:after="120" w:line="276" w:lineRule="auto"/>
        <w:jc w:val="both"/>
        <w:rPr>
          <w:rFonts w:asciiTheme="minorHAnsi" w:hAnsiTheme="minorHAnsi" w:cstheme="minorHAnsi"/>
          <w:lang w:val="sq-AL"/>
        </w:rPr>
      </w:pPr>
      <w:r w:rsidRPr="00D927AA">
        <w:rPr>
          <w:rFonts w:asciiTheme="minorHAnsi" w:hAnsiTheme="minorHAnsi" w:cstheme="minorHAnsi"/>
          <w:lang w:val="sq-AL"/>
        </w:rPr>
        <w:t>Rritja vjetore e eksporteve prej 52.7%, për muajin maj është ndikuar nga grupet: “Materiale ndërtimi dhe metale” me kontribut +18 pikë</w:t>
      </w:r>
      <w:r>
        <w:rPr>
          <w:rFonts w:asciiTheme="minorHAnsi" w:hAnsiTheme="minorHAnsi" w:cstheme="minorHAnsi"/>
          <w:lang w:val="sq-AL"/>
        </w:rPr>
        <w:t xml:space="preserve"> </w:t>
      </w:r>
      <w:r w:rsidRPr="00D927AA">
        <w:rPr>
          <w:rFonts w:asciiTheme="minorHAnsi" w:hAnsiTheme="minorHAnsi" w:cstheme="minorHAnsi"/>
          <w:lang w:val="sq-AL"/>
        </w:rPr>
        <w:t>përqindje “Tekstile dhe këpucë” me +7.1 pikë përqindje, “Minerale, lëndë djegëse, energji elektrike” me +18.6 pikë përqindje.</w:t>
      </w:r>
    </w:p>
    <w:p w:rsidR="00B31CF7" w:rsidRPr="002C40CB" w:rsidRDefault="00B31CF7" w:rsidP="00B31CF7">
      <w:pPr>
        <w:keepNext/>
        <w:spacing w:before="240" w:after="120"/>
        <w:jc w:val="both"/>
        <w:rPr>
          <w:rFonts w:asciiTheme="minorHAnsi" w:hAnsiTheme="minorHAnsi"/>
          <w:i/>
          <w:noProof/>
          <w:sz w:val="22"/>
        </w:rPr>
      </w:pPr>
      <w:bookmarkStart w:id="101" w:name="_Toc76470064"/>
      <w:r w:rsidRPr="002C40CB">
        <w:rPr>
          <w:rFonts w:asciiTheme="minorHAnsi" w:hAnsiTheme="minorHAnsi"/>
          <w:i/>
          <w:noProof/>
          <w:sz w:val="22"/>
        </w:rPr>
        <w:t xml:space="preserve">Tabela </w:t>
      </w:r>
      <w:r w:rsidRPr="002C40CB">
        <w:rPr>
          <w:rFonts w:asciiTheme="minorHAnsi" w:hAnsiTheme="minorHAnsi"/>
          <w:i/>
          <w:noProof/>
          <w:sz w:val="22"/>
        </w:rPr>
        <w:fldChar w:fldCharType="begin"/>
      </w:r>
      <w:r w:rsidRPr="002C40CB">
        <w:rPr>
          <w:rFonts w:asciiTheme="minorHAnsi" w:hAnsiTheme="minorHAnsi"/>
          <w:i/>
          <w:noProof/>
          <w:sz w:val="22"/>
        </w:rPr>
        <w:instrText xml:space="preserve"> SEQ Tabela \* ARABIC </w:instrText>
      </w:r>
      <w:r w:rsidRPr="002C40CB">
        <w:rPr>
          <w:rFonts w:asciiTheme="minorHAnsi" w:hAnsiTheme="minorHAnsi"/>
          <w:i/>
          <w:noProof/>
          <w:sz w:val="22"/>
        </w:rPr>
        <w:fldChar w:fldCharType="separate"/>
      </w:r>
      <w:r w:rsidR="003C5F40" w:rsidRPr="002C40CB">
        <w:rPr>
          <w:rFonts w:asciiTheme="minorHAnsi" w:hAnsiTheme="minorHAnsi"/>
          <w:i/>
          <w:noProof/>
          <w:sz w:val="22"/>
        </w:rPr>
        <w:t>10</w:t>
      </w:r>
      <w:r w:rsidRPr="002C40CB">
        <w:rPr>
          <w:rFonts w:asciiTheme="minorHAnsi" w:hAnsiTheme="minorHAnsi"/>
          <w:i/>
          <w:noProof/>
          <w:sz w:val="22"/>
        </w:rPr>
        <w:fldChar w:fldCharType="end"/>
      </w:r>
      <w:r w:rsidRPr="002C40CB">
        <w:rPr>
          <w:rFonts w:asciiTheme="minorHAnsi" w:hAnsiTheme="minorHAnsi"/>
          <w:i/>
          <w:noProof/>
          <w:sz w:val="22"/>
        </w:rPr>
        <w:t>: Rritja e eksportit të mallrave, sipas kategorive kryesore</w:t>
      </w:r>
      <w:bookmarkEnd w:id="101"/>
    </w:p>
    <w:p w:rsidR="00B31CF7" w:rsidRDefault="00B31CF7" w:rsidP="00B31CF7">
      <w:pPr>
        <w:spacing w:before="120" w:after="120" w:line="276" w:lineRule="auto"/>
        <w:contextualSpacing/>
        <w:jc w:val="center"/>
        <w:rPr>
          <w:rFonts w:ascii="Calibri" w:hAnsi="Calibri"/>
          <w:noProof/>
          <w:lang w:val="sq-AL"/>
        </w:rPr>
      </w:pPr>
      <w:r w:rsidRPr="00D53290">
        <w:rPr>
          <w:noProof/>
        </w:rPr>
        <w:drawing>
          <wp:inline distT="0" distB="0" distL="0" distR="0" wp14:anchorId="13735247" wp14:editId="4A283041">
            <wp:extent cx="6115050" cy="1953072"/>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15050" cy="1953072"/>
                    </a:xfrm>
                    <a:prstGeom prst="rect">
                      <a:avLst/>
                    </a:prstGeom>
                    <a:noFill/>
                    <a:ln>
                      <a:solidFill>
                        <a:schemeClr val="bg1">
                          <a:lumMod val="85000"/>
                        </a:schemeClr>
                      </a:solidFill>
                    </a:ln>
                  </pic:spPr>
                </pic:pic>
              </a:graphicData>
            </a:graphic>
          </wp:inline>
        </w:drawing>
      </w:r>
    </w:p>
    <w:p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2021</w:t>
      </w:r>
    </w:p>
    <w:p w:rsidR="00B31CF7" w:rsidRPr="0065598A" w:rsidRDefault="00B31CF7" w:rsidP="00B31CF7">
      <w:pPr>
        <w:spacing w:before="240" w:line="276" w:lineRule="auto"/>
        <w:rPr>
          <w:rFonts w:ascii="Calibri" w:hAnsi="Calibri"/>
          <w:noProof/>
          <w:lang w:val="sq-AL"/>
        </w:rPr>
      </w:pPr>
      <w:r w:rsidRPr="0065598A">
        <w:rPr>
          <w:rFonts w:ascii="Calibri" w:hAnsi="Calibri"/>
          <w:noProof/>
          <w:lang w:val="sq-AL"/>
        </w:rPr>
        <w:t xml:space="preserve">Në grafikun e mëposhtëm paraqitet rritja mujore e totalit të eksporteve në përqindje, kundrejt të njëjtit muaj të një viti më parë. </w:t>
      </w:r>
    </w:p>
    <w:p w:rsidR="00B31CF7" w:rsidRPr="002C40CB" w:rsidRDefault="00B31CF7" w:rsidP="00B31CF7">
      <w:pPr>
        <w:spacing w:before="240" w:line="276" w:lineRule="auto"/>
        <w:rPr>
          <w:rFonts w:asciiTheme="minorHAnsi" w:hAnsiTheme="minorHAnsi"/>
          <w:i/>
          <w:noProof/>
          <w:sz w:val="22"/>
        </w:rPr>
      </w:pPr>
      <w:bookmarkStart w:id="102" w:name="_Toc76470134"/>
      <w:r w:rsidRPr="002C40CB">
        <w:rPr>
          <w:rFonts w:asciiTheme="minorHAnsi" w:hAnsiTheme="minorHAnsi"/>
          <w:i/>
          <w:noProof/>
          <w:sz w:val="22"/>
        </w:rPr>
        <w:t xml:space="preserve">Grafiku </w:t>
      </w:r>
      <w:r w:rsidRPr="002C40CB">
        <w:rPr>
          <w:rFonts w:asciiTheme="minorHAnsi" w:hAnsiTheme="minorHAnsi"/>
          <w:i/>
          <w:noProof/>
          <w:sz w:val="22"/>
        </w:rPr>
        <w:fldChar w:fldCharType="begin"/>
      </w:r>
      <w:r w:rsidRPr="002C40CB">
        <w:rPr>
          <w:rFonts w:asciiTheme="minorHAnsi" w:hAnsiTheme="minorHAnsi"/>
          <w:i/>
          <w:noProof/>
          <w:sz w:val="22"/>
        </w:rPr>
        <w:instrText xml:space="preserve"> SEQ Grafiku \* ARABIC </w:instrText>
      </w:r>
      <w:r w:rsidRPr="002C40CB">
        <w:rPr>
          <w:rFonts w:asciiTheme="minorHAnsi" w:hAnsiTheme="minorHAnsi"/>
          <w:i/>
          <w:noProof/>
          <w:sz w:val="22"/>
        </w:rPr>
        <w:fldChar w:fldCharType="separate"/>
      </w:r>
      <w:r w:rsidR="003C5F40" w:rsidRPr="002C40CB">
        <w:rPr>
          <w:rFonts w:asciiTheme="minorHAnsi" w:hAnsiTheme="minorHAnsi"/>
          <w:i/>
          <w:noProof/>
          <w:sz w:val="22"/>
        </w:rPr>
        <w:t>15</w:t>
      </w:r>
      <w:r w:rsidRPr="002C40CB">
        <w:rPr>
          <w:rFonts w:asciiTheme="minorHAnsi" w:hAnsiTheme="minorHAnsi"/>
          <w:i/>
          <w:noProof/>
          <w:sz w:val="22"/>
        </w:rPr>
        <w:fldChar w:fldCharType="end"/>
      </w:r>
      <w:r w:rsidRPr="002C40CB">
        <w:rPr>
          <w:rFonts w:asciiTheme="minorHAnsi" w:hAnsiTheme="minorHAnsi"/>
          <w:i/>
          <w:noProof/>
          <w:sz w:val="22"/>
        </w:rPr>
        <w:t>: Rritja mujore e totalit të eksporteve, në përqindje</w:t>
      </w:r>
      <w:bookmarkEnd w:id="102"/>
    </w:p>
    <w:p w:rsidR="00B31CF7" w:rsidRPr="0065598A" w:rsidRDefault="00B31CF7" w:rsidP="00B31CF7">
      <w:pPr>
        <w:keepNext/>
        <w:jc w:val="center"/>
        <w:rPr>
          <w:rFonts w:ascii="Calibri" w:hAnsi="Calibri"/>
          <w:i/>
          <w:lang w:val="sq-AL"/>
        </w:rPr>
      </w:pPr>
      <w:r w:rsidRPr="00214A4A">
        <w:rPr>
          <w:noProof/>
        </w:rPr>
        <w:drawing>
          <wp:inline distT="0" distB="0" distL="0" distR="0" wp14:anchorId="02D00BE1" wp14:editId="02645730">
            <wp:extent cx="6115050" cy="20574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15050" cy="2057400"/>
                    </a:xfrm>
                    <a:prstGeom prst="rect">
                      <a:avLst/>
                    </a:prstGeom>
                    <a:noFill/>
                    <a:ln>
                      <a:solidFill>
                        <a:schemeClr val="bg1">
                          <a:lumMod val="85000"/>
                        </a:schemeClr>
                      </a:solidFill>
                    </a:ln>
                  </pic:spPr>
                </pic:pic>
              </a:graphicData>
            </a:graphic>
          </wp:inline>
        </w:drawing>
      </w:r>
    </w:p>
    <w:p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2021</w:t>
      </w:r>
    </w:p>
    <w:p w:rsidR="00B31CF7" w:rsidRPr="0065598A" w:rsidRDefault="00B31CF7" w:rsidP="00B31CF7">
      <w:pPr>
        <w:spacing w:line="276" w:lineRule="auto"/>
        <w:jc w:val="center"/>
        <w:rPr>
          <w:rFonts w:ascii="Calibri" w:hAnsi="Calibri"/>
          <w:bCs/>
          <w:noProof/>
          <w:lang w:val="sq-AL"/>
        </w:rPr>
      </w:pPr>
    </w:p>
    <w:p w:rsidR="00B31CF7" w:rsidRPr="00703B80" w:rsidRDefault="00B31CF7" w:rsidP="00B31CF7">
      <w:pPr>
        <w:spacing w:after="120" w:line="276" w:lineRule="auto"/>
        <w:jc w:val="both"/>
        <w:rPr>
          <w:rFonts w:ascii="Calibri" w:hAnsi="Calibri"/>
          <w:bCs/>
          <w:noProof/>
          <w:lang w:val="sq-AL"/>
        </w:rPr>
      </w:pPr>
      <w:r w:rsidRPr="00703B80">
        <w:rPr>
          <w:rFonts w:ascii="Calibri" w:hAnsi="Calibri"/>
          <w:bCs/>
          <w:i/>
          <w:noProof/>
          <w:lang w:val="sq-AL"/>
        </w:rPr>
        <w:t>Importet e mallrave</w:t>
      </w:r>
      <w:r w:rsidRPr="00703B80">
        <w:rPr>
          <w:rFonts w:ascii="Calibri" w:hAnsi="Calibri"/>
          <w:bCs/>
          <w:noProof/>
          <w:lang w:val="sq-AL"/>
        </w:rPr>
        <w:t xml:space="preserve"> për periudhёn janar – maj 2021 shënuan rritje prej 30.9% krahasuar me një vit më parё, ndërsa vetëm për muajin maj 2021 importet shënuan rritje vjetore prej 38.4% në krahasim me muajin maj 2020. Në maj 2021 importet e mallrave arritën vlerën 61.94 m</w:t>
      </w:r>
      <w:r>
        <w:rPr>
          <w:rFonts w:ascii="Calibri" w:hAnsi="Calibri"/>
          <w:bCs/>
          <w:noProof/>
          <w:lang w:val="sq-AL"/>
        </w:rPr>
        <w:t>i</w:t>
      </w:r>
      <w:r w:rsidRPr="00703B80">
        <w:rPr>
          <w:rFonts w:ascii="Calibri" w:hAnsi="Calibri"/>
          <w:bCs/>
          <w:noProof/>
          <w:lang w:val="sq-AL"/>
        </w:rPr>
        <w:t>l</w:t>
      </w:r>
      <w:r>
        <w:rPr>
          <w:rFonts w:ascii="Calibri" w:hAnsi="Calibri"/>
          <w:bCs/>
          <w:noProof/>
          <w:lang w:val="sq-AL"/>
        </w:rPr>
        <w:t>iar</w:t>
      </w:r>
      <w:r w:rsidRPr="00703B80">
        <w:rPr>
          <w:rFonts w:ascii="Calibri" w:hAnsi="Calibri"/>
          <w:bCs/>
          <w:noProof/>
          <w:lang w:val="sq-AL"/>
        </w:rPr>
        <w:t>d</w:t>
      </w:r>
      <w:r>
        <w:rPr>
          <w:rFonts w:ascii="Calibri" w:hAnsi="Calibri"/>
          <w:bCs/>
          <w:noProof/>
          <w:lang w:val="sq-AL"/>
        </w:rPr>
        <w:t>ë lekë, ndërsa në 5-</w:t>
      </w:r>
      <w:r w:rsidRPr="00703B80">
        <w:rPr>
          <w:rFonts w:ascii="Calibri" w:hAnsi="Calibri"/>
          <w:bCs/>
          <w:noProof/>
          <w:lang w:val="sq-AL"/>
        </w:rPr>
        <w:t>mujorin e parë të vitit 2021 importet e mallrave arritën vlerën 287.03 m</w:t>
      </w:r>
      <w:r>
        <w:rPr>
          <w:rFonts w:ascii="Calibri" w:hAnsi="Calibri"/>
          <w:bCs/>
          <w:noProof/>
          <w:lang w:val="sq-AL"/>
        </w:rPr>
        <w:t>i</w:t>
      </w:r>
      <w:r w:rsidRPr="00703B80">
        <w:rPr>
          <w:rFonts w:ascii="Calibri" w:hAnsi="Calibri"/>
          <w:bCs/>
          <w:noProof/>
          <w:lang w:val="sq-AL"/>
        </w:rPr>
        <w:t>l</w:t>
      </w:r>
      <w:r>
        <w:rPr>
          <w:rFonts w:ascii="Calibri" w:hAnsi="Calibri"/>
          <w:bCs/>
          <w:noProof/>
          <w:lang w:val="sq-AL"/>
        </w:rPr>
        <w:t>iar</w:t>
      </w:r>
      <w:r w:rsidRPr="00703B80">
        <w:rPr>
          <w:rFonts w:ascii="Calibri" w:hAnsi="Calibri"/>
          <w:bCs/>
          <w:noProof/>
          <w:lang w:val="sq-AL"/>
        </w:rPr>
        <w:t>d</w:t>
      </w:r>
      <w:r>
        <w:rPr>
          <w:rFonts w:ascii="Calibri" w:hAnsi="Calibri"/>
          <w:bCs/>
          <w:noProof/>
          <w:lang w:val="sq-AL"/>
        </w:rPr>
        <w:t>ë</w:t>
      </w:r>
      <w:r w:rsidRPr="00703B80">
        <w:rPr>
          <w:rFonts w:ascii="Calibri" w:hAnsi="Calibri"/>
          <w:bCs/>
          <w:noProof/>
          <w:lang w:val="sq-AL"/>
        </w:rPr>
        <w:t xml:space="preserve"> lekë, duke u rritur me 30.9%, krahasuar me një vit më parë. </w:t>
      </w:r>
    </w:p>
    <w:p w:rsidR="00B31CF7" w:rsidRPr="00D927AA" w:rsidRDefault="00B31CF7" w:rsidP="00B31CF7">
      <w:pPr>
        <w:spacing w:after="120" w:line="276" w:lineRule="auto"/>
        <w:jc w:val="both"/>
        <w:rPr>
          <w:rFonts w:asciiTheme="minorHAnsi" w:hAnsiTheme="minorHAnsi"/>
          <w:bCs/>
          <w:noProof/>
          <w:lang w:val="sq-AL"/>
        </w:rPr>
      </w:pPr>
      <w:r w:rsidRPr="00D34D84">
        <w:rPr>
          <w:rFonts w:asciiTheme="minorHAnsi" w:hAnsiTheme="minorHAnsi"/>
          <w:lang w:val="sq-AL"/>
        </w:rPr>
        <w:lastRenderedPageBreak/>
        <w:t xml:space="preserve">Rritja </w:t>
      </w:r>
      <w:r w:rsidRPr="00D927AA">
        <w:rPr>
          <w:rFonts w:asciiTheme="minorHAnsi" w:hAnsiTheme="minorHAnsi"/>
          <w:lang w:val="sq-AL"/>
        </w:rPr>
        <w:t>vjetore e importeve prej 38.4%, për muajin maj është ndikuar kryesisht nga grupet: “Makineri, pajisje dhe pjesë këmbimi” me kontribut +8.7 pikë përqindje, “Produkte kimike dhe plastike” me kontribut +3.9 pikë përqindje, “Materiale ndërtimi dhe metale” me kontribut +7.5 pikë përqindje, “Lëkurë dhe artikuj prej tyre” me +1.1 pikë përqindje “Minerale, lëndë djegëse, energji elektrike” me +5.0 pikë përqindje.</w:t>
      </w:r>
      <w:r w:rsidRPr="00D927AA">
        <w:rPr>
          <w:rFonts w:asciiTheme="minorHAnsi" w:hAnsiTheme="minorHAnsi"/>
          <w:bCs/>
          <w:noProof/>
          <w:lang w:val="sq-AL"/>
        </w:rPr>
        <w:t xml:space="preserve"> Zhvillimet sipas kategorive kryesore të mallrave të importit, si dhe kontributi i tyre në totalin e importeve, paraqiten në tabelën e mëposhtme</w:t>
      </w:r>
    </w:p>
    <w:p w:rsidR="00B31CF7" w:rsidRPr="002257B4" w:rsidRDefault="00B31CF7" w:rsidP="00B31CF7">
      <w:pPr>
        <w:spacing w:line="276" w:lineRule="auto"/>
        <w:jc w:val="both"/>
        <w:rPr>
          <w:rFonts w:ascii="Calibri" w:hAnsi="Calibri"/>
          <w:noProof/>
          <w:sz w:val="12"/>
          <w:lang w:val="sq-AL"/>
        </w:rPr>
      </w:pPr>
    </w:p>
    <w:p w:rsidR="00B31CF7" w:rsidRPr="002C40CB" w:rsidRDefault="00B31CF7" w:rsidP="00B31CF7">
      <w:pPr>
        <w:contextualSpacing/>
        <w:rPr>
          <w:rFonts w:ascii="Calibri" w:hAnsi="Calibri"/>
          <w:i/>
          <w:sz w:val="22"/>
          <w:lang w:val="sq-AL"/>
        </w:rPr>
      </w:pPr>
      <w:bookmarkStart w:id="103" w:name="_Toc76470065"/>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C5F40" w:rsidRPr="002C40CB">
        <w:rPr>
          <w:rFonts w:ascii="Calibri" w:hAnsi="Calibri"/>
          <w:i/>
          <w:noProof/>
          <w:sz w:val="22"/>
          <w:lang w:val="sq-AL"/>
        </w:rPr>
        <w:t>11</w:t>
      </w:r>
      <w:r w:rsidRPr="002C40CB">
        <w:rPr>
          <w:rFonts w:ascii="Calibri" w:hAnsi="Calibri"/>
          <w:i/>
          <w:sz w:val="22"/>
          <w:lang w:val="sq-AL"/>
        </w:rPr>
        <w:fldChar w:fldCharType="end"/>
      </w:r>
      <w:r w:rsidRPr="002C40CB">
        <w:rPr>
          <w:rFonts w:ascii="Calibri" w:hAnsi="Calibri"/>
          <w:i/>
          <w:sz w:val="22"/>
          <w:lang w:val="sq-AL"/>
        </w:rPr>
        <w:t>: Rritja e importit të mallrave, sipas kategorive kryesore</w:t>
      </w:r>
      <w:bookmarkEnd w:id="103"/>
    </w:p>
    <w:p w:rsidR="00B31CF7" w:rsidRPr="0065598A" w:rsidRDefault="00B31CF7" w:rsidP="00B31CF7">
      <w:pPr>
        <w:spacing w:before="120" w:after="120" w:line="276" w:lineRule="auto"/>
        <w:contextualSpacing/>
        <w:jc w:val="center"/>
        <w:rPr>
          <w:rFonts w:ascii="Calibri" w:hAnsi="Calibri"/>
          <w:noProof/>
          <w:lang w:val="sq-AL"/>
        </w:rPr>
      </w:pPr>
      <w:r w:rsidRPr="006F61BD">
        <w:rPr>
          <w:noProof/>
        </w:rPr>
        <w:drawing>
          <wp:inline distT="0" distB="0" distL="0" distR="0" wp14:anchorId="5E717280" wp14:editId="414293D4">
            <wp:extent cx="6113145" cy="2057400"/>
            <wp:effectExtent l="19050" t="19050" r="2095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7187" cy="2062126"/>
                    </a:xfrm>
                    <a:prstGeom prst="rect">
                      <a:avLst/>
                    </a:prstGeom>
                    <a:noFill/>
                    <a:ln>
                      <a:solidFill>
                        <a:schemeClr val="bg1">
                          <a:lumMod val="85000"/>
                        </a:schemeClr>
                      </a:solidFill>
                    </a:ln>
                  </pic:spPr>
                </pic:pic>
              </a:graphicData>
            </a:graphic>
          </wp:inline>
        </w:drawing>
      </w:r>
    </w:p>
    <w:p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2021</w:t>
      </w:r>
    </w:p>
    <w:p w:rsidR="00B31CF7" w:rsidRDefault="00B31CF7" w:rsidP="00B31CF7">
      <w:pPr>
        <w:spacing w:line="276" w:lineRule="auto"/>
        <w:jc w:val="both"/>
        <w:rPr>
          <w:rFonts w:ascii="Calibri" w:hAnsi="Calibri"/>
          <w:noProof/>
          <w:lang w:val="sq-AL"/>
        </w:rPr>
      </w:pPr>
    </w:p>
    <w:p w:rsidR="00B31CF7" w:rsidRDefault="00B31CF7" w:rsidP="00B31CF7">
      <w:pPr>
        <w:spacing w:line="276" w:lineRule="auto"/>
        <w:jc w:val="both"/>
        <w:rPr>
          <w:rFonts w:ascii="Calibri" w:hAnsi="Calibri"/>
          <w:noProof/>
          <w:lang w:val="sq-AL"/>
        </w:rPr>
      </w:pPr>
      <w:r w:rsidRPr="0065598A">
        <w:rPr>
          <w:rFonts w:ascii="Calibri" w:hAnsi="Calibri"/>
          <w:noProof/>
          <w:lang w:val="sq-AL"/>
        </w:rPr>
        <w:t xml:space="preserve">Në grafikun e mëposhtëm paraqitet rritja mujore e totalit të importeve në përqindje, kundrejt të njëjtit muaj të një viti më parë. </w:t>
      </w:r>
    </w:p>
    <w:p w:rsidR="00B31CF7" w:rsidRPr="002257B4" w:rsidRDefault="00B31CF7" w:rsidP="00B31CF7">
      <w:pPr>
        <w:spacing w:line="276" w:lineRule="auto"/>
        <w:jc w:val="both"/>
        <w:rPr>
          <w:rFonts w:ascii="Calibri" w:hAnsi="Calibri"/>
          <w:noProof/>
          <w:sz w:val="8"/>
          <w:lang w:val="sq-AL"/>
        </w:rPr>
      </w:pPr>
    </w:p>
    <w:p w:rsidR="00B31CF7" w:rsidRPr="002C40CB" w:rsidRDefault="00B31CF7" w:rsidP="00B31CF7">
      <w:pPr>
        <w:spacing w:line="276" w:lineRule="auto"/>
        <w:contextualSpacing/>
        <w:jc w:val="both"/>
        <w:rPr>
          <w:rFonts w:ascii="Calibri" w:hAnsi="Calibri"/>
          <w:i/>
          <w:noProof/>
          <w:sz w:val="22"/>
          <w:lang w:val="sq-AL"/>
        </w:rPr>
      </w:pPr>
      <w:bookmarkStart w:id="104" w:name="_Toc76470135"/>
      <w:r w:rsidRPr="002C40CB">
        <w:rPr>
          <w:rFonts w:ascii="Calibri" w:hAnsi="Calibri"/>
          <w:i/>
          <w:sz w:val="22"/>
          <w:lang w:val="sq-AL"/>
        </w:rPr>
        <w:t xml:space="preserve">Grafiku </w:t>
      </w:r>
      <w:r w:rsidRPr="002C40CB">
        <w:rPr>
          <w:rFonts w:ascii="Calibri" w:hAnsi="Calibri"/>
          <w:i/>
          <w:sz w:val="22"/>
          <w:lang w:val="sq-AL"/>
        </w:rPr>
        <w:fldChar w:fldCharType="begin"/>
      </w:r>
      <w:r w:rsidRPr="002C40CB">
        <w:rPr>
          <w:rFonts w:ascii="Calibri" w:hAnsi="Calibri"/>
          <w:i/>
          <w:sz w:val="22"/>
          <w:lang w:val="sq-AL"/>
        </w:rPr>
        <w:instrText xml:space="preserve"> SEQ Grafiku \* ARABIC </w:instrText>
      </w:r>
      <w:r w:rsidRPr="002C40CB">
        <w:rPr>
          <w:rFonts w:ascii="Calibri" w:hAnsi="Calibri"/>
          <w:i/>
          <w:sz w:val="22"/>
          <w:lang w:val="sq-AL"/>
        </w:rPr>
        <w:fldChar w:fldCharType="separate"/>
      </w:r>
      <w:r w:rsidR="003C5F40" w:rsidRPr="002C40CB">
        <w:rPr>
          <w:rFonts w:ascii="Calibri" w:hAnsi="Calibri"/>
          <w:i/>
          <w:noProof/>
          <w:sz w:val="22"/>
          <w:lang w:val="sq-AL"/>
        </w:rPr>
        <w:t>16</w:t>
      </w:r>
      <w:r w:rsidRPr="002C40CB">
        <w:rPr>
          <w:rFonts w:ascii="Calibri" w:hAnsi="Calibri"/>
          <w:i/>
          <w:sz w:val="22"/>
          <w:lang w:val="sq-AL"/>
        </w:rPr>
        <w:fldChar w:fldCharType="end"/>
      </w:r>
      <w:r w:rsidRPr="002C40CB">
        <w:rPr>
          <w:rFonts w:ascii="Calibri" w:hAnsi="Calibri"/>
          <w:i/>
          <w:sz w:val="22"/>
          <w:lang w:val="sq-AL"/>
        </w:rPr>
        <w:t>: Rritja mujore e totalit të importeve, në përqindje</w:t>
      </w:r>
      <w:bookmarkEnd w:id="104"/>
    </w:p>
    <w:p w:rsidR="00B31CF7" w:rsidRDefault="00B31CF7" w:rsidP="00B31CF7">
      <w:pPr>
        <w:spacing w:before="120" w:after="120" w:line="276" w:lineRule="auto"/>
        <w:contextualSpacing/>
        <w:jc w:val="center"/>
        <w:rPr>
          <w:rFonts w:ascii="Calibri" w:hAnsi="Calibri"/>
          <w:noProof/>
          <w:lang w:val="sq-AL"/>
        </w:rPr>
      </w:pPr>
      <w:r w:rsidRPr="006F61BD">
        <w:rPr>
          <w:noProof/>
        </w:rPr>
        <w:drawing>
          <wp:inline distT="0" distB="0" distL="0" distR="0" wp14:anchorId="322DFD77" wp14:editId="296182B7">
            <wp:extent cx="5415985" cy="1979930"/>
            <wp:effectExtent l="19050" t="19050" r="13335" b="203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42216" cy="1989519"/>
                    </a:xfrm>
                    <a:prstGeom prst="rect">
                      <a:avLst/>
                    </a:prstGeom>
                    <a:noFill/>
                    <a:ln>
                      <a:solidFill>
                        <a:schemeClr val="bg1">
                          <a:lumMod val="85000"/>
                        </a:schemeClr>
                      </a:solidFill>
                    </a:ln>
                  </pic:spPr>
                </pic:pic>
              </a:graphicData>
            </a:graphic>
          </wp:inline>
        </w:drawing>
      </w:r>
    </w:p>
    <w:p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2021</w:t>
      </w:r>
    </w:p>
    <w:p w:rsidR="00B31CF7" w:rsidRDefault="00B31CF7" w:rsidP="00B31CF7">
      <w:pPr>
        <w:spacing w:before="240" w:line="276" w:lineRule="auto"/>
        <w:contextualSpacing/>
        <w:jc w:val="both"/>
        <w:rPr>
          <w:rFonts w:ascii="Calibri" w:hAnsi="Calibri"/>
          <w:noProof/>
          <w:lang w:val="sq-AL"/>
        </w:rPr>
      </w:pPr>
    </w:p>
    <w:p w:rsidR="00B31CF7" w:rsidRPr="00F440DE" w:rsidRDefault="00B31CF7" w:rsidP="00B31CF7">
      <w:pPr>
        <w:spacing w:before="240" w:line="276" w:lineRule="auto"/>
        <w:contextualSpacing/>
        <w:jc w:val="both"/>
        <w:rPr>
          <w:rFonts w:ascii="Calibri" w:hAnsi="Calibri"/>
          <w:noProof/>
          <w:lang w:val="sq-AL"/>
        </w:rPr>
      </w:pPr>
      <w:r w:rsidRPr="0065598A">
        <w:rPr>
          <w:rFonts w:ascii="Calibri" w:hAnsi="Calibri"/>
          <w:noProof/>
          <w:lang w:val="sq-AL"/>
        </w:rPr>
        <w:t xml:space="preserve">Këto zhvillime në tregtinë e jashtme janë reflektuar dhe tek deficiti tregtar. </w:t>
      </w:r>
      <w:r>
        <w:rPr>
          <w:rFonts w:ascii="Calibri" w:hAnsi="Calibri"/>
          <w:noProof/>
          <w:lang w:val="sq-AL"/>
        </w:rPr>
        <w:t>Gjatë periudhës janar</w:t>
      </w:r>
      <w:r w:rsidRPr="00F440DE">
        <w:rPr>
          <w:rFonts w:ascii="Calibri" w:hAnsi="Calibri"/>
          <w:noProof/>
          <w:lang w:val="sq-AL"/>
        </w:rPr>
        <w:t xml:space="preserve">-maj 2021, bilanci tregtar u përkeqësua me rreth 24.2% krahasuar me të njëjtën periudhë të </w:t>
      </w:r>
      <w:r>
        <w:rPr>
          <w:rFonts w:ascii="Calibri" w:hAnsi="Calibri"/>
          <w:noProof/>
          <w:lang w:val="sq-AL"/>
        </w:rPr>
        <w:t xml:space="preserve">vitit </w:t>
      </w:r>
      <w:r w:rsidRPr="00F440DE">
        <w:rPr>
          <w:rFonts w:ascii="Calibri" w:hAnsi="Calibri"/>
          <w:noProof/>
          <w:lang w:val="sq-AL"/>
        </w:rPr>
        <w:t>2020, ndërsa vetёm pёr muajin maj 2021 bilanci tregtar u përkeqësua me 25.1% krahasuar me muajin maj 2020.</w:t>
      </w:r>
    </w:p>
    <w:p w:rsidR="00B31CF7" w:rsidRPr="0065598A" w:rsidRDefault="00B31CF7" w:rsidP="00B31CF7">
      <w:pPr>
        <w:spacing w:before="240" w:after="120" w:line="276" w:lineRule="auto"/>
        <w:jc w:val="both"/>
        <w:rPr>
          <w:rFonts w:ascii="Calibri" w:hAnsi="Calibri"/>
          <w:noProof/>
          <w:lang w:val="sq-AL"/>
        </w:rPr>
      </w:pPr>
      <w:r w:rsidRPr="00F440DE">
        <w:rPr>
          <w:rFonts w:ascii="Calibri" w:hAnsi="Calibri"/>
          <w:noProof/>
          <w:lang w:val="sq-AL"/>
        </w:rPr>
        <w:t>Deficiti tregtar i këtij muaji është 29.09 m</w:t>
      </w:r>
      <w:r>
        <w:rPr>
          <w:rFonts w:ascii="Calibri" w:hAnsi="Calibri"/>
          <w:noProof/>
          <w:lang w:val="sq-AL"/>
        </w:rPr>
        <w:t>i</w:t>
      </w:r>
      <w:r w:rsidRPr="00F440DE">
        <w:rPr>
          <w:rFonts w:ascii="Calibri" w:hAnsi="Calibri"/>
          <w:noProof/>
          <w:lang w:val="sq-AL"/>
        </w:rPr>
        <w:t>l</w:t>
      </w:r>
      <w:r>
        <w:rPr>
          <w:rFonts w:ascii="Calibri" w:hAnsi="Calibri"/>
          <w:noProof/>
          <w:lang w:val="sq-AL"/>
        </w:rPr>
        <w:t>iar</w:t>
      </w:r>
      <w:r w:rsidRPr="00F440DE">
        <w:rPr>
          <w:rFonts w:ascii="Calibri" w:hAnsi="Calibri"/>
          <w:noProof/>
          <w:lang w:val="sq-AL"/>
        </w:rPr>
        <w:t>d</w:t>
      </w:r>
      <w:r>
        <w:rPr>
          <w:rFonts w:ascii="Calibri" w:hAnsi="Calibri"/>
          <w:noProof/>
          <w:lang w:val="sq-AL"/>
        </w:rPr>
        <w:t>ë</w:t>
      </w:r>
      <w:r w:rsidRPr="00F440DE">
        <w:rPr>
          <w:rFonts w:ascii="Calibri" w:hAnsi="Calibri"/>
          <w:noProof/>
          <w:lang w:val="sq-AL"/>
        </w:rPr>
        <w:t xml:space="preserve"> lekë, duke u rritur me 25.1%, krahasuar me</w:t>
      </w:r>
      <w:r>
        <w:rPr>
          <w:rFonts w:ascii="Calibri" w:hAnsi="Calibri"/>
          <w:noProof/>
          <w:lang w:val="sq-AL"/>
        </w:rPr>
        <w:t xml:space="preserve"> muajin</w:t>
      </w:r>
      <w:r w:rsidRPr="00F440DE">
        <w:rPr>
          <w:rFonts w:ascii="Calibri" w:hAnsi="Calibri"/>
          <w:noProof/>
          <w:lang w:val="sq-AL"/>
        </w:rPr>
        <w:t xml:space="preserve"> maj </w:t>
      </w:r>
      <w:r>
        <w:rPr>
          <w:rFonts w:ascii="Calibri" w:hAnsi="Calibri"/>
          <w:noProof/>
          <w:lang w:val="sq-AL"/>
        </w:rPr>
        <w:t xml:space="preserve">të vitit </w:t>
      </w:r>
      <w:r w:rsidRPr="00F440DE">
        <w:rPr>
          <w:rFonts w:ascii="Calibri" w:hAnsi="Calibri"/>
          <w:noProof/>
          <w:lang w:val="sq-AL"/>
        </w:rPr>
        <w:t xml:space="preserve">2020 dhe duke u ulur me -15%, në krahasim me </w:t>
      </w:r>
      <w:r>
        <w:rPr>
          <w:rFonts w:ascii="Calibri" w:hAnsi="Calibri"/>
          <w:noProof/>
          <w:lang w:val="sq-AL"/>
        </w:rPr>
        <w:t xml:space="preserve">muajin </w:t>
      </w:r>
      <w:r w:rsidRPr="00F440DE">
        <w:rPr>
          <w:rFonts w:ascii="Calibri" w:hAnsi="Calibri"/>
          <w:noProof/>
          <w:lang w:val="sq-AL"/>
        </w:rPr>
        <w:t xml:space="preserve">prillin </w:t>
      </w:r>
      <w:r>
        <w:rPr>
          <w:rFonts w:ascii="Calibri" w:hAnsi="Calibri"/>
          <w:noProof/>
          <w:lang w:val="sq-AL"/>
        </w:rPr>
        <w:t xml:space="preserve">të vitit </w:t>
      </w:r>
      <w:r w:rsidRPr="00F440DE">
        <w:rPr>
          <w:rFonts w:ascii="Calibri" w:hAnsi="Calibri"/>
          <w:noProof/>
          <w:lang w:val="sq-AL"/>
        </w:rPr>
        <w:t>2021. Në pesëmujorin e 2021, deficiti tregtar arriti vlerën 145.26 m</w:t>
      </w:r>
      <w:r>
        <w:rPr>
          <w:rFonts w:ascii="Calibri" w:hAnsi="Calibri"/>
          <w:noProof/>
          <w:lang w:val="sq-AL"/>
        </w:rPr>
        <w:t>i</w:t>
      </w:r>
      <w:r w:rsidRPr="00F440DE">
        <w:rPr>
          <w:rFonts w:ascii="Calibri" w:hAnsi="Calibri"/>
          <w:noProof/>
          <w:lang w:val="sq-AL"/>
        </w:rPr>
        <w:t>l</w:t>
      </w:r>
      <w:r>
        <w:rPr>
          <w:rFonts w:ascii="Calibri" w:hAnsi="Calibri"/>
          <w:noProof/>
          <w:lang w:val="sq-AL"/>
        </w:rPr>
        <w:t>iar</w:t>
      </w:r>
      <w:r w:rsidRPr="00F440DE">
        <w:rPr>
          <w:rFonts w:ascii="Calibri" w:hAnsi="Calibri"/>
          <w:noProof/>
          <w:lang w:val="sq-AL"/>
        </w:rPr>
        <w:t>d</w:t>
      </w:r>
      <w:r>
        <w:rPr>
          <w:rFonts w:ascii="Calibri" w:hAnsi="Calibri"/>
          <w:noProof/>
          <w:lang w:val="sq-AL"/>
        </w:rPr>
        <w:t>ë</w:t>
      </w:r>
      <w:r w:rsidRPr="00F440DE">
        <w:rPr>
          <w:rFonts w:ascii="Calibri" w:hAnsi="Calibri"/>
          <w:noProof/>
          <w:lang w:val="sq-AL"/>
        </w:rPr>
        <w:t xml:space="preserve"> lekë, duke u rritur me 24.2% krahasuar me të njëjtën periudhë të 2020.</w:t>
      </w:r>
    </w:p>
    <w:p w:rsidR="00B31CF7" w:rsidRPr="002C40CB" w:rsidRDefault="00B31CF7" w:rsidP="00B31CF7">
      <w:pPr>
        <w:keepNext/>
        <w:tabs>
          <w:tab w:val="left" w:pos="5025"/>
        </w:tabs>
        <w:spacing w:before="240" w:after="120"/>
        <w:jc w:val="both"/>
        <w:rPr>
          <w:rFonts w:ascii="Calibri" w:hAnsi="Calibri"/>
          <w:i/>
          <w:sz w:val="22"/>
          <w:lang w:val="sq-AL"/>
        </w:rPr>
      </w:pPr>
      <w:bookmarkStart w:id="105" w:name="_Toc76470066"/>
      <w:r w:rsidRPr="002C40CB">
        <w:rPr>
          <w:rFonts w:ascii="Calibri" w:hAnsi="Calibri"/>
          <w:i/>
          <w:sz w:val="22"/>
          <w:lang w:val="sq-AL"/>
        </w:rPr>
        <w:lastRenderedPageBreak/>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C5F40" w:rsidRPr="002C40CB">
        <w:rPr>
          <w:rFonts w:ascii="Calibri" w:hAnsi="Calibri"/>
          <w:i/>
          <w:noProof/>
          <w:sz w:val="22"/>
          <w:lang w:val="sq-AL"/>
        </w:rPr>
        <w:t>12</w:t>
      </w:r>
      <w:r w:rsidRPr="002C40CB">
        <w:rPr>
          <w:rFonts w:ascii="Calibri" w:hAnsi="Calibri"/>
          <w:i/>
          <w:sz w:val="22"/>
          <w:lang w:val="sq-AL"/>
        </w:rPr>
        <w:fldChar w:fldCharType="end"/>
      </w:r>
      <w:r w:rsidRPr="002C40CB">
        <w:rPr>
          <w:rFonts w:ascii="Calibri" w:hAnsi="Calibri"/>
          <w:i/>
          <w:sz w:val="22"/>
          <w:lang w:val="sq-AL"/>
        </w:rPr>
        <w:t>: Bilanci tregtar, sipas kategorive kryesore</w:t>
      </w:r>
      <w:bookmarkEnd w:id="105"/>
      <w:r w:rsidRPr="002C40CB">
        <w:rPr>
          <w:rFonts w:ascii="Calibri" w:hAnsi="Calibri"/>
          <w:i/>
          <w:sz w:val="22"/>
          <w:lang w:val="sq-AL"/>
        </w:rPr>
        <w:tab/>
      </w:r>
    </w:p>
    <w:p w:rsidR="00B31CF7" w:rsidRPr="0065598A" w:rsidRDefault="00B31CF7" w:rsidP="00B31CF7">
      <w:pPr>
        <w:spacing w:before="120" w:after="120" w:line="276" w:lineRule="auto"/>
        <w:contextualSpacing/>
        <w:jc w:val="center"/>
        <w:rPr>
          <w:rFonts w:ascii="Calibri" w:hAnsi="Calibri"/>
          <w:noProof/>
          <w:lang w:val="sq-AL"/>
        </w:rPr>
      </w:pPr>
      <w:r w:rsidRPr="007950F5">
        <w:rPr>
          <w:noProof/>
        </w:rPr>
        <w:drawing>
          <wp:inline distT="0" distB="0" distL="0" distR="0" wp14:anchorId="1CE08112" wp14:editId="6BC45A2A">
            <wp:extent cx="6113145" cy="1356360"/>
            <wp:effectExtent l="19050" t="19050" r="20955" b="152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19108" cy="1357683"/>
                    </a:xfrm>
                    <a:prstGeom prst="rect">
                      <a:avLst/>
                    </a:prstGeom>
                    <a:noFill/>
                    <a:ln>
                      <a:solidFill>
                        <a:schemeClr val="bg1">
                          <a:lumMod val="85000"/>
                        </a:schemeClr>
                      </a:solidFill>
                    </a:ln>
                  </pic:spPr>
                </pic:pic>
              </a:graphicData>
            </a:graphic>
          </wp:inline>
        </w:drawing>
      </w:r>
    </w:p>
    <w:p w:rsidR="00B31CF7" w:rsidRPr="00FE7976" w:rsidRDefault="00B31CF7" w:rsidP="00B31CF7">
      <w:pPr>
        <w:spacing w:before="120" w:after="120" w:line="276" w:lineRule="auto"/>
        <w:contextualSpacing/>
        <w:rPr>
          <w:rFonts w:ascii="Calibri" w:hAnsi="Calibri"/>
          <w:i/>
          <w:noProof/>
          <w:sz w:val="20"/>
          <w:szCs w:val="22"/>
          <w:lang w:val="sq-AL"/>
        </w:rPr>
      </w:pPr>
      <w:r w:rsidRPr="00FE7976">
        <w:rPr>
          <w:rFonts w:ascii="Calibri" w:hAnsi="Calibri"/>
          <w:i/>
          <w:noProof/>
          <w:sz w:val="20"/>
          <w:szCs w:val="22"/>
          <w:lang w:val="sq-AL"/>
        </w:rPr>
        <w:t>Burimi: INSTAT, Qershor 2021</w:t>
      </w:r>
    </w:p>
    <w:p w:rsidR="00B31CF7" w:rsidRPr="00FE7976" w:rsidRDefault="00B31CF7" w:rsidP="00B31CF7">
      <w:pPr>
        <w:spacing w:before="120" w:after="120" w:line="276" w:lineRule="auto"/>
        <w:contextualSpacing/>
        <w:rPr>
          <w:rFonts w:ascii="Calibri" w:hAnsi="Calibri"/>
          <w:i/>
          <w:noProof/>
          <w:sz w:val="8"/>
          <w:szCs w:val="22"/>
          <w:lang w:val="sq-AL"/>
        </w:rPr>
      </w:pPr>
    </w:p>
    <w:p w:rsidR="00B31CF7" w:rsidRPr="004872EF" w:rsidRDefault="00B31CF7" w:rsidP="00B31CF7">
      <w:pPr>
        <w:spacing w:before="120" w:after="120" w:line="276" w:lineRule="auto"/>
        <w:jc w:val="both"/>
        <w:rPr>
          <w:rFonts w:asciiTheme="minorHAnsi" w:hAnsiTheme="minorHAnsi"/>
          <w:i/>
          <w:noProof/>
          <w:u w:val="single"/>
          <w:lang w:val="sq-AL"/>
        </w:rPr>
      </w:pPr>
      <w:r w:rsidRPr="004872EF">
        <w:rPr>
          <w:rFonts w:asciiTheme="minorHAnsi" w:hAnsiTheme="minorHAnsi"/>
          <w:i/>
          <w:noProof/>
          <w:u w:val="single"/>
          <w:lang w:val="sq-AL"/>
        </w:rPr>
        <w:t xml:space="preserve">Sektori monetar  </w:t>
      </w:r>
    </w:p>
    <w:p w:rsidR="00B31CF7" w:rsidRPr="0065598A" w:rsidRDefault="00B31CF7" w:rsidP="00B31CF7">
      <w:pPr>
        <w:spacing w:before="120" w:after="120" w:line="276" w:lineRule="auto"/>
        <w:jc w:val="both"/>
        <w:rPr>
          <w:rFonts w:asciiTheme="minorHAnsi" w:hAnsiTheme="minorHAnsi"/>
          <w:lang w:val="sq-AL"/>
        </w:rPr>
      </w:pPr>
      <w:r w:rsidRPr="009861C8">
        <w:rPr>
          <w:rFonts w:asciiTheme="minorHAnsi" w:hAnsiTheme="minorHAnsi"/>
          <w:lang w:val="sq-AL"/>
        </w:rPr>
        <w:t>In</w:t>
      </w:r>
      <w:r>
        <w:rPr>
          <w:rFonts w:asciiTheme="minorHAnsi" w:hAnsiTheme="minorHAnsi"/>
          <w:lang w:val="sq-AL"/>
        </w:rPr>
        <w:t>flacioni mesatar pёr periudhёn janar–m</w:t>
      </w:r>
      <w:r w:rsidRPr="009861C8">
        <w:rPr>
          <w:rFonts w:asciiTheme="minorHAnsi" w:hAnsiTheme="minorHAnsi"/>
          <w:lang w:val="sq-AL"/>
        </w:rPr>
        <w:t>aj 2021 është +1.3%</w:t>
      </w:r>
      <w:r>
        <w:rPr>
          <w:rFonts w:asciiTheme="minorHAnsi" w:hAnsiTheme="minorHAnsi"/>
          <w:lang w:val="sq-AL"/>
        </w:rPr>
        <w:t>, nga 1.8% që rezultonte një vit më parë gjatë të njëjtës periudhë.</w:t>
      </w:r>
      <w:r w:rsidRPr="009861C8">
        <w:rPr>
          <w:rFonts w:asciiTheme="minorHAnsi" w:hAnsiTheme="minorHAnsi"/>
          <w:lang w:val="sq-AL"/>
        </w:rPr>
        <w:t xml:space="preserve"> </w:t>
      </w:r>
      <w:r>
        <w:rPr>
          <w:rFonts w:asciiTheme="minorHAnsi" w:hAnsiTheme="minorHAnsi"/>
          <w:lang w:val="sq-AL"/>
        </w:rPr>
        <w:t>Në muajin m</w:t>
      </w:r>
      <w:r w:rsidRPr="009861C8">
        <w:rPr>
          <w:rFonts w:asciiTheme="minorHAnsi" w:hAnsiTheme="minorHAnsi"/>
          <w:lang w:val="sq-AL"/>
        </w:rPr>
        <w:t xml:space="preserve">aj 2021 ndryshimi vjetor i indeksit të çmimeve të konsumit është +1.8%, </w:t>
      </w:r>
      <w:r>
        <w:rPr>
          <w:rFonts w:asciiTheme="minorHAnsi" w:hAnsiTheme="minorHAnsi"/>
          <w:lang w:val="sq-AL"/>
        </w:rPr>
        <w:t xml:space="preserve">krahasuar me +2.1% të të njëjtës periudhë </w:t>
      </w:r>
      <w:r w:rsidRPr="009861C8">
        <w:rPr>
          <w:rFonts w:asciiTheme="minorHAnsi" w:hAnsiTheme="minorHAnsi"/>
          <w:lang w:val="sq-AL"/>
        </w:rPr>
        <w:t>një vit më parë</w:t>
      </w:r>
      <w:r>
        <w:rPr>
          <w:rFonts w:asciiTheme="minorHAnsi" w:hAnsiTheme="minorHAnsi"/>
          <w:lang w:val="sq-AL"/>
        </w:rPr>
        <w:t>.</w:t>
      </w:r>
      <w:r w:rsidRPr="009861C8">
        <w:rPr>
          <w:rFonts w:asciiTheme="minorHAnsi" w:hAnsiTheme="minorHAnsi"/>
          <w:lang w:val="sq-AL"/>
        </w:rPr>
        <w:t xml:space="preserve"> Ndryshimi mujor i indeksit të</w:t>
      </w:r>
      <w:r>
        <w:rPr>
          <w:rFonts w:asciiTheme="minorHAnsi" w:hAnsiTheme="minorHAnsi"/>
          <w:lang w:val="sq-AL"/>
        </w:rPr>
        <w:t xml:space="preserve"> çmimeve të konsumit në muajin m</w:t>
      </w:r>
      <w:r w:rsidRPr="009861C8">
        <w:rPr>
          <w:rFonts w:asciiTheme="minorHAnsi" w:hAnsiTheme="minorHAnsi"/>
          <w:lang w:val="sq-AL"/>
        </w:rPr>
        <w:t xml:space="preserve">aj 2021, krahasuar me </w:t>
      </w:r>
      <w:r>
        <w:rPr>
          <w:rFonts w:asciiTheme="minorHAnsi" w:hAnsiTheme="minorHAnsi"/>
          <w:lang w:val="sq-AL"/>
        </w:rPr>
        <w:t>p</w:t>
      </w:r>
      <w:r w:rsidRPr="009861C8">
        <w:rPr>
          <w:rFonts w:asciiTheme="minorHAnsi" w:hAnsiTheme="minorHAnsi"/>
          <w:lang w:val="sq-AL"/>
        </w:rPr>
        <w:t xml:space="preserve">rill 2021, është -0.9%. </w:t>
      </w:r>
      <w:r w:rsidRPr="0065598A">
        <w:rPr>
          <w:rFonts w:asciiTheme="minorHAnsi" w:hAnsiTheme="minorHAnsi"/>
          <w:noProof/>
          <w:lang w:val="sq-AL"/>
        </w:rPr>
        <w:t xml:space="preserve">Nё grafikun më poshtë paraqitet ecuria </w:t>
      </w:r>
      <w:r>
        <w:rPr>
          <w:rFonts w:asciiTheme="minorHAnsi" w:hAnsiTheme="minorHAnsi"/>
          <w:noProof/>
          <w:lang w:val="sq-AL"/>
        </w:rPr>
        <w:t xml:space="preserve">mujore </w:t>
      </w:r>
      <w:r w:rsidRPr="0065598A">
        <w:rPr>
          <w:rFonts w:asciiTheme="minorHAnsi" w:hAnsiTheme="minorHAnsi"/>
          <w:noProof/>
          <w:lang w:val="sq-AL"/>
        </w:rPr>
        <w:t xml:space="preserve">e çmimeve </w:t>
      </w:r>
      <w:r>
        <w:rPr>
          <w:rFonts w:asciiTheme="minorHAnsi" w:hAnsiTheme="minorHAnsi"/>
          <w:noProof/>
          <w:lang w:val="sq-AL"/>
        </w:rPr>
        <w:t xml:space="preserve">të konsumit </w:t>
      </w:r>
      <w:r w:rsidRPr="0065598A">
        <w:rPr>
          <w:rFonts w:asciiTheme="minorHAnsi" w:hAnsiTheme="minorHAnsi"/>
          <w:noProof/>
          <w:lang w:val="sq-AL"/>
        </w:rPr>
        <w:t>për tre vitet e fundit:</w:t>
      </w:r>
    </w:p>
    <w:p w:rsidR="00B31CF7" w:rsidRPr="002C40CB" w:rsidRDefault="00B31CF7" w:rsidP="00B31CF7">
      <w:pPr>
        <w:keepNext/>
        <w:jc w:val="both"/>
        <w:rPr>
          <w:rFonts w:asciiTheme="minorHAnsi" w:hAnsiTheme="minorHAnsi"/>
          <w:i/>
          <w:sz w:val="22"/>
          <w:lang w:val="sq-AL"/>
        </w:rPr>
      </w:pPr>
      <w:bookmarkStart w:id="106" w:name="_Toc76470136"/>
      <w:r w:rsidRPr="002C40CB">
        <w:rPr>
          <w:rFonts w:asciiTheme="minorHAnsi" w:hAnsiTheme="minorHAnsi"/>
          <w:i/>
          <w:sz w:val="22"/>
          <w:lang w:val="sq-AL"/>
        </w:rPr>
        <w:t xml:space="preserve">Grafiku </w:t>
      </w:r>
      <w:r w:rsidRPr="002C40CB">
        <w:rPr>
          <w:rFonts w:asciiTheme="minorHAnsi" w:hAnsiTheme="minorHAnsi"/>
          <w:i/>
          <w:sz w:val="22"/>
          <w:lang w:val="sq-AL"/>
        </w:rPr>
        <w:fldChar w:fldCharType="begin"/>
      </w:r>
      <w:r w:rsidRPr="002C40CB">
        <w:rPr>
          <w:rFonts w:asciiTheme="minorHAnsi" w:hAnsiTheme="minorHAnsi"/>
          <w:i/>
          <w:sz w:val="22"/>
          <w:lang w:val="sq-AL"/>
        </w:rPr>
        <w:instrText xml:space="preserve"> SEQ Grafiku \* ARABIC </w:instrText>
      </w:r>
      <w:r w:rsidRPr="002C40CB">
        <w:rPr>
          <w:rFonts w:asciiTheme="minorHAnsi" w:hAnsiTheme="minorHAnsi"/>
          <w:i/>
          <w:sz w:val="22"/>
          <w:lang w:val="sq-AL"/>
        </w:rPr>
        <w:fldChar w:fldCharType="separate"/>
      </w:r>
      <w:r w:rsidR="003C5F40" w:rsidRPr="002C40CB">
        <w:rPr>
          <w:rFonts w:asciiTheme="minorHAnsi" w:hAnsiTheme="minorHAnsi"/>
          <w:i/>
          <w:noProof/>
          <w:sz w:val="22"/>
          <w:lang w:val="sq-AL"/>
        </w:rPr>
        <w:t>17</w:t>
      </w:r>
      <w:r w:rsidRPr="002C40CB">
        <w:rPr>
          <w:rFonts w:asciiTheme="minorHAnsi" w:hAnsiTheme="minorHAnsi"/>
          <w:i/>
          <w:sz w:val="22"/>
          <w:lang w:val="sq-AL"/>
        </w:rPr>
        <w:fldChar w:fldCharType="end"/>
      </w:r>
      <w:r w:rsidRPr="002C40CB">
        <w:rPr>
          <w:rFonts w:asciiTheme="minorHAnsi" w:hAnsiTheme="minorHAnsi"/>
          <w:i/>
          <w:sz w:val="22"/>
          <w:lang w:val="sq-AL"/>
        </w:rPr>
        <w:t>: Ndryshimi vjetor i Inflacionit, në përqindje</w:t>
      </w:r>
      <w:bookmarkEnd w:id="106"/>
    </w:p>
    <w:p w:rsidR="00B31CF7" w:rsidRPr="0065598A" w:rsidRDefault="00B31CF7" w:rsidP="00B31CF7">
      <w:pPr>
        <w:spacing w:line="276" w:lineRule="auto"/>
        <w:jc w:val="center"/>
        <w:rPr>
          <w:rFonts w:ascii="Calibri" w:hAnsi="Calibri"/>
          <w:noProof/>
          <w:lang w:val="sq-AL"/>
        </w:rPr>
      </w:pPr>
      <w:r>
        <w:rPr>
          <w:rFonts w:ascii="Calibri" w:hAnsi="Calibri"/>
          <w:noProof/>
        </w:rPr>
        <w:drawing>
          <wp:inline distT="0" distB="0" distL="0" distR="0" wp14:anchorId="66C3FA29" wp14:editId="0760EF4F">
            <wp:extent cx="5820410" cy="1775460"/>
            <wp:effectExtent l="19050" t="19050" r="27940" b="152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3495" cy="1785552"/>
                    </a:xfrm>
                    <a:prstGeom prst="rect">
                      <a:avLst/>
                    </a:prstGeom>
                    <a:noFill/>
                    <a:ln>
                      <a:solidFill>
                        <a:schemeClr val="bg1">
                          <a:lumMod val="85000"/>
                        </a:schemeClr>
                      </a:solidFill>
                    </a:ln>
                  </pic:spPr>
                </pic:pic>
              </a:graphicData>
            </a:graphic>
          </wp:inline>
        </w:drawing>
      </w:r>
    </w:p>
    <w:p w:rsidR="00B31CF7" w:rsidRPr="00FE7976" w:rsidRDefault="00B31CF7" w:rsidP="00B31CF7">
      <w:pPr>
        <w:spacing w:line="276" w:lineRule="auto"/>
        <w:jc w:val="both"/>
        <w:rPr>
          <w:rFonts w:ascii="Calibri" w:hAnsi="Calibri"/>
          <w:i/>
          <w:noProof/>
          <w:sz w:val="20"/>
          <w:szCs w:val="22"/>
          <w:lang w:val="sq-AL"/>
        </w:rPr>
      </w:pPr>
      <w:r w:rsidRPr="00FE7976">
        <w:rPr>
          <w:rFonts w:ascii="Calibri" w:hAnsi="Calibri"/>
          <w:i/>
          <w:noProof/>
          <w:sz w:val="20"/>
          <w:szCs w:val="22"/>
          <w:lang w:val="sq-AL"/>
        </w:rPr>
        <w:t>Burimi: INSTAT, Qershor 2021</w:t>
      </w:r>
    </w:p>
    <w:p w:rsidR="00B31CF7" w:rsidRDefault="00B31CF7" w:rsidP="00B31CF7">
      <w:pPr>
        <w:spacing w:line="276" w:lineRule="auto"/>
        <w:jc w:val="both"/>
        <w:rPr>
          <w:rFonts w:ascii="Calibri" w:hAnsi="Calibri"/>
          <w:noProof/>
          <w:lang w:val="sq-AL"/>
        </w:rPr>
      </w:pPr>
    </w:p>
    <w:p w:rsidR="00B31CF7" w:rsidRDefault="00B31CF7" w:rsidP="00B31CF7">
      <w:pPr>
        <w:spacing w:line="276" w:lineRule="auto"/>
        <w:jc w:val="both"/>
        <w:rPr>
          <w:rFonts w:ascii="Calibri" w:hAnsi="Calibri"/>
          <w:noProof/>
          <w:lang w:val="sq-AL"/>
        </w:rPr>
      </w:pPr>
      <w:r w:rsidRPr="0065598A">
        <w:rPr>
          <w:rFonts w:ascii="Calibri" w:hAnsi="Calibri"/>
          <w:noProof/>
          <w:lang w:val="sq-AL"/>
        </w:rPr>
        <w:t>Pёrgjatё kёsaj periudhe, nga tërësia e mallrave dhe shërbimeve që përbëjnë shportën e konsumit, kontributin mё tё lartё nё inflacionin e pёrgjithshёm e ka pasur zёri i ushqimeve dhe pije jo alk</w:t>
      </w:r>
      <w:r>
        <w:rPr>
          <w:rFonts w:ascii="Calibri" w:hAnsi="Calibri"/>
          <w:noProof/>
          <w:lang w:val="sq-AL"/>
        </w:rPr>
        <w:t>o</w:t>
      </w:r>
      <w:r w:rsidRPr="0065598A">
        <w:rPr>
          <w:rFonts w:ascii="Calibri" w:hAnsi="Calibri"/>
          <w:noProof/>
          <w:lang w:val="sq-AL"/>
        </w:rPr>
        <w:t>olike. Në tabelën e mëposhtme mund të vihen re kontributet dhe rritjet respektive në çmime për çdo grup mallrash pёr muajin maj 202</w:t>
      </w:r>
      <w:r>
        <w:rPr>
          <w:rFonts w:ascii="Calibri" w:hAnsi="Calibri"/>
          <w:noProof/>
          <w:lang w:val="sq-AL"/>
        </w:rPr>
        <w:t>1</w:t>
      </w:r>
      <w:r w:rsidRPr="0065598A">
        <w:rPr>
          <w:rFonts w:ascii="Calibri" w:hAnsi="Calibri"/>
          <w:noProof/>
          <w:lang w:val="sq-AL"/>
        </w:rPr>
        <w:t>.</w:t>
      </w:r>
    </w:p>
    <w:p w:rsidR="00B31CF7" w:rsidRPr="002257B4" w:rsidRDefault="00B31CF7" w:rsidP="00B31CF7">
      <w:pPr>
        <w:spacing w:line="276" w:lineRule="auto"/>
        <w:jc w:val="both"/>
        <w:rPr>
          <w:rFonts w:ascii="Calibri" w:hAnsi="Calibri"/>
          <w:noProof/>
          <w:sz w:val="8"/>
          <w:szCs w:val="8"/>
          <w:lang w:val="sq-AL"/>
        </w:rPr>
      </w:pPr>
    </w:p>
    <w:p w:rsidR="00B31CF7" w:rsidRPr="002C40CB" w:rsidRDefault="00B31CF7" w:rsidP="00B31CF7">
      <w:pPr>
        <w:keepNext/>
        <w:jc w:val="both"/>
        <w:rPr>
          <w:rFonts w:ascii="Calibri" w:hAnsi="Calibri"/>
          <w:i/>
          <w:sz w:val="22"/>
          <w:lang w:val="sq-AL"/>
        </w:rPr>
      </w:pPr>
      <w:bookmarkStart w:id="107" w:name="_Toc76470067"/>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C5F40" w:rsidRPr="002C40CB">
        <w:rPr>
          <w:rFonts w:ascii="Calibri" w:hAnsi="Calibri"/>
          <w:i/>
          <w:noProof/>
          <w:sz w:val="22"/>
          <w:lang w:val="sq-AL"/>
        </w:rPr>
        <w:t>13</w:t>
      </w:r>
      <w:r w:rsidRPr="002C40CB">
        <w:rPr>
          <w:rFonts w:ascii="Calibri" w:hAnsi="Calibri"/>
          <w:i/>
          <w:sz w:val="22"/>
          <w:lang w:val="sq-AL"/>
        </w:rPr>
        <w:fldChar w:fldCharType="end"/>
      </w:r>
      <w:r w:rsidRPr="002C40CB">
        <w:rPr>
          <w:rFonts w:ascii="Calibri" w:hAnsi="Calibri"/>
          <w:i/>
          <w:sz w:val="22"/>
          <w:lang w:val="sq-AL"/>
        </w:rPr>
        <w:t>: Rritja vjetore e çmimeve, në përqindje</w:t>
      </w:r>
      <w:bookmarkEnd w:id="107"/>
    </w:p>
    <w:p w:rsidR="00B31CF7" w:rsidRPr="0065598A" w:rsidRDefault="00B31CF7" w:rsidP="00B31CF7">
      <w:pPr>
        <w:spacing w:before="120" w:after="120" w:line="276" w:lineRule="auto"/>
        <w:jc w:val="center"/>
        <w:rPr>
          <w:rFonts w:ascii="Calibri" w:hAnsi="Calibri"/>
          <w:noProof/>
          <w:lang w:val="sq-AL"/>
        </w:rPr>
      </w:pPr>
      <w:r w:rsidRPr="00B23797">
        <w:rPr>
          <w:noProof/>
        </w:rPr>
        <w:drawing>
          <wp:inline distT="0" distB="0" distL="0" distR="0" wp14:anchorId="2CC95935" wp14:editId="436FFFE0">
            <wp:extent cx="5724525" cy="1973580"/>
            <wp:effectExtent l="0" t="0" r="952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24525" cy="1973580"/>
                    </a:xfrm>
                    <a:prstGeom prst="rect">
                      <a:avLst/>
                    </a:prstGeom>
                    <a:noFill/>
                    <a:ln>
                      <a:noFill/>
                    </a:ln>
                  </pic:spPr>
                </pic:pic>
              </a:graphicData>
            </a:graphic>
          </wp:inline>
        </w:drawing>
      </w:r>
      <w:r w:rsidRPr="0065598A">
        <w:rPr>
          <w:lang w:val="sq-AL"/>
        </w:rPr>
        <w:t xml:space="preserve"> </w:t>
      </w:r>
    </w:p>
    <w:p w:rsidR="00B31CF7" w:rsidRPr="00CA71C5" w:rsidRDefault="00B31CF7" w:rsidP="00B31CF7">
      <w:pPr>
        <w:spacing w:after="120" w:line="276" w:lineRule="auto"/>
        <w:jc w:val="both"/>
        <w:rPr>
          <w:rFonts w:asciiTheme="minorHAnsi" w:hAnsiTheme="minorHAnsi"/>
          <w:noProof/>
          <w:lang w:val="sq-AL"/>
        </w:rPr>
      </w:pPr>
      <w:r w:rsidRPr="00CA71C5">
        <w:rPr>
          <w:rFonts w:asciiTheme="minorHAnsi" w:hAnsiTheme="minorHAnsi"/>
          <w:noProof/>
          <w:lang w:val="sq-AL"/>
        </w:rPr>
        <w:lastRenderedPageBreak/>
        <w:t>Rezultatet e Vrojtimit të Aktivitetit Kreditues për tremujorin e parë të vitit 2021 tregojnë se standardet e kreditimit për bizneset u shtrënguan në tremujorin e parë të vitit 2021, si në terma të madhësisë së biznesit, ashtu edhe të qëllimit të përdorimit të kredisë. Në të njëjtën linjë me to, bankat shtrënguan dhe kushtet e termat e kreditimit për kreditë e reja akorduar bizneseve. Ndërkohë, bankat vlerësuan se standardet e së bashku me to edhe kushtet e termat e kreditimit për individët u lehtësuan.</w:t>
      </w:r>
    </w:p>
    <w:p w:rsidR="00B31CF7" w:rsidRPr="00CA71C5" w:rsidRDefault="00B31CF7" w:rsidP="00B31CF7">
      <w:pPr>
        <w:spacing w:after="120" w:line="276" w:lineRule="auto"/>
        <w:jc w:val="both"/>
        <w:rPr>
          <w:rFonts w:asciiTheme="minorHAnsi" w:hAnsiTheme="minorHAnsi"/>
          <w:noProof/>
          <w:lang w:val="sq-AL"/>
        </w:rPr>
      </w:pPr>
      <w:r w:rsidRPr="00CA71C5">
        <w:rPr>
          <w:rFonts w:asciiTheme="minorHAnsi" w:hAnsiTheme="minorHAnsi"/>
          <w:noProof/>
          <w:lang w:val="sq-AL"/>
        </w:rPr>
        <w:t xml:space="preserve">Bankat raportuan për një shtrëngim të standardeve për kredinë dhënë bizneseve gjatë tremujorit të parë të 2021 në nivelin -6.3%, krahasuar nga një shtrëngim i fortë në nivelin -32.8% në tremujorin e katërt të vitit 2020. Ndërkohë, bankat raportuan për një lehtësim të standardeve për kredinë drejt individëve gjatë tremujorit të parë të vitit 2021 në nivelin +15.5%, krahasuar me një lehtësim në nivelin +15.8% të shënuar në tremujorin e katërt të vitit 2020. Kërkesa për kredi e bizneseve në tremujorin e parë të vitit 2021 është raportuar disi më e lartë si në segmentin e ndërmarrjeve të vogla dhe të mesme, ashtu edhe për ndërmarrjet e mëdha. Gjithashtu, edhe kërkesa e individëve për kredi ka rezultuar e përmirësuar në të dyja segmentet, si për kredinë konsumatore, ashtu edhe për kredinë hipotekore. Për bizneset, bankat raportuan se përgjatë tremujorit të parë të vitit 2021 kërkesa për kredi e SME-ve dhe korporatave u zvogëlua përkatësisht me -7.8% dhe </w:t>
      </w:r>
      <w:r>
        <w:rPr>
          <w:rFonts w:asciiTheme="minorHAnsi" w:hAnsiTheme="minorHAnsi"/>
          <w:noProof/>
          <w:lang w:val="sq-AL"/>
        </w:rPr>
        <w:t xml:space="preserve">u rrit </w:t>
      </w:r>
      <w:r w:rsidRPr="00CA71C5">
        <w:rPr>
          <w:rFonts w:asciiTheme="minorHAnsi" w:hAnsiTheme="minorHAnsi"/>
          <w:noProof/>
          <w:lang w:val="sq-AL"/>
        </w:rPr>
        <w:t xml:space="preserve">me +5.4%. Për individët, bankat raportuan se përgjatë tremujorit të parë kërkesa për kredi për shtëpi shënoi një rritje prej +14.8%, nga një rritje e lehtë prej +1.2% të shënuar në tremujorin e katërt të vitit 2020. Ndërkohë, për kredinë e individëve për konsum u raportua një rritje prej +7.4%, nga niveli prej -15% që u shënua në tremujorin e mëparshëm. </w:t>
      </w:r>
    </w:p>
    <w:p w:rsidR="00B31CF7" w:rsidRPr="00C0650B" w:rsidRDefault="00B31CF7" w:rsidP="00B31CF7">
      <w:pPr>
        <w:spacing w:after="120" w:line="276" w:lineRule="auto"/>
        <w:jc w:val="both"/>
        <w:rPr>
          <w:rFonts w:asciiTheme="minorHAnsi" w:hAnsiTheme="minorHAnsi"/>
          <w:noProof/>
          <w:lang w:val="sq-AL"/>
        </w:rPr>
      </w:pPr>
      <w:r w:rsidRPr="00CA71C5">
        <w:rPr>
          <w:rFonts w:asciiTheme="minorHAnsi" w:hAnsiTheme="minorHAnsi"/>
          <w:noProof/>
          <w:lang w:val="sq-AL"/>
        </w:rPr>
        <w:t xml:space="preserve">Referuar tё dhёnave tё deritanishme, gjatë muajit prill të vitit 2021 </w:t>
      </w:r>
      <w:r w:rsidRPr="00C0650B">
        <w:rPr>
          <w:rFonts w:asciiTheme="minorHAnsi" w:hAnsiTheme="minorHAnsi"/>
          <w:noProof/>
          <w:lang w:val="sq-AL"/>
        </w:rPr>
        <w:t xml:space="preserve"> stoku total i depozitave bankare ka shënuar rritje me 8.3% krahasuar me </w:t>
      </w:r>
      <w:r>
        <w:rPr>
          <w:rFonts w:asciiTheme="minorHAnsi" w:hAnsiTheme="minorHAnsi"/>
          <w:noProof/>
          <w:lang w:val="sq-AL"/>
        </w:rPr>
        <w:t>p</w:t>
      </w:r>
      <w:r w:rsidRPr="00C0650B">
        <w:rPr>
          <w:rFonts w:asciiTheme="minorHAnsi" w:hAnsiTheme="minorHAnsi"/>
          <w:noProof/>
          <w:lang w:val="sq-AL"/>
        </w:rPr>
        <w:t xml:space="preserve">rillin e vitit 2020. </w:t>
      </w:r>
      <w:r w:rsidR="009224AF">
        <w:rPr>
          <w:rFonts w:asciiTheme="minorHAnsi" w:hAnsiTheme="minorHAnsi"/>
          <w:noProof/>
          <w:lang w:val="sq-AL"/>
        </w:rPr>
        <w:t>S</w:t>
      </w:r>
      <w:r w:rsidRPr="00C0650B">
        <w:rPr>
          <w:rFonts w:asciiTheme="minorHAnsi" w:hAnsiTheme="minorHAnsi"/>
          <w:noProof/>
          <w:lang w:val="sq-AL"/>
        </w:rPr>
        <w:t xml:space="preserve">toku total i depozitave në Lekë pësoi rritje me 8.5%, ndërsa ai në valutë është rritur me 8.1% krahasuar me të njëjtin muaj të vitit 2020. Në </w:t>
      </w:r>
      <w:r>
        <w:rPr>
          <w:rFonts w:asciiTheme="minorHAnsi" w:hAnsiTheme="minorHAnsi"/>
          <w:noProof/>
          <w:lang w:val="sq-AL"/>
        </w:rPr>
        <w:t>muajin p</w:t>
      </w:r>
      <w:r w:rsidRPr="00C0650B">
        <w:rPr>
          <w:rFonts w:asciiTheme="minorHAnsi" w:hAnsiTheme="minorHAnsi"/>
          <w:noProof/>
          <w:lang w:val="sq-AL"/>
        </w:rPr>
        <w:t>rill 2021 rezulton se rreth 46.3% e totalit të stokut të depozitave përbëhet nga depozitat në Lekë, ndërsa pjesa tjetër prej 53.6% përbëhet nga depozitimet në valutë të huaj. Stoku total i depozitave vetëm për muajin Prill 2021 shënoi rritje me 6.4 miliardë Lekë kundrejt muajit paraardhës (Mars 2021). Stoku total i depozitave të bizneseve në muajin Prill të vitit 2021 shënoi rritje prej 22.9% krahasuar me Prillin e vitit 2020, ndërsa stoku total i depozitave të individëve ka shënuar rritje prej 6.1% krahasuar me të njëjtin muaj të një viti më parë.</w:t>
      </w:r>
    </w:p>
    <w:p w:rsidR="00B31CF7" w:rsidRPr="002257B4" w:rsidRDefault="00B31CF7" w:rsidP="00B31CF7">
      <w:pPr>
        <w:keepNext/>
        <w:jc w:val="both"/>
        <w:rPr>
          <w:rFonts w:ascii="Calibri" w:hAnsi="Calibri"/>
          <w:i/>
          <w:sz w:val="8"/>
          <w:szCs w:val="8"/>
          <w:lang w:val="sq-AL"/>
        </w:rPr>
      </w:pPr>
    </w:p>
    <w:p w:rsidR="00B31CF7" w:rsidRPr="002C40CB" w:rsidRDefault="00B31CF7" w:rsidP="00B31CF7">
      <w:pPr>
        <w:keepNext/>
        <w:jc w:val="both"/>
        <w:rPr>
          <w:rFonts w:ascii="Calibri" w:hAnsi="Calibri"/>
          <w:i/>
          <w:sz w:val="22"/>
          <w:lang w:val="sq-AL"/>
        </w:rPr>
      </w:pPr>
      <w:bookmarkStart w:id="108" w:name="_Toc76470137"/>
      <w:r w:rsidRPr="002C40CB">
        <w:rPr>
          <w:rFonts w:ascii="Calibri" w:hAnsi="Calibri"/>
          <w:i/>
          <w:sz w:val="22"/>
          <w:lang w:val="sq-AL"/>
        </w:rPr>
        <w:t xml:space="preserve">Grafiku </w:t>
      </w:r>
      <w:r w:rsidRPr="002C40CB">
        <w:rPr>
          <w:rFonts w:ascii="Calibri" w:hAnsi="Calibri"/>
          <w:i/>
          <w:sz w:val="22"/>
          <w:lang w:val="sq-AL"/>
        </w:rPr>
        <w:fldChar w:fldCharType="begin"/>
      </w:r>
      <w:r w:rsidRPr="002C40CB">
        <w:rPr>
          <w:rFonts w:ascii="Calibri" w:hAnsi="Calibri"/>
          <w:i/>
          <w:sz w:val="22"/>
          <w:lang w:val="sq-AL"/>
        </w:rPr>
        <w:instrText xml:space="preserve"> SEQ Grafiku \* ARABIC </w:instrText>
      </w:r>
      <w:r w:rsidRPr="002C40CB">
        <w:rPr>
          <w:rFonts w:ascii="Calibri" w:hAnsi="Calibri"/>
          <w:i/>
          <w:sz w:val="22"/>
          <w:lang w:val="sq-AL"/>
        </w:rPr>
        <w:fldChar w:fldCharType="separate"/>
      </w:r>
      <w:r w:rsidR="003C5F40" w:rsidRPr="002C40CB">
        <w:rPr>
          <w:rFonts w:ascii="Calibri" w:hAnsi="Calibri"/>
          <w:i/>
          <w:noProof/>
          <w:sz w:val="22"/>
          <w:lang w:val="sq-AL"/>
        </w:rPr>
        <w:t>18</w:t>
      </w:r>
      <w:r w:rsidRPr="002C40CB">
        <w:rPr>
          <w:rFonts w:ascii="Calibri" w:hAnsi="Calibri"/>
          <w:i/>
          <w:sz w:val="22"/>
          <w:lang w:val="sq-AL"/>
        </w:rPr>
        <w:fldChar w:fldCharType="end"/>
      </w:r>
      <w:r w:rsidRPr="002C40CB">
        <w:rPr>
          <w:rFonts w:ascii="Calibri" w:hAnsi="Calibri"/>
          <w:i/>
          <w:sz w:val="22"/>
          <w:lang w:val="sq-AL"/>
        </w:rPr>
        <w:t>: Ecuria e stokut të depozitave 2020-2021, në përqindje</w:t>
      </w:r>
      <w:bookmarkEnd w:id="108"/>
      <w:r w:rsidRPr="002C40CB">
        <w:rPr>
          <w:rFonts w:ascii="Calibri" w:hAnsi="Calibri"/>
          <w:i/>
          <w:sz w:val="22"/>
          <w:lang w:val="sq-AL"/>
        </w:rPr>
        <w:t xml:space="preserve"> </w:t>
      </w:r>
    </w:p>
    <w:p w:rsidR="00B31CF7" w:rsidRDefault="00B31CF7" w:rsidP="00B31CF7">
      <w:pPr>
        <w:spacing w:line="276" w:lineRule="auto"/>
        <w:jc w:val="center"/>
        <w:rPr>
          <w:rFonts w:ascii="Calibri" w:hAnsi="Calibri"/>
          <w:noProof/>
          <w:lang w:val="sq-AL"/>
        </w:rPr>
      </w:pPr>
      <w:r w:rsidRPr="00CC2D56">
        <w:rPr>
          <w:noProof/>
        </w:rPr>
        <w:drawing>
          <wp:inline distT="0" distB="0" distL="0" distR="0" wp14:anchorId="3AB80200" wp14:editId="40319ABC">
            <wp:extent cx="5791200" cy="2065020"/>
            <wp:effectExtent l="19050" t="19050" r="19050"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91200" cy="2065020"/>
                    </a:xfrm>
                    <a:prstGeom prst="rect">
                      <a:avLst/>
                    </a:prstGeom>
                    <a:noFill/>
                    <a:ln>
                      <a:solidFill>
                        <a:schemeClr val="bg1">
                          <a:lumMod val="85000"/>
                        </a:schemeClr>
                      </a:solidFill>
                    </a:ln>
                  </pic:spPr>
                </pic:pic>
              </a:graphicData>
            </a:graphic>
          </wp:inline>
        </w:drawing>
      </w:r>
    </w:p>
    <w:p w:rsidR="00B31CF7" w:rsidRPr="009224AF" w:rsidRDefault="00B31CF7" w:rsidP="00B31CF7">
      <w:pPr>
        <w:spacing w:line="276" w:lineRule="auto"/>
        <w:ind w:left="720"/>
        <w:rPr>
          <w:rFonts w:ascii="Calibri" w:hAnsi="Calibri"/>
          <w:i/>
          <w:noProof/>
          <w:sz w:val="20"/>
          <w:szCs w:val="22"/>
          <w:lang w:val="sq-AL"/>
        </w:rPr>
      </w:pPr>
      <w:r w:rsidRPr="009224AF">
        <w:rPr>
          <w:rFonts w:ascii="Calibri" w:hAnsi="Calibri"/>
          <w:i/>
          <w:noProof/>
          <w:sz w:val="22"/>
          <w:lang w:val="sq-AL"/>
        </w:rPr>
        <w:t xml:space="preserve">       </w:t>
      </w:r>
      <w:r w:rsidRPr="009224AF">
        <w:rPr>
          <w:rFonts w:ascii="Calibri" w:hAnsi="Calibri"/>
          <w:i/>
          <w:noProof/>
          <w:sz w:val="20"/>
          <w:szCs w:val="22"/>
          <w:lang w:val="sq-AL"/>
        </w:rPr>
        <w:t>Burimi: Banka e Shqipërisë, Qershor 2021</w:t>
      </w:r>
    </w:p>
    <w:p w:rsidR="00B31CF7" w:rsidRPr="0065598A" w:rsidRDefault="00B31CF7" w:rsidP="00B31CF7">
      <w:pPr>
        <w:spacing w:line="276" w:lineRule="auto"/>
        <w:jc w:val="center"/>
        <w:rPr>
          <w:rFonts w:ascii="Calibri" w:hAnsi="Calibri"/>
          <w:noProof/>
          <w:lang w:val="sq-AL"/>
        </w:rPr>
      </w:pPr>
    </w:p>
    <w:p w:rsidR="00B31CF7" w:rsidRPr="00CA71C5" w:rsidRDefault="00B31CF7" w:rsidP="00B31CF7">
      <w:pPr>
        <w:spacing w:after="120" w:line="276" w:lineRule="auto"/>
        <w:jc w:val="both"/>
        <w:rPr>
          <w:rFonts w:asciiTheme="minorHAnsi" w:hAnsiTheme="minorHAnsi"/>
          <w:noProof/>
          <w:lang w:val="sq-AL"/>
        </w:rPr>
      </w:pPr>
      <w:r w:rsidRPr="00CA71C5">
        <w:rPr>
          <w:rFonts w:asciiTheme="minorHAnsi" w:hAnsiTheme="minorHAnsi"/>
          <w:noProof/>
          <w:lang w:val="sq-AL"/>
        </w:rPr>
        <w:lastRenderedPageBreak/>
        <w:t xml:space="preserve">Referuar të dhënave të deritanishme, gjatë muajit prill të vitit 2021, stoku total i kredive bankare pati një rritje me 6.4%, krahasuar me muajin prill të vitit 2020. </w:t>
      </w:r>
    </w:p>
    <w:p w:rsidR="00B31CF7" w:rsidRPr="00CA71C5" w:rsidRDefault="00B31CF7" w:rsidP="0083588A">
      <w:pPr>
        <w:spacing w:after="120" w:line="276" w:lineRule="auto"/>
        <w:jc w:val="both"/>
        <w:rPr>
          <w:rFonts w:asciiTheme="minorHAnsi" w:hAnsiTheme="minorHAnsi"/>
          <w:noProof/>
          <w:lang w:val="sq-AL"/>
        </w:rPr>
      </w:pPr>
      <w:r w:rsidRPr="00C0650B">
        <w:rPr>
          <w:rFonts w:asciiTheme="minorHAnsi" w:hAnsiTheme="minorHAnsi"/>
          <w:noProof/>
          <w:lang w:val="sq-AL"/>
        </w:rPr>
        <w:t xml:space="preserve">Stoku i kredive në lekë shënoi një rritje prej 9.9%, ndërsa ai në valutë rritje prej 2.7%, krahasuar me muajin </w:t>
      </w:r>
      <w:r>
        <w:rPr>
          <w:rFonts w:asciiTheme="minorHAnsi" w:hAnsiTheme="minorHAnsi"/>
          <w:noProof/>
          <w:lang w:val="sq-AL"/>
        </w:rPr>
        <w:t>p</w:t>
      </w:r>
      <w:r w:rsidRPr="00C0650B">
        <w:rPr>
          <w:rFonts w:asciiTheme="minorHAnsi" w:hAnsiTheme="minorHAnsi"/>
          <w:noProof/>
          <w:lang w:val="sq-AL"/>
        </w:rPr>
        <w:t xml:space="preserve">rill të vitit të kaluar. Stoku i kredive akorduar bizneseve jo-financiare (private dhe publike) për muajin </w:t>
      </w:r>
      <w:r>
        <w:rPr>
          <w:rFonts w:asciiTheme="minorHAnsi" w:hAnsiTheme="minorHAnsi"/>
          <w:noProof/>
          <w:lang w:val="sq-AL"/>
        </w:rPr>
        <w:t>p</w:t>
      </w:r>
      <w:r w:rsidRPr="00C0650B">
        <w:rPr>
          <w:rFonts w:asciiTheme="minorHAnsi" w:hAnsiTheme="minorHAnsi"/>
          <w:noProof/>
          <w:lang w:val="sq-AL"/>
        </w:rPr>
        <w:t>rill 2021 shënoi një rritje me 6.1%. Kredia vetëm për bizneset private jo-financiare u rrit me 8.2%, duke kontribuar pozitivisht me 4.9 pikë përqindje në ndryshimin e stokut total të kredisë. Ndërsa, stoku i kredive akorduar bizneseve publike jo-financiare për muajin Prill të vitit 2021 ka shën</w:t>
      </w:r>
      <w:r>
        <w:rPr>
          <w:rFonts w:asciiTheme="minorHAnsi" w:hAnsiTheme="minorHAnsi"/>
          <w:noProof/>
          <w:lang w:val="sq-AL"/>
        </w:rPr>
        <w:t>uar rënie me 34%, krahasuar me p</w:t>
      </w:r>
      <w:r w:rsidRPr="00C0650B">
        <w:rPr>
          <w:rFonts w:asciiTheme="minorHAnsi" w:hAnsiTheme="minorHAnsi"/>
          <w:noProof/>
          <w:lang w:val="sq-AL"/>
        </w:rPr>
        <w:t>rillin e vitit 2020, me kontribut negativ prej 1.1 pikë përqindje.</w:t>
      </w:r>
      <w:r w:rsidR="0083588A">
        <w:rPr>
          <w:rFonts w:asciiTheme="minorHAnsi" w:hAnsiTheme="minorHAnsi"/>
          <w:noProof/>
          <w:lang w:val="sq-AL"/>
        </w:rPr>
        <w:t xml:space="preserve"> </w:t>
      </w:r>
      <w:r w:rsidRPr="00CA71C5">
        <w:rPr>
          <w:rFonts w:asciiTheme="minorHAnsi" w:hAnsiTheme="minorHAnsi"/>
          <w:noProof/>
          <w:lang w:val="sq-AL"/>
        </w:rPr>
        <w:t xml:space="preserve">Në prill 2021 rezulton se rreth 53.1% e totalit të stokut të kredive përbëhet nga kreditë në Lekë, ndërsa pjesa tjetër prej 46.9% përbëhet nga kreditë në valutë. </w:t>
      </w:r>
    </w:p>
    <w:p w:rsidR="00B31CF7" w:rsidRPr="002C40CB" w:rsidRDefault="00B31CF7" w:rsidP="00B31CF7">
      <w:pPr>
        <w:keepNext/>
        <w:jc w:val="both"/>
        <w:rPr>
          <w:rFonts w:ascii="Calibri" w:hAnsi="Calibri"/>
          <w:i/>
          <w:sz w:val="22"/>
          <w:lang w:val="sq-AL"/>
        </w:rPr>
      </w:pPr>
      <w:bookmarkStart w:id="109" w:name="_Toc76470068"/>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C5F40" w:rsidRPr="002C40CB">
        <w:rPr>
          <w:rFonts w:ascii="Calibri" w:hAnsi="Calibri"/>
          <w:i/>
          <w:noProof/>
          <w:sz w:val="22"/>
          <w:lang w:val="sq-AL"/>
        </w:rPr>
        <w:t>14</w:t>
      </w:r>
      <w:r w:rsidRPr="002C40CB">
        <w:rPr>
          <w:rFonts w:ascii="Calibri" w:hAnsi="Calibri"/>
          <w:i/>
          <w:sz w:val="22"/>
          <w:lang w:val="sq-AL"/>
        </w:rPr>
        <w:fldChar w:fldCharType="end"/>
      </w:r>
      <w:r w:rsidRPr="002C40CB">
        <w:rPr>
          <w:rFonts w:ascii="Calibri" w:hAnsi="Calibri"/>
          <w:i/>
          <w:sz w:val="22"/>
          <w:lang w:val="sq-AL"/>
        </w:rPr>
        <w:t>: Ecuria e kredisë për bizneset dhe individët, në përqindje</w:t>
      </w:r>
      <w:bookmarkEnd w:id="109"/>
    </w:p>
    <w:p w:rsidR="00B31CF7" w:rsidRDefault="00B31CF7" w:rsidP="00B31CF7">
      <w:pPr>
        <w:spacing w:line="276" w:lineRule="auto"/>
        <w:jc w:val="center"/>
        <w:rPr>
          <w:rFonts w:ascii="Calibri" w:hAnsi="Calibri"/>
          <w:noProof/>
          <w:lang w:val="sq-AL"/>
        </w:rPr>
      </w:pPr>
      <w:r w:rsidRPr="00193E81">
        <w:rPr>
          <w:noProof/>
        </w:rPr>
        <w:drawing>
          <wp:inline distT="0" distB="0" distL="0" distR="0" wp14:anchorId="4A09E4E1" wp14:editId="789E699F">
            <wp:extent cx="6114415" cy="143256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15188" cy="1432741"/>
                    </a:xfrm>
                    <a:prstGeom prst="rect">
                      <a:avLst/>
                    </a:prstGeom>
                    <a:noFill/>
                    <a:ln>
                      <a:noFill/>
                    </a:ln>
                  </pic:spPr>
                </pic:pic>
              </a:graphicData>
            </a:graphic>
          </wp:inline>
        </w:drawing>
      </w:r>
    </w:p>
    <w:p w:rsidR="00B31CF7" w:rsidRPr="002C40CB" w:rsidRDefault="00B31CF7" w:rsidP="00B31CF7">
      <w:pPr>
        <w:spacing w:line="276" w:lineRule="auto"/>
        <w:jc w:val="both"/>
        <w:rPr>
          <w:rFonts w:ascii="Calibri" w:hAnsi="Calibri"/>
          <w:noProof/>
          <w:sz w:val="12"/>
          <w:lang w:val="sq-AL"/>
        </w:rPr>
      </w:pPr>
    </w:p>
    <w:p w:rsidR="00B31CF7" w:rsidRPr="007F0065" w:rsidRDefault="00B31CF7" w:rsidP="00B31CF7">
      <w:pPr>
        <w:spacing w:line="276" w:lineRule="auto"/>
        <w:jc w:val="both"/>
        <w:rPr>
          <w:rFonts w:asciiTheme="minorHAnsi" w:hAnsiTheme="minorHAnsi" w:cstheme="minorHAnsi"/>
          <w:noProof/>
          <w:lang w:val="sq-AL"/>
        </w:rPr>
      </w:pPr>
      <w:r w:rsidRPr="00315FF6">
        <w:rPr>
          <w:rFonts w:ascii="Calibri" w:hAnsi="Calibri"/>
          <w:noProof/>
          <w:lang w:val="sq-AL"/>
        </w:rPr>
        <w:t>Gjatë muajit Prill të vitit 2021, sasia e re e kredisë së dhënë nga sistemi bankar në Lek shënoi rënie me 21.5% kundrejt muajit paraardhës (</w:t>
      </w:r>
      <w:r>
        <w:rPr>
          <w:rFonts w:ascii="Calibri" w:hAnsi="Calibri"/>
          <w:noProof/>
          <w:lang w:val="sq-AL"/>
        </w:rPr>
        <w:t>m</w:t>
      </w:r>
      <w:r w:rsidRPr="00315FF6">
        <w:rPr>
          <w:rFonts w:ascii="Calibri" w:hAnsi="Calibri"/>
          <w:noProof/>
          <w:lang w:val="sq-AL"/>
        </w:rPr>
        <w:t>ars</w:t>
      </w:r>
      <w:r>
        <w:rPr>
          <w:rFonts w:ascii="Calibri" w:hAnsi="Calibri"/>
          <w:noProof/>
          <w:lang w:val="sq-AL"/>
        </w:rPr>
        <w:t xml:space="preserve"> 2021</w:t>
      </w:r>
      <w:r w:rsidRPr="00315FF6">
        <w:rPr>
          <w:rFonts w:ascii="Calibri" w:hAnsi="Calibri"/>
          <w:noProof/>
          <w:lang w:val="sq-AL"/>
        </w:rPr>
        <w:t>) dhe një rënie me 28.9% kundrejt të njëjtit muaj të një viti më parë (</w:t>
      </w:r>
      <w:r>
        <w:rPr>
          <w:rFonts w:ascii="Calibri" w:hAnsi="Calibri"/>
          <w:noProof/>
          <w:lang w:val="sq-AL"/>
        </w:rPr>
        <w:t>p</w:t>
      </w:r>
      <w:r w:rsidRPr="00315FF6">
        <w:rPr>
          <w:rFonts w:ascii="Calibri" w:hAnsi="Calibri"/>
          <w:noProof/>
          <w:lang w:val="sq-AL"/>
        </w:rPr>
        <w:t>rill 2020). Ndërkohë, sasia e re e kredisë së dhënë në Euro u zvogëlua me 23.8% krahasuar me një muaj më parë (</w:t>
      </w:r>
      <w:r>
        <w:rPr>
          <w:rFonts w:ascii="Calibri" w:hAnsi="Calibri"/>
          <w:noProof/>
          <w:lang w:val="sq-AL"/>
        </w:rPr>
        <w:t>m</w:t>
      </w:r>
      <w:r w:rsidRPr="00315FF6">
        <w:rPr>
          <w:rFonts w:ascii="Calibri" w:hAnsi="Calibri"/>
          <w:noProof/>
          <w:lang w:val="sq-AL"/>
        </w:rPr>
        <w:t>ars 2021), dhe u rrit me 77.8%, krahasuar me të njëjtin muaj të një viti më parë (</w:t>
      </w:r>
      <w:r>
        <w:rPr>
          <w:rFonts w:ascii="Calibri" w:hAnsi="Calibri"/>
          <w:noProof/>
          <w:lang w:val="sq-AL"/>
        </w:rPr>
        <w:t>p</w:t>
      </w:r>
      <w:r w:rsidRPr="00315FF6">
        <w:rPr>
          <w:rFonts w:ascii="Calibri" w:hAnsi="Calibri"/>
          <w:noProof/>
          <w:lang w:val="sq-AL"/>
        </w:rPr>
        <w:t>rill 2020</w:t>
      </w:r>
      <w:r w:rsidRPr="007F0065">
        <w:rPr>
          <w:rFonts w:asciiTheme="minorHAnsi" w:hAnsiTheme="minorHAnsi" w:cstheme="minorHAnsi"/>
          <w:noProof/>
          <w:lang w:val="sq-AL"/>
        </w:rPr>
        <w:t>). Niveli i kredive me probleme ndaj totalit të kredive në fund të muajit prill 2021 arriti në 7.88%.</w:t>
      </w:r>
    </w:p>
    <w:p w:rsidR="00B31CF7" w:rsidRPr="002C40CB" w:rsidRDefault="00B31CF7" w:rsidP="00B31CF7">
      <w:pPr>
        <w:spacing w:line="276" w:lineRule="auto"/>
        <w:jc w:val="both"/>
        <w:rPr>
          <w:rFonts w:ascii="Calibri" w:hAnsi="Calibri"/>
          <w:noProof/>
          <w:sz w:val="8"/>
          <w:lang w:val="sq-AL"/>
        </w:rPr>
      </w:pPr>
    </w:p>
    <w:p w:rsidR="00B31CF7" w:rsidRPr="002C40CB" w:rsidRDefault="00B31CF7" w:rsidP="00B31CF7">
      <w:pPr>
        <w:spacing w:line="276" w:lineRule="auto"/>
        <w:jc w:val="both"/>
        <w:rPr>
          <w:rFonts w:ascii="Calibri" w:hAnsi="Calibri"/>
          <w:i/>
          <w:noProof/>
          <w:sz w:val="22"/>
          <w:lang w:val="sq-AL"/>
        </w:rPr>
      </w:pPr>
      <w:bookmarkStart w:id="110" w:name="_Toc76470069"/>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C5F40" w:rsidRPr="002C40CB">
        <w:rPr>
          <w:rFonts w:ascii="Calibri" w:hAnsi="Calibri"/>
          <w:i/>
          <w:noProof/>
          <w:sz w:val="22"/>
          <w:lang w:val="sq-AL"/>
        </w:rPr>
        <w:t>15</w:t>
      </w:r>
      <w:r w:rsidRPr="002C40CB">
        <w:rPr>
          <w:rFonts w:ascii="Calibri" w:hAnsi="Calibri"/>
          <w:i/>
          <w:sz w:val="22"/>
          <w:lang w:val="sq-AL"/>
        </w:rPr>
        <w:fldChar w:fldCharType="end"/>
      </w:r>
      <w:r w:rsidRPr="002C40CB">
        <w:rPr>
          <w:rFonts w:ascii="Calibri" w:hAnsi="Calibri"/>
          <w:i/>
          <w:sz w:val="22"/>
          <w:lang w:val="sq-AL"/>
        </w:rPr>
        <w:t>: Ecuria e kredive të këqija, në përqindje</w:t>
      </w:r>
      <w:bookmarkEnd w:id="110"/>
    </w:p>
    <w:p w:rsidR="00B31CF7" w:rsidRPr="0065598A" w:rsidRDefault="00B31CF7" w:rsidP="00B31CF7">
      <w:pPr>
        <w:spacing w:line="276" w:lineRule="auto"/>
        <w:jc w:val="center"/>
        <w:rPr>
          <w:rFonts w:ascii="Calibri" w:hAnsi="Calibri"/>
          <w:noProof/>
          <w:lang w:val="sq-AL"/>
        </w:rPr>
      </w:pPr>
      <w:r w:rsidRPr="00193E81">
        <w:rPr>
          <w:noProof/>
        </w:rPr>
        <w:drawing>
          <wp:inline distT="0" distB="0" distL="0" distR="0" wp14:anchorId="7046E974" wp14:editId="6B76E82C">
            <wp:extent cx="6105525" cy="7810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05525" cy="781050"/>
                    </a:xfrm>
                    <a:prstGeom prst="rect">
                      <a:avLst/>
                    </a:prstGeom>
                    <a:noFill/>
                    <a:ln>
                      <a:noFill/>
                    </a:ln>
                  </pic:spPr>
                </pic:pic>
              </a:graphicData>
            </a:graphic>
          </wp:inline>
        </w:drawing>
      </w:r>
    </w:p>
    <w:p w:rsidR="00B31CF7" w:rsidRPr="0065598A" w:rsidRDefault="00B31CF7" w:rsidP="00B31CF7">
      <w:pPr>
        <w:spacing w:before="120" w:line="276" w:lineRule="auto"/>
        <w:jc w:val="both"/>
        <w:rPr>
          <w:rFonts w:asciiTheme="minorHAnsi" w:hAnsiTheme="minorHAnsi"/>
          <w:noProof/>
          <w:lang w:val="sq-AL"/>
        </w:rPr>
      </w:pPr>
      <w:r>
        <w:rPr>
          <w:rFonts w:asciiTheme="minorHAnsi" w:hAnsiTheme="minorHAnsi"/>
          <w:noProof/>
          <w:lang w:val="sq-AL"/>
        </w:rPr>
        <w:t>Referuar të dhënave të deritanishme, s</w:t>
      </w:r>
      <w:r w:rsidRPr="0065598A">
        <w:rPr>
          <w:rFonts w:asciiTheme="minorHAnsi" w:hAnsiTheme="minorHAnsi"/>
          <w:noProof/>
          <w:lang w:val="sq-AL"/>
        </w:rPr>
        <w:t xml:space="preserve">a i takon ecurisë së normave të interesit vihet re: </w:t>
      </w:r>
    </w:p>
    <w:p w:rsidR="00B31CF7" w:rsidRDefault="00B31CF7" w:rsidP="007F0B61">
      <w:pPr>
        <w:pStyle w:val="ListParagraph"/>
        <w:numPr>
          <w:ilvl w:val="0"/>
          <w:numId w:val="28"/>
        </w:numPr>
        <w:spacing w:before="120" w:line="276" w:lineRule="auto"/>
        <w:jc w:val="both"/>
        <w:rPr>
          <w:rFonts w:asciiTheme="minorHAnsi" w:hAnsiTheme="minorHAnsi"/>
          <w:i/>
          <w:noProof/>
          <w:lang w:val="sq-AL"/>
        </w:rPr>
      </w:pPr>
      <w:r w:rsidRPr="00D34D84">
        <w:rPr>
          <w:rFonts w:asciiTheme="minorHAnsi" w:hAnsiTheme="minorHAnsi"/>
          <w:i/>
          <w:noProof/>
          <w:lang w:val="sq-AL"/>
        </w:rPr>
        <w:t xml:space="preserve">Për depozitat në Lekë - </w:t>
      </w:r>
      <w:r w:rsidRPr="00C0650B">
        <w:rPr>
          <w:rFonts w:asciiTheme="minorHAnsi" w:hAnsiTheme="minorHAnsi"/>
          <w:noProof/>
          <w:lang w:val="sq-AL"/>
        </w:rPr>
        <w:t xml:space="preserve">Norma mesatare e interesit për totalin e depozitave (duke përfshirë të gjitha maturimet) për muajin prill 2021 shënoi vlerën 0.70%, duke u rritur me 0.08 </w:t>
      </w:r>
      <w:r>
        <w:rPr>
          <w:rFonts w:asciiTheme="minorHAnsi" w:hAnsiTheme="minorHAnsi"/>
          <w:noProof/>
          <w:lang w:val="sq-AL"/>
        </w:rPr>
        <w:t>pikë përqindje</w:t>
      </w:r>
      <w:r w:rsidRPr="00C0650B">
        <w:rPr>
          <w:rFonts w:asciiTheme="minorHAnsi" w:hAnsiTheme="minorHAnsi"/>
          <w:noProof/>
          <w:lang w:val="sq-AL"/>
        </w:rPr>
        <w:t xml:space="preserve"> krahasuar me të njëjtën periudhë të vitit të kaluar dhe gjithashtu krahasuar me muajin paraardhës. Ndërkohë, norma e interesit për depozitën 12</w:t>
      </w:r>
      <w:r>
        <w:rPr>
          <w:rFonts w:asciiTheme="minorHAnsi" w:hAnsiTheme="minorHAnsi"/>
          <w:noProof/>
          <w:lang w:val="sq-AL"/>
        </w:rPr>
        <w:t>-</w:t>
      </w:r>
      <w:r w:rsidRPr="00C0650B">
        <w:rPr>
          <w:rFonts w:asciiTheme="minorHAnsi" w:hAnsiTheme="minorHAnsi"/>
          <w:noProof/>
          <w:lang w:val="sq-AL"/>
        </w:rPr>
        <w:t xml:space="preserve">mujore u rrit me 0.02 </w:t>
      </w:r>
      <w:r>
        <w:rPr>
          <w:rFonts w:asciiTheme="minorHAnsi" w:hAnsiTheme="minorHAnsi"/>
          <w:noProof/>
          <w:lang w:val="sq-AL"/>
        </w:rPr>
        <w:t>pikë përqindje</w:t>
      </w:r>
      <w:r w:rsidRPr="00C0650B">
        <w:rPr>
          <w:rFonts w:asciiTheme="minorHAnsi" w:hAnsiTheme="minorHAnsi"/>
          <w:noProof/>
          <w:lang w:val="sq-AL"/>
        </w:rPr>
        <w:t xml:space="preserve"> krahasuar me një vit më parë dhe nuk pati ndryshim në krahasim me një muaj më parë.</w:t>
      </w:r>
    </w:p>
    <w:p w:rsidR="00B31CF7" w:rsidRPr="00C0650B" w:rsidRDefault="00B31CF7" w:rsidP="007F0B61">
      <w:pPr>
        <w:pStyle w:val="ListParagraph"/>
        <w:numPr>
          <w:ilvl w:val="0"/>
          <w:numId w:val="28"/>
        </w:numPr>
        <w:spacing w:before="120" w:line="276" w:lineRule="auto"/>
        <w:jc w:val="both"/>
        <w:rPr>
          <w:rFonts w:asciiTheme="minorHAnsi" w:hAnsiTheme="minorHAnsi"/>
          <w:noProof/>
          <w:lang w:val="sq-AL"/>
        </w:rPr>
      </w:pPr>
      <w:r w:rsidRPr="00E9177B">
        <w:rPr>
          <w:rFonts w:asciiTheme="minorHAnsi" w:hAnsiTheme="minorHAnsi"/>
          <w:i/>
          <w:noProof/>
          <w:lang w:val="sq-AL"/>
        </w:rPr>
        <w:t xml:space="preserve">Për depozitat në US ($) – </w:t>
      </w:r>
      <w:r w:rsidRPr="00C0650B">
        <w:rPr>
          <w:rFonts w:asciiTheme="minorHAnsi" w:hAnsiTheme="minorHAnsi"/>
          <w:noProof/>
          <w:lang w:val="sq-AL"/>
        </w:rPr>
        <w:t xml:space="preserve">Norma mesatare e interesit për totalin e depozitave shënoi vlerën 0.28%, ose 0.05 </w:t>
      </w:r>
      <w:r>
        <w:rPr>
          <w:rFonts w:asciiTheme="minorHAnsi" w:hAnsiTheme="minorHAnsi"/>
          <w:noProof/>
          <w:lang w:val="sq-AL"/>
        </w:rPr>
        <w:t>pikë përqindje</w:t>
      </w:r>
      <w:r w:rsidRPr="00C0650B">
        <w:rPr>
          <w:rFonts w:asciiTheme="minorHAnsi" w:hAnsiTheme="minorHAnsi"/>
          <w:noProof/>
          <w:lang w:val="sq-AL"/>
        </w:rPr>
        <w:t xml:space="preserve"> më shumë krahasuar me një vit më parë dhe 0.13 </w:t>
      </w:r>
      <w:r>
        <w:rPr>
          <w:rFonts w:asciiTheme="minorHAnsi" w:hAnsiTheme="minorHAnsi"/>
          <w:noProof/>
          <w:lang w:val="sq-AL"/>
        </w:rPr>
        <w:t>pikë përqindje</w:t>
      </w:r>
      <w:r w:rsidRPr="00C0650B">
        <w:rPr>
          <w:rFonts w:asciiTheme="minorHAnsi" w:hAnsiTheme="minorHAnsi"/>
          <w:noProof/>
          <w:lang w:val="sq-AL"/>
        </w:rPr>
        <w:t xml:space="preserve"> më pak krahasuar me një muaj më parë. Ndërkohë, nor</w:t>
      </w:r>
      <w:r>
        <w:rPr>
          <w:rFonts w:asciiTheme="minorHAnsi" w:hAnsiTheme="minorHAnsi"/>
          <w:noProof/>
          <w:lang w:val="sq-AL"/>
        </w:rPr>
        <w:t>ma e interesit për depozitën 12-</w:t>
      </w:r>
      <w:r w:rsidRPr="00C0650B">
        <w:rPr>
          <w:rFonts w:asciiTheme="minorHAnsi" w:hAnsiTheme="minorHAnsi"/>
          <w:noProof/>
          <w:lang w:val="sq-AL"/>
        </w:rPr>
        <w:t xml:space="preserve">mujore nuk ka ndryshim krahasuar me një vit më parë dhe u zvogëlua me 0.3 </w:t>
      </w:r>
      <w:r>
        <w:rPr>
          <w:rFonts w:asciiTheme="minorHAnsi" w:hAnsiTheme="minorHAnsi"/>
          <w:noProof/>
          <w:lang w:val="sq-AL"/>
        </w:rPr>
        <w:t>pikë përqindje</w:t>
      </w:r>
      <w:r w:rsidRPr="00C0650B">
        <w:rPr>
          <w:rFonts w:asciiTheme="minorHAnsi" w:hAnsiTheme="minorHAnsi"/>
          <w:noProof/>
          <w:lang w:val="sq-AL"/>
        </w:rPr>
        <w:t xml:space="preserve"> në krahasim me një muaj më parë.</w:t>
      </w:r>
    </w:p>
    <w:p w:rsidR="00B31CF7" w:rsidRPr="00C0650B" w:rsidRDefault="00B31CF7" w:rsidP="007F0B61">
      <w:pPr>
        <w:pStyle w:val="ListParagraph"/>
        <w:numPr>
          <w:ilvl w:val="0"/>
          <w:numId w:val="28"/>
        </w:numPr>
        <w:spacing w:before="120" w:line="276" w:lineRule="auto"/>
        <w:jc w:val="both"/>
        <w:rPr>
          <w:rFonts w:asciiTheme="minorHAnsi" w:hAnsiTheme="minorHAnsi"/>
          <w:noProof/>
          <w:lang w:val="sq-AL"/>
        </w:rPr>
      </w:pPr>
      <w:r w:rsidRPr="00E9177B">
        <w:rPr>
          <w:rFonts w:asciiTheme="minorHAnsi" w:hAnsiTheme="minorHAnsi"/>
          <w:i/>
          <w:noProof/>
          <w:lang w:val="sq-AL"/>
        </w:rPr>
        <w:lastRenderedPageBreak/>
        <w:t xml:space="preserve">Për depozitat në EUR (€) - </w:t>
      </w:r>
      <w:r w:rsidRPr="00C0650B">
        <w:rPr>
          <w:rFonts w:asciiTheme="minorHAnsi" w:hAnsiTheme="minorHAnsi"/>
          <w:noProof/>
          <w:lang w:val="sq-AL"/>
        </w:rPr>
        <w:t xml:space="preserve">Norma mesatare e interesit për totalin e depozitave shënoi vlerën 0.22%, duke u rritur me 0.07 </w:t>
      </w:r>
      <w:r>
        <w:rPr>
          <w:rFonts w:asciiTheme="minorHAnsi" w:hAnsiTheme="minorHAnsi"/>
          <w:noProof/>
          <w:lang w:val="sq-AL"/>
        </w:rPr>
        <w:t>pikë përqindje</w:t>
      </w:r>
      <w:r w:rsidRPr="00C0650B">
        <w:rPr>
          <w:rFonts w:asciiTheme="minorHAnsi" w:hAnsiTheme="minorHAnsi"/>
          <w:noProof/>
          <w:lang w:val="sq-AL"/>
        </w:rPr>
        <w:t xml:space="preserve"> krahasuar me një vit më parë dhe gjithashtu krahasuar me një muaj më parë. Ndërkohë, norma e interesit për depozitën 12</w:t>
      </w:r>
      <w:r>
        <w:rPr>
          <w:rFonts w:asciiTheme="minorHAnsi" w:hAnsiTheme="minorHAnsi"/>
          <w:noProof/>
          <w:lang w:val="sq-AL"/>
        </w:rPr>
        <w:t>-</w:t>
      </w:r>
      <w:r w:rsidRPr="00C0650B">
        <w:rPr>
          <w:rFonts w:asciiTheme="minorHAnsi" w:hAnsiTheme="minorHAnsi"/>
          <w:noProof/>
          <w:lang w:val="sq-AL"/>
        </w:rPr>
        <w:t xml:space="preserve">mujore pati rritje me 0.05 në krahasim me muajin paraardhës dhe u zvogëlua me 0.09 </w:t>
      </w:r>
      <w:r>
        <w:rPr>
          <w:rFonts w:asciiTheme="minorHAnsi" w:hAnsiTheme="minorHAnsi"/>
          <w:noProof/>
          <w:lang w:val="sq-AL"/>
        </w:rPr>
        <w:t>pikë përqindje</w:t>
      </w:r>
      <w:r w:rsidRPr="00C0650B">
        <w:rPr>
          <w:rFonts w:asciiTheme="minorHAnsi" w:hAnsiTheme="minorHAnsi"/>
          <w:noProof/>
          <w:lang w:val="sq-AL"/>
        </w:rPr>
        <w:t xml:space="preserve"> krahasuar me një vit më parë.</w:t>
      </w:r>
    </w:p>
    <w:p w:rsidR="00B31CF7" w:rsidRPr="00C0650B" w:rsidRDefault="00B31CF7" w:rsidP="007F0B61">
      <w:pPr>
        <w:pStyle w:val="ListParagraph"/>
        <w:numPr>
          <w:ilvl w:val="0"/>
          <w:numId w:val="28"/>
        </w:numPr>
        <w:spacing w:before="120" w:line="276" w:lineRule="auto"/>
        <w:jc w:val="both"/>
        <w:rPr>
          <w:rFonts w:asciiTheme="minorHAnsi" w:hAnsiTheme="minorHAnsi"/>
          <w:noProof/>
          <w:lang w:val="sq-AL"/>
        </w:rPr>
      </w:pPr>
      <w:r w:rsidRPr="00E9177B">
        <w:rPr>
          <w:rFonts w:asciiTheme="minorHAnsi" w:hAnsiTheme="minorHAnsi"/>
          <w:i/>
          <w:noProof/>
          <w:lang w:val="sq-AL"/>
        </w:rPr>
        <w:t xml:space="preserve">Për kreditë në Lekë - </w:t>
      </w:r>
      <w:r w:rsidRPr="00C0650B">
        <w:rPr>
          <w:rFonts w:asciiTheme="minorHAnsi" w:hAnsiTheme="minorHAnsi"/>
          <w:noProof/>
          <w:lang w:val="sq-AL"/>
        </w:rPr>
        <w:t xml:space="preserve">Norma mesatare e interesit për totalin e kredive (duke përfshirë të gjitha maturimet) për prillin 2021 shënoi vlerën 6%, ose 0.08 </w:t>
      </w:r>
      <w:r>
        <w:rPr>
          <w:rFonts w:asciiTheme="minorHAnsi" w:hAnsiTheme="minorHAnsi"/>
          <w:noProof/>
          <w:lang w:val="sq-AL"/>
        </w:rPr>
        <w:t xml:space="preserve">pikë përqindje </w:t>
      </w:r>
      <w:r w:rsidRPr="00C0650B">
        <w:rPr>
          <w:rFonts w:asciiTheme="minorHAnsi" w:hAnsiTheme="minorHAnsi"/>
          <w:noProof/>
          <w:lang w:val="sq-AL"/>
        </w:rPr>
        <w:t xml:space="preserve">më shumë se e njëjta periudhë e vitit të kaluar dhe 0.23 </w:t>
      </w:r>
      <w:r>
        <w:rPr>
          <w:rFonts w:asciiTheme="minorHAnsi" w:hAnsiTheme="minorHAnsi"/>
          <w:noProof/>
          <w:lang w:val="sq-AL"/>
        </w:rPr>
        <w:t>pikë përqindje</w:t>
      </w:r>
      <w:r w:rsidRPr="00C0650B">
        <w:rPr>
          <w:rFonts w:asciiTheme="minorHAnsi" w:hAnsiTheme="minorHAnsi"/>
          <w:noProof/>
          <w:lang w:val="sq-AL"/>
        </w:rPr>
        <w:t xml:space="preserve"> më shumë se muaji paraardhës. Ndërkohë, norma e</w:t>
      </w:r>
      <w:r>
        <w:rPr>
          <w:rFonts w:asciiTheme="minorHAnsi" w:hAnsiTheme="minorHAnsi"/>
          <w:noProof/>
          <w:lang w:val="sq-AL"/>
        </w:rPr>
        <w:t xml:space="preserve"> interesit për kreditimin mbi 5-</w:t>
      </w:r>
      <w:r w:rsidRPr="00C0650B">
        <w:rPr>
          <w:rFonts w:asciiTheme="minorHAnsi" w:hAnsiTheme="minorHAnsi"/>
          <w:noProof/>
          <w:lang w:val="sq-AL"/>
        </w:rPr>
        <w:t xml:space="preserve">vjeçarë ka shënuar rënie prej 0.43 </w:t>
      </w:r>
      <w:r>
        <w:rPr>
          <w:rFonts w:asciiTheme="minorHAnsi" w:hAnsiTheme="minorHAnsi"/>
          <w:noProof/>
          <w:lang w:val="sq-AL"/>
        </w:rPr>
        <w:t>pikë përqindje</w:t>
      </w:r>
      <w:r w:rsidRPr="00C0650B">
        <w:rPr>
          <w:rFonts w:asciiTheme="minorHAnsi" w:hAnsiTheme="minorHAnsi"/>
          <w:noProof/>
          <w:lang w:val="sq-AL"/>
        </w:rPr>
        <w:t xml:space="preserve">. krahasuar me një vit më parë dhe rënie me 0.06 </w:t>
      </w:r>
      <w:r>
        <w:rPr>
          <w:rFonts w:asciiTheme="minorHAnsi" w:hAnsiTheme="minorHAnsi"/>
          <w:noProof/>
          <w:lang w:val="sq-AL"/>
        </w:rPr>
        <w:t>pikë përqindje</w:t>
      </w:r>
      <w:r w:rsidRPr="00C0650B">
        <w:rPr>
          <w:rFonts w:asciiTheme="minorHAnsi" w:hAnsiTheme="minorHAnsi"/>
          <w:noProof/>
          <w:lang w:val="sq-AL"/>
        </w:rPr>
        <w:t xml:space="preserve"> krahasuar me muajin mars 2021. </w:t>
      </w:r>
    </w:p>
    <w:p w:rsidR="00B31CF7" w:rsidRPr="00C0650B" w:rsidRDefault="00B31CF7" w:rsidP="007F0B61">
      <w:pPr>
        <w:pStyle w:val="ListParagraph"/>
        <w:numPr>
          <w:ilvl w:val="0"/>
          <w:numId w:val="28"/>
        </w:numPr>
        <w:spacing w:before="120" w:line="276" w:lineRule="auto"/>
        <w:jc w:val="both"/>
        <w:rPr>
          <w:rFonts w:asciiTheme="minorHAnsi" w:hAnsiTheme="minorHAnsi"/>
          <w:noProof/>
          <w:lang w:val="sq-AL"/>
        </w:rPr>
      </w:pPr>
      <w:r w:rsidRPr="00E9177B">
        <w:rPr>
          <w:rFonts w:asciiTheme="minorHAnsi" w:hAnsiTheme="minorHAnsi"/>
          <w:i/>
          <w:noProof/>
          <w:lang w:val="sq-AL"/>
        </w:rPr>
        <w:t xml:space="preserve">Për kreditë në US($) - </w:t>
      </w:r>
      <w:r w:rsidRPr="00C0650B">
        <w:rPr>
          <w:rFonts w:asciiTheme="minorHAnsi" w:hAnsiTheme="minorHAnsi"/>
          <w:noProof/>
          <w:lang w:val="sq-AL"/>
        </w:rPr>
        <w:t xml:space="preserve">Norma mesatare e interesit për totalin e kredive shënoi vlerën 4.36%, duke shënuar rënie me 0.57 </w:t>
      </w:r>
      <w:r>
        <w:rPr>
          <w:rFonts w:asciiTheme="minorHAnsi" w:hAnsiTheme="minorHAnsi"/>
          <w:noProof/>
          <w:lang w:val="sq-AL"/>
        </w:rPr>
        <w:t>pikë përqindje</w:t>
      </w:r>
      <w:r w:rsidRPr="00C0650B">
        <w:rPr>
          <w:rFonts w:asciiTheme="minorHAnsi" w:hAnsiTheme="minorHAnsi"/>
          <w:noProof/>
          <w:lang w:val="sq-AL"/>
        </w:rPr>
        <w:t xml:space="preserve"> krahasuar me një vit më parë dhe një rritje me 0.98 </w:t>
      </w:r>
      <w:r>
        <w:rPr>
          <w:rFonts w:asciiTheme="minorHAnsi" w:hAnsiTheme="minorHAnsi"/>
          <w:noProof/>
          <w:lang w:val="sq-AL"/>
        </w:rPr>
        <w:t>pikë përqindje</w:t>
      </w:r>
      <w:r w:rsidRPr="00C0650B">
        <w:rPr>
          <w:rFonts w:asciiTheme="minorHAnsi" w:hAnsiTheme="minorHAnsi"/>
          <w:noProof/>
          <w:lang w:val="sq-AL"/>
        </w:rPr>
        <w:t xml:space="preserve"> krahasuar me muajin paraardhës.</w:t>
      </w:r>
    </w:p>
    <w:p w:rsidR="00B31CF7" w:rsidRPr="00C0650B" w:rsidRDefault="00B31CF7" w:rsidP="007F0B61">
      <w:pPr>
        <w:pStyle w:val="ListParagraph"/>
        <w:numPr>
          <w:ilvl w:val="0"/>
          <w:numId w:val="28"/>
        </w:numPr>
        <w:spacing w:before="120" w:line="276" w:lineRule="auto"/>
        <w:jc w:val="both"/>
        <w:rPr>
          <w:rFonts w:asciiTheme="minorHAnsi" w:hAnsiTheme="minorHAnsi"/>
          <w:noProof/>
          <w:lang w:val="sq-AL"/>
        </w:rPr>
      </w:pPr>
      <w:r w:rsidRPr="00E9177B">
        <w:rPr>
          <w:rFonts w:asciiTheme="minorHAnsi" w:hAnsiTheme="minorHAnsi"/>
          <w:i/>
          <w:noProof/>
          <w:lang w:val="sq-AL"/>
        </w:rPr>
        <w:t xml:space="preserve">Për kreditë në EUR (€) </w:t>
      </w:r>
      <w:r w:rsidRPr="00C0650B">
        <w:rPr>
          <w:rFonts w:asciiTheme="minorHAnsi" w:hAnsiTheme="minorHAnsi"/>
          <w:noProof/>
          <w:lang w:val="sq-AL"/>
        </w:rPr>
        <w:t xml:space="preserve">- Norma mesatare e interesit për totalin e kredive për prillin 2021 shënoi vlerën 3.97%, ose 0.10 </w:t>
      </w:r>
      <w:r>
        <w:rPr>
          <w:rFonts w:asciiTheme="minorHAnsi" w:hAnsiTheme="minorHAnsi"/>
          <w:noProof/>
          <w:lang w:val="sq-AL"/>
        </w:rPr>
        <w:t>pikë përqindje</w:t>
      </w:r>
      <w:r w:rsidRPr="00C0650B">
        <w:rPr>
          <w:rFonts w:asciiTheme="minorHAnsi" w:hAnsiTheme="minorHAnsi"/>
          <w:noProof/>
          <w:lang w:val="sq-AL"/>
        </w:rPr>
        <w:t xml:space="preserve"> më pak se e njëjta periudhë e vitit të kaluar dhe 0.08 </w:t>
      </w:r>
      <w:r>
        <w:rPr>
          <w:rFonts w:asciiTheme="minorHAnsi" w:hAnsiTheme="minorHAnsi"/>
          <w:noProof/>
          <w:lang w:val="sq-AL"/>
        </w:rPr>
        <w:t xml:space="preserve">pikë përqindje </w:t>
      </w:r>
      <w:r w:rsidRPr="00C0650B">
        <w:rPr>
          <w:rFonts w:asciiTheme="minorHAnsi" w:hAnsiTheme="minorHAnsi"/>
          <w:noProof/>
          <w:lang w:val="sq-AL"/>
        </w:rPr>
        <w:t>më pak krahasuar me një muaj më parë. Norma e interesit për kreditimin mbi 5</w:t>
      </w:r>
      <w:r>
        <w:rPr>
          <w:rFonts w:asciiTheme="minorHAnsi" w:hAnsiTheme="minorHAnsi"/>
          <w:noProof/>
          <w:lang w:val="sq-AL"/>
        </w:rPr>
        <w:t>-</w:t>
      </w:r>
      <w:r w:rsidRPr="00C0650B">
        <w:rPr>
          <w:rFonts w:asciiTheme="minorHAnsi" w:hAnsiTheme="minorHAnsi"/>
          <w:noProof/>
          <w:lang w:val="sq-AL"/>
        </w:rPr>
        <w:t xml:space="preserve">vjeçar u rrit me 0.25 </w:t>
      </w:r>
      <w:r>
        <w:rPr>
          <w:rFonts w:asciiTheme="minorHAnsi" w:hAnsiTheme="minorHAnsi"/>
          <w:noProof/>
          <w:lang w:val="sq-AL"/>
        </w:rPr>
        <w:t>pikë përqindje</w:t>
      </w:r>
      <w:r w:rsidRPr="00C0650B">
        <w:rPr>
          <w:rFonts w:asciiTheme="minorHAnsi" w:hAnsiTheme="minorHAnsi"/>
          <w:noProof/>
          <w:lang w:val="sq-AL"/>
        </w:rPr>
        <w:t xml:space="preserve"> krahasuar me një vit më parë, ndërkohëu rrit me 0.08 </w:t>
      </w:r>
      <w:r>
        <w:rPr>
          <w:rFonts w:asciiTheme="minorHAnsi" w:hAnsiTheme="minorHAnsi"/>
          <w:noProof/>
          <w:lang w:val="sq-AL"/>
        </w:rPr>
        <w:t>pikë përqindje</w:t>
      </w:r>
      <w:r w:rsidRPr="00C0650B">
        <w:rPr>
          <w:rFonts w:asciiTheme="minorHAnsi" w:hAnsiTheme="minorHAnsi"/>
          <w:noProof/>
          <w:lang w:val="sq-AL"/>
        </w:rPr>
        <w:t xml:space="preserve"> krahasuar me muajin mars 2021.</w:t>
      </w:r>
    </w:p>
    <w:p w:rsidR="00B31CF7" w:rsidRPr="0065598A" w:rsidRDefault="00B31CF7" w:rsidP="00B31CF7">
      <w:pPr>
        <w:spacing w:before="240" w:line="276" w:lineRule="auto"/>
        <w:jc w:val="both"/>
        <w:rPr>
          <w:rFonts w:asciiTheme="minorHAnsi" w:hAnsiTheme="minorHAnsi"/>
          <w:noProof/>
          <w:lang w:val="sq-AL"/>
        </w:rPr>
      </w:pPr>
      <w:r w:rsidRPr="0065598A">
        <w:rPr>
          <w:rFonts w:asciiTheme="minorHAnsi" w:hAnsiTheme="minorHAnsi"/>
          <w:noProof/>
          <w:lang w:val="sq-AL"/>
        </w:rPr>
        <w:t>Gjatë muajit maj 202</w:t>
      </w:r>
      <w:r>
        <w:rPr>
          <w:rFonts w:asciiTheme="minorHAnsi" w:hAnsiTheme="minorHAnsi"/>
          <w:noProof/>
          <w:lang w:val="sq-AL"/>
        </w:rPr>
        <w:t>1</w:t>
      </w:r>
      <w:r w:rsidRPr="0065598A">
        <w:rPr>
          <w:rFonts w:asciiTheme="minorHAnsi" w:hAnsiTheme="minorHAnsi"/>
          <w:noProof/>
          <w:lang w:val="sq-AL"/>
        </w:rPr>
        <w:t>, kursi mesatar i këmbimit të lekut kundrejt euros arriti 123.</w:t>
      </w:r>
      <w:r>
        <w:rPr>
          <w:rFonts w:asciiTheme="minorHAnsi" w:hAnsiTheme="minorHAnsi"/>
          <w:noProof/>
          <w:lang w:val="sq-AL"/>
        </w:rPr>
        <w:t>01</w:t>
      </w:r>
      <w:r w:rsidRPr="0065598A">
        <w:rPr>
          <w:rFonts w:asciiTheme="minorHAnsi" w:hAnsiTheme="minorHAnsi"/>
          <w:noProof/>
          <w:lang w:val="sq-AL"/>
        </w:rPr>
        <w:t xml:space="preserve"> lekë/euro duke pësuar</w:t>
      </w:r>
      <w:r>
        <w:rPr>
          <w:rFonts w:asciiTheme="minorHAnsi" w:hAnsiTheme="minorHAnsi"/>
          <w:noProof/>
          <w:lang w:val="sq-AL"/>
        </w:rPr>
        <w:t xml:space="preserve"> një</w:t>
      </w:r>
      <w:r w:rsidRPr="0065598A">
        <w:rPr>
          <w:rFonts w:asciiTheme="minorHAnsi" w:hAnsiTheme="minorHAnsi"/>
          <w:noProof/>
          <w:lang w:val="sq-AL"/>
        </w:rPr>
        <w:t xml:space="preserve"> rënie </w:t>
      </w:r>
      <w:r>
        <w:rPr>
          <w:rFonts w:asciiTheme="minorHAnsi" w:hAnsiTheme="minorHAnsi"/>
          <w:noProof/>
          <w:lang w:val="sq-AL"/>
        </w:rPr>
        <w:t xml:space="preserve">mujore </w:t>
      </w:r>
      <w:r w:rsidRPr="0065598A">
        <w:rPr>
          <w:rFonts w:asciiTheme="minorHAnsi" w:hAnsiTheme="minorHAnsi"/>
          <w:noProof/>
          <w:lang w:val="sq-AL"/>
        </w:rPr>
        <w:t xml:space="preserve">në vlerë me </w:t>
      </w:r>
      <w:r>
        <w:rPr>
          <w:rFonts w:asciiTheme="minorHAnsi" w:hAnsiTheme="minorHAnsi"/>
          <w:noProof/>
          <w:lang w:val="sq-AL"/>
        </w:rPr>
        <w:t>0</w:t>
      </w:r>
      <w:r w:rsidRPr="0065598A">
        <w:rPr>
          <w:rFonts w:asciiTheme="minorHAnsi" w:hAnsiTheme="minorHAnsi"/>
          <w:noProof/>
          <w:lang w:val="sq-AL"/>
        </w:rPr>
        <w:t>.</w:t>
      </w:r>
      <w:r>
        <w:rPr>
          <w:rFonts w:asciiTheme="minorHAnsi" w:hAnsiTheme="minorHAnsi"/>
          <w:noProof/>
          <w:lang w:val="sq-AL"/>
        </w:rPr>
        <w:t>07</w:t>
      </w:r>
      <w:r w:rsidRPr="0065598A">
        <w:rPr>
          <w:rFonts w:asciiTheme="minorHAnsi" w:hAnsiTheme="minorHAnsi"/>
          <w:noProof/>
          <w:lang w:val="sq-AL"/>
        </w:rPr>
        <w:t>% dhe</w:t>
      </w:r>
      <w:r>
        <w:rPr>
          <w:rFonts w:asciiTheme="minorHAnsi" w:hAnsiTheme="minorHAnsi"/>
          <w:noProof/>
          <w:lang w:val="sq-AL"/>
        </w:rPr>
        <w:t xml:space="preserve"> një</w:t>
      </w:r>
      <w:r w:rsidRPr="0065598A">
        <w:rPr>
          <w:rFonts w:asciiTheme="minorHAnsi" w:hAnsiTheme="minorHAnsi"/>
          <w:noProof/>
          <w:lang w:val="sq-AL"/>
        </w:rPr>
        <w:t xml:space="preserve"> r</w:t>
      </w:r>
      <w:r>
        <w:rPr>
          <w:rFonts w:asciiTheme="minorHAnsi" w:hAnsiTheme="minorHAnsi"/>
          <w:noProof/>
          <w:lang w:val="sq-AL"/>
        </w:rPr>
        <w:t>ënie</w:t>
      </w:r>
      <w:r w:rsidRPr="0065598A">
        <w:rPr>
          <w:rFonts w:asciiTheme="minorHAnsi" w:hAnsiTheme="minorHAnsi"/>
          <w:noProof/>
          <w:lang w:val="sq-AL"/>
        </w:rPr>
        <w:t xml:space="preserve"> me 0.7</w:t>
      </w:r>
      <w:r>
        <w:rPr>
          <w:rFonts w:asciiTheme="minorHAnsi" w:hAnsiTheme="minorHAnsi"/>
          <w:noProof/>
          <w:lang w:val="sq-AL"/>
        </w:rPr>
        <w:t>2</w:t>
      </w:r>
      <w:r w:rsidRPr="0065598A">
        <w:rPr>
          <w:rFonts w:asciiTheme="minorHAnsi" w:hAnsiTheme="minorHAnsi"/>
          <w:noProof/>
          <w:lang w:val="sq-AL"/>
        </w:rPr>
        <w:t>%</w:t>
      </w:r>
      <w:r>
        <w:rPr>
          <w:rFonts w:asciiTheme="minorHAnsi" w:hAnsiTheme="minorHAnsi"/>
          <w:noProof/>
          <w:lang w:val="sq-AL"/>
        </w:rPr>
        <w:t xml:space="preserve"> në terma vjetore</w:t>
      </w:r>
      <w:r w:rsidRPr="0065598A">
        <w:rPr>
          <w:rFonts w:asciiTheme="minorHAnsi" w:hAnsiTheme="minorHAnsi"/>
          <w:noProof/>
          <w:lang w:val="sq-AL"/>
        </w:rPr>
        <w:t>. Kursi mesatar i këmbimit të lekut kundrejt dollarit amerikan në muajin maj arriti në 1</w:t>
      </w:r>
      <w:r>
        <w:rPr>
          <w:rFonts w:asciiTheme="minorHAnsi" w:hAnsiTheme="minorHAnsi"/>
          <w:noProof/>
          <w:lang w:val="sq-AL"/>
        </w:rPr>
        <w:t>01</w:t>
      </w:r>
      <w:r w:rsidRPr="0065598A">
        <w:rPr>
          <w:rFonts w:asciiTheme="minorHAnsi" w:hAnsiTheme="minorHAnsi"/>
          <w:noProof/>
          <w:lang w:val="sq-AL"/>
        </w:rPr>
        <w:t>.</w:t>
      </w:r>
      <w:r>
        <w:rPr>
          <w:rFonts w:asciiTheme="minorHAnsi" w:hAnsiTheme="minorHAnsi"/>
          <w:noProof/>
          <w:lang w:val="sq-AL"/>
        </w:rPr>
        <w:t>24</w:t>
      </w:r>
      <w:r w:rsidRPr="0065598A">
        <w:rPr>
          <w:rFonts w:asciiTheme="minorHAnsi" w:hAnsiTheme="minorHAnsi"/>
          <w:noProof/>
          <w:lang w:val="sq-AL"/>
        </w:rPr>
        <w:t xml:space="preserve"> lekë/dollar amerikan duke shënuar </w:t>
      </w:r>
      <w:r>
        <w:rPr>
          <w:rFonts w:asciiTheme="minorHAnsi" w:hAnsiTheme="minorHAnsi"/>
          <w:noProof/>
          <w:lang w:val="sq-AL"/>
        </w:rPr>
        <w:t xml:space="preserve">një </w:t>
      </w:r>
      <w:r w:rsidRPr="0065598A">
        <w:rPr>
          <w:rFonts w:asciiTheme="minorHAnsi" w:hAnsiTheme="minorHAnsi"/>
          <w:noProof/>
          <w:lang w:val="sq-AL"/>
        </w:rPr>
        <w:t xml:space="preserve">rënie </w:t>
      </w:r>
      <w:r>
        <w:rPr>
          <w:rFonts w:asciiTheme="minorHAnsi" w:hAnsiTheme="minorHAnsi"/>
          <w:noProof/>
          <w:lang w:val="sq-AL"/>
        </w:rPr>
        <w:t xml:space="preserve">mujore </w:t>
      </w:r>
      <w:r w:rsidRPr="0065598A">
        <w:rPr>
          <w:rFonts w:asciiTheme="minorHAnsi" w:hAnsiTheme="minorHAnsi"/>
          <w:noProof/>
          <w:lang w:val="sq-AL"/>
        </w:rPr>
        <w:t>me 1.</w:t>
      </w:r>
      <w:r>
        <w:rPr>
          <w:rFonts w:asciiTheme="minorHAnsi" w:hAnsiTheme="minorHAnsi"/>
          <w:noProof/>
          <w:lang w:val="sq-AL"/>
        </w:rPr>
        <w:t>6</w:t>
      </w:r>
      <w:r w:rsidRPr="0065598A">
        <w:rPr>
          <w:rFonts w:asciiTheme="minorHAnsi" w:hAnsiTheme="minorHAnsi"/>
          <w:noProof/>
          <w:lang w:val="sq-AL"/>
        </w:rPr>
        <w:t>1% dhe një r</w:t>
      </w:r>
      <w:r>
        <w:rPr>
          <w:rFonts w:asciiTheme="minorHAnsi" w:hAnsiTheme="minorHAnsi"/>
          <w:noProof/>
          <w:lang w:val="sq-AL"/>
        </w:rPr>
        <w:t>ënie vjetore</w:t>
      </w:r>
      <w:r w:rsidRPr="0065598A">
        <w:rPr>
          <w:rFonts w:asciiTheme="minorHAnsi" w:hAnsiTheme="minorHAnsi"/>
          <w:noProof/>
          <w:lang w:val="sq-AL"/>
        </w:rPr>
        <w:t xml:space="preserve"> me </w:t>
      </w:r>
      <w:r>
        <w:rPr>
          <w:rFonts w:asciiTheme="minorHAnsi" w:hAnsiTheme="minorHAnsi"/>
          <w:noProof/>
          <w:lang w:val="sq-AL"/>
        </w:rPr>
        <w:t>11</w:t>
      </w:r>
      <w:r w:rsidRPr="0065598A">
        <w:rPr>
          <w:rFonts w:asciiTheme="minorHAnsi" w:hAnsiTheme="minorHAnsi"/>
          <w:noProof/>
          <w:lang w:val="sq-AL"/>
        </w:rPr>
        <w:t>.</w:t>
      </w:r>
      <w:r>
        <w:rPr>
          <w:rFonts w:asciiTheme="minorHAnsi" w:hAnsiTheme="minorHAnsi"/>
          <w:noProof/>
          <w:lang w:val="sq-AL"/>
        </w:rPr>
        <w:t>04</w:t>
      </w:r>
      <w:r w:rsidRPr="0065598A">
        <w:rPr>
          <w:rFonts w:asciiTheme="minorHAnsi" w:hAnsiTheme="minorHAnsi"/>
          <w:noProof/>
          <w:lang w:val="sq-AL"/>
        </w:rPr>
        <w:t>%</w:t>
      </w:r>
      <w:r>
        <w:rPr>
          <w:rFonts w:asciiTheme="minorHAnsi" w:hAnsiTheme="minorHAnsi"/>
          <w:noProof/>
          <w:lang w:val="sq-AL"/>
        </w:rPr>
        <w:t>.</w:t>
      </w:r>
      <w:r w:rsidRPr="0065598A">
        <w:rPr>
          <w:rFonts w:asciiTheme="minorHAnsi" w:hAnsiTheme="minorHAnsi"/>
          <w:noProof/>
          <w:lang w:val="sq-AL"/>
        </w:rPr>
        <w:t xml:space="preserve"> </w:t>
      </w:r>
    </w:p>
    <w:p w:rsidR="00B31CF7" w:rsidRPr="0065598A" w:rsidRDefault="00B31CF7" w:rsidP="00B31CF7">
      <w:pPr>
        <w:jc w:val="both"/>
        <w:rPr>
          <w:rFonts w:ascii="Calibri" w:hAnsi="Calibri"/>
          <w:noProof/>
          <w:sz w:val="8"/>
          <w:lang w:val="sq-AL"/>
        </w:rPr>
      </w:pPr>
    </w:p>
    <w:p w:rsidR="00B31CF7" w:rsidRPr="002C40CB" w:rsidRDefault="00B31CF7" w:rsidP="00B31CF7">
      <w:pPr>
        <w:keepNext/>
        <w:jc w:val="both"/>
        <w:rPr>
          <w:rFonts w:ascii="Calibri" w:hAnsi="Calibri"/>
          <w:i/>
          <w:sz w:val="22"/>
          <w:lang w:val="sq-AL"/>
        </w:rPr>
      </w:pPr>
      <w:bookmarkStart w:id="111" w:name="_Toc76470070"/>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3C5F40" w:rsidRPr="002C40CB">
        <w:rPr>
          <w:rFonts w:ascii="Calibri" w:hAnsi="Calibri"/>
          <w:i/>
          <w:noProof/>
          <w:sz w:val="22"/>
          <w:lang w:val="sq-AL"/>
        </w:rPr>
        <w:t>16</w:t>
      </w:r>
      <w:r w:rsidRPr="002C40CB">
        <w:rPr>
          <w:rFonts w:ascii="Calibri" w:hAnsi="Calibri"/>
          <w:i/>
          <w:sz w:val="22"/>
          <w:lang w:val="sq-AL"/>
        </w:rPr>
        <w:fldChar w:fldCharType="end"/>
      </w:r>
      <w:r w:rsidRPr="002C40CB">
        <w:rPr>
          <w:rFonts w:ascii="Calibri" w:hAnsi="Calibri"/>
          <w:i/>
          <w:sz w:val="22"/>
          <w:lang w:val="sq-AL"/>
        </w:rPr>
        <w:t>: Ecuria e kursit të këmbimit 2015-2021</w:t>
      </w:r>
      <w:bookmarkEnd w:id="111"/>
    </w:p>
    <w:p w:rsidR="00B31CF7" w:rsidRDefault="00B31CF7" w:rsidP="00B31CF7">
      <w:pPr>
        <w:spacing w:before="120" w:after="120" w:line="276" w:lineRule="auto"/>
        <w:jc w:val="center"/>
        <w:rPr>
          <w:rFonts w:ascii="Calibri" w:hAnsi="Calibri"/>
          <w:noProof/>
          <w:lang w:val="sq-AL"/>
        </w:rPr>
      </w:pPr>
      <w:r w:rsidRPr="00B02CEC">
        <w:rPr>
          <w:noProof/>
        </w:rPr>
        <w:drawing>
          <wp:inline distT="0" distB="0" distL="0" distR="0" wp14:anchorId="4BB5C284" wp14:editId="16F41666">
            <wp:extent cx="6113039" cy="1249680"/>
            <wp:effectExtent l="0" t="0" r="254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16637" cy="1250416"/>
                    </a:xfrm>
                    <a:prstGeom prst="rect">
                      <a:avLst/>
                    </a:prstGeom>
                    <a:noFill/>
                    <a:ln>
                      <a:noFill/>
                    </a:ln>
                  </pic:spPr>
                </pic:pic>
              </a:graphicData>
            </a:graphic>
          </wp:inline>
        </w:drawing>
      </w:r>
    </w:p>
    <w:p w:rsidR="00AD66E2" w:rsidRDefault="00AD66E2" w:rsidP="001F417D">
      <w:pPr>
        <w:spacing w:before="120" w:after="120" w:line="276" w:lineRule="auto"/>
        <w:jc w:val="center"/>
        <w:rPr>
          <w:rFonts w:ascii="Calibri" w:hAnsi="Calibri"/>
          <w:noProof/>
          <w:lang w:val="sq-AL"/>
        </w:rPr>
      </w:pPr>
    </w:p>
    <w:p w:rsidR="009224AF" w:rsidRDefault="009224AF" w:rsidP="001F417D">
      <w:pPr>
        <w:spacing w:before="120" w:after="120" w:line="276" w:lineRule="auto"/>
        <w:jc w:val="center"/>
        <w:rPr>
          <w:rFonts w:ascii="Calibri" w:hAnsi="Calibri"/>
          <w:noProof/>
          <w:lang w:val="sq-AL"/>
        </w:rPr>
      </w:pPr>
    </w:p>
    <w:p w:rsidR="009224AF" w:rsidRDefault="009224AF" w:rsidP="001F417D">
      <w:pPr>
        <w:spacing w:before="120" w:after="120" w:line="276" w:lineRule="auto"/>
        <w:jc w:val="center"/>
        <w:rPr>
          <w:rFonts w:ascii="Calibri" w:hAnsi="Calibri"/>
          <w:noProof/>
          <w:lang w:val="sq-AL"/>
        </w:rPr>
      </w:pPr>
    </w:p>
    <w:p w:rsidR="009224AF" w:rsidRDefault="009224AF" w:rsidP="001F417D">
      <w:pPr>
        <w:spacing w:before="120" w:after="120" w:line="276" w:lineRule="auto"/>
        <w:jc w:val="center"/>
        <w:rPr>
          <w:rFonts w:ascii="Calibri" w:hAnsi="Calibri"/>
          <w:noProof/>
          <w:lang w:val="sq-AL"/>
        </w:rPr>
      </w:pPr>
    </w:p>
    <w:p w:rsidR="009224AF" w:rsidRDefault="009224AF" w:rsidP="001F417D">
      <w:pPr>
        <w:spacing w:before="120" w:after="120" w:line="276" w:lineRule="auto"/>
        <w:jc w:val="center"/>
        <w:rPr>
          <w:rFonts w:ascii="Calibri" w:hAnsi="Calibri"/>
          <w:noProof/>
          <w:lang w:val="sq-AL"/>
        </w:rPr>
      </w:pPr>
    </w:p>
    <w:p w:rsidR="00365407" w:rsidRPr="0065598A" w:rsidRDefault="00365407" w:rsidP="001F417D">
      <w:pPr>
        <w:spacing w:before="120" w:after="120" w:line="276" w:lineRule="auto"/>
        <w:jc w:val="center"/>
        <w:rPr>
          <w:rFonts w:ascii="Calibri" w:hAnsi="Calibri"/>
          <w:noProof/>
          <w:lang w:val="sq-AL"/>
        </w:rPr>
      </w:pPr>
    </w:p>
    <w:p w:rsidR="00527686" w:rsidRPr="0065598A" w:rsidRDefault="00E05051" w:rsidP="002334F6">
      <w:pPr>
        <w:pStyle w:val="Heading2"/>
      </w:pPr>
      <w:bookmarkStart w:id="112" w:name="_Toc76470042"/>
      <w:r w:rsidRPr="00E923F7">
        <w:lastRenderedPageBreak/>
        <w:t>VI.2</w:t>
      </w:r>
      <w:r w:rsidRPr="00E923F7">
        <w:tab/>
      </w:r>
      <w:bookmarkStart w:id="113" w:name="_Toc11134224"/>
      <w:r w:rsidR="00527686" w:rsidRPr="00E923F7">
        <w:t>Treguesit kryesorë të performancës sipas ministrive të linjës</w:t>
      </w:r>
      <w:bookmarkEnd w:id="113"/>
      <w:r w:rsidR="00527686" w:rsidRPr="00E923F7">
        <w:t>, 4M I 20</w:t>
      </w:r>
      <w:r w:rsidR="00B345A4" w:rsidRPr="00E923F7">
        <w:t>2</w:t>
      </w:r>
      <w:r w:rsidR="00990CDF">
        <w:t>1</w:t>
      </w:r>
      <w:bookmarkEnd w:id="112"/>
      <w:r w:rsidR="00527686" w:rsidRPr="0065598A">
        <w:t xml:space="preserve"> </w:t>
      </w:r>
    </w:p>
    <w:p w:rsidR="00990CDF" w:rsidRPr="00BF005F" w:rsidRDefault="00990CDF" w:rsidP="00990CDF">
      <w:pPr>
        <w:spacing w:before="240" w:line="276" w:lineRule="auto"/>
        <w:jc w:val="both"/>
        <w:rPr>
          <w:rFonts w:asciiTheme="minorHAnsi" w:eastAsia="MS Mincho" w:hAnsiTheme="minorHAnsi"/>
          <w:lang w:val="sq-AL"/>
        </w:rPr>
      </w:pPr>
      <w:bookmarkStart w:id="114" w:name="_Toc11135126"/>
      <w:bookmarkStart w:id="115" w:name="_Toc10033295"/>
      <w:r w:rsidRPr="00BF005F">
        <w:rPr>
          <w:rFonts w:asciiTheme="minorHAnsi" w:eastAsia="MS Mincho" w:hAnsiTheme="minorHAnsi"/>
          <w:lang w:val="sq-AL"/>
        </w:rPr>
        <w:t xml:space="preserve">Buxheti i vitit 2021, ka financuar 131 programe buxhetore si edhe buxhetin e 61 bashkive dhe 12 qarqeve. Realizimi i buxhetit për 5 mujorin e vitit 2021 për ministritë dhe disa nga institucionet qendrore kryesore, paraqitet në tabelën e mëposhtme: </w:t>
      </w:r>
      <w:bookmarkStart w:id="116" w:name="_Toc10033294"/>
      <w:bookmarkEnd w:id="116"/>
    </w:p>
    <w:p w:rsidR="00990CDF" w:rsidRPr="00BF005F" w:rsidRDefault="00990CDF" w:rsidP="00E34706">
      <w:pPr>
        <w:spacing w:before="240"/>
        <w:rPr>
          <w:rFonts w:asciiTheme="minorHAnsi" w:hAnsiTheme="minorHAnsi"/>
          <w:i/>
          <w:noProof/>
        </w:rPr>
      </w:pPr>
      <w:bookmarkStart w:id="117" w:name="_Toc76470071"/>
      <w:r w:rsidRPr="00BF005F">
        <w:rPr>
          <w:rFonts w:asciiTheme="minorHAnsi" w:hAnsiTheme="minorHAnsi"/>
          <w:i/>
          <w:noProof/>
        </w:rPr>
        <w:t xml:space="preserve">Tabela </w:t>
      </w:r>
      <w:r w:rsidRPr="00BF005F">
        <w:rPr>
          <w:rFonts w:asciiTheme="minorHAnsi" w:hAnsiTheme="minorHAnsi"/>
          <w:i/>
          <w:noProof/>
        </w:rPr>
        <w:fldChar w:fldCharType="begin"/>
      </w:r>
      <w:r w:rsidRPr="00BF005F">
        <w:rPr>
          <w:rFonts w:asciiTheme="minorHAnsi" w:hAnsiTheme="minorHAnsi"/>
          <w:i/>
          <w:noProof/>
        </w:rPr>
        <w:instrText xml:space="preserve"> SEQ Tabela \* ARABIC </w:instrText>
      </w:r>
      <w:r w:rsidRPr="00BF005F">
        <w:rPr>
          <w:rFonts w:asciiTheme="minorHAnsi" w:hAnsiTheme="minorHAnsi"/>
          <w:i/>
          <w:noProof/>
        </w:rPr>
        <w:fldChar w:fldCharType="separate"/>
      </w:r>
      <w:r w:rsidR="003C5F40">
        <w:rPr>
          <w:rFonts w:asciiTheme="minorHAnsi" w:hAnsiTheme="minorHAnsi"/>
          <w:i/>
          <w:noProof/>
        </w:rPr>
        <w:t>17</w:t>
      </w:r>
      <w:r w:rsidRPr="00BF005F">
        <w:rPr>
          <w:rFonts w:asciiTheme="minorHAnsi" w:hAnsiTheme="minorHAnsi"/>
          <w:i/>
          <w:noProof/>
        </w:rPr>
        <w:fldChar w:fldCharType="end"/>
      </w:r>
      <w:r w:rsidRPr="00BF005F">
        <w:rPr>
          <w:rFonts w:asciiTheme="minorHAnsi" w:hAnsiTheme="minorHAnsi"/>
          <w:i/>
          <w:noProof/>
        </w:rPr>
        <w:t>: Treguesit kryesorë të performancës sipas ministrive të linjës, 5M I 2021</w:t>
      </w:r>
      <w:bookmarkEnd w:id="117"/>
    </w:p>
    <w:p w:rsidR="00990CDF" w:rsidRPr="00BF005F" w:rsidRDefault="00990CDF" w:rsidP="00990CDF">
      <w:pPr>
        <w:rPr>
          <w:rFonts w:asciiTheme="minorHAnsi" w:hAnsiTheme="minorHAnsi"/>
          <w:i/>
          <w:noProof/>
        </w:rPr>
      </w:pP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r>
      <w:r w:rsidRPr="00BF005F">
        <w:rPr>
          <w:rFonts w:asciiTheme="minorHAnsi" w:hAnsiTheme="minorHAnsi"/>
          <w:i/>
          <w:noProof/>
        </w:rPr>
        <w:tab/>
        <w:t xml:space="preserve">në mijë lekë </w:t>
      </w:r>
    </w:p>
    <w:tbl>
      <w:tblPr>
        <w:tblW w:w="10401" w:type="dxa"/>
        <w:jc w:val="center"/>
        <w:tblLook w:val="04A0" w:firstRow="1" w:lastRow="0" w:firstColumn="1" w:lastColumn="0" w:noHBand="0" w:noVBand="1"/>
      </w:tblPr>
      <w:tblGrid>
        <w:gridCol w:w="3523"/>
        <w:gridCol w:w="1228"/>
        <w:gridCol w:w="1228"/>
        <w:gridCol w:w="1228"/>
        <w:gridCol w:w="1150"/>
        <w:gridCol w:w="1035"/>
        <w:gridCol w:w="1035"/>
      </w:tblGrid>
      <w:tr w:rsidR="00E7447D" w:rsidRPr="00E34706" w:rsidTr="00E7447D">
        <w:trPr>
          <w:trHeight w:val="743"/>
          <w:jc w:val="center"/>
        </w:trPr>
        <w:tc>
          <w:tcPr>
            <w:tcW w:w="3523" w:type="dxa"/>
            <w:tcBorders>
              <w:top w:val="single" w:sz="4" w:space="0" w:color="auto"/>
              <w:left w:val="single" w:sz="4" w:space="0" w:color="auto"/>
              <w:bottom w:val="nil"/>
              <w:right w:val="single" w:sz="4" w:space="0" w:color="4F81BD"/>
            </w:tcBorders>
            <w:shd w:val="clear" w:color="000000" w:fill="B7DEE8"/>
            <w:noWrap/>
            <w:vAlign w:val="center"/>
            <w:hideMark/>
          </w:tcPr>
          <w:p w:rsidR="00990CDF" w:rsidRPr="00E34706" w:rsidRDefault="00990CDF" w:rsidP="006217C0">
            <w:pPr>
              <w:jc w:val="center"/>
              <w:rPr>
                <w:rFonts w:asciiTheme="minorHAnsi" w:hAnsiTheme="minorHAnsi"/>
                <w:b/>
                <w:bCs/>
                <w:color w:val="000000"/>
                <w:sz w:val="18"/>
                <w:lang w:val="sq-AL"/>
              </w:rPr>
            </w:pPr>
            <w:r w:rsidRPr="00E34706">
              <w:rPr>
                <w:rFonts w:asciiTheme="minorHAnsi" w:hAnsiTheme="minorHAnsi"/>
                <w:b/>
                <w:bCs/>
                <w:color w:val="000000"/>
                <w:sz w:val="18"/>
                <w:lang w:val="sq-AL"/>
              </w:rPr>
              <w:t>Institucionet</w:t>
            </w:r>
          </w:p>
        </w:tc>
        <w:tc>
          <w:tcPr>
            <w:tcW w:w="1228" w:type="dxa"/>
            <w:tcBorders>
              <w:top w:val="single" w:sz="4" w:space="0" w:color="auto"/>
              <w:left w:val="single" w:sz="4" w:space="0" w:color="4F81BD"/>
              <w:bottom w:val="nil"/>
              <w:right w:val="single" w:sz="4" w:space="0" w:color="4F81BD"/>
            </w:tcBorders>
            <w:shd w:val="clear" w:color="000000" w:fill="B7DEE8"/>
            <w:noWrap/>
            <w:vAlign w:val="center"/>
            <w:hideMark/>
          </w:tcPr>
          <w:p w:rsidR="00990CDF" w:rsidRPr="00E34706" w:rsidRDefault="00990CDF" w:rsidP="006217C0">
            <w:pPr>
              <w:rPr>
                <w:rFonts w:asciiTheme="minorHAnsi" w:hAnsiTheme="minorHAnsi"/>
                <w:b/>
                <w:bCs/>
                <w:color w:val="000000"/>
                <w:sz w:val="18"/>
                <w:lang w:val="sq-AL"/>
              </w:rPr>
            </w:pPr>
            <w:r w:rsidRPr="00E34706">
              <w:rPr>
                <w:rFonts w:asciiTheme="minorHAnsi" w:hAnsiTheme="minorHAnsi"/>
                <w:b/>
                <w:bCs/>
                <w:color w:val="000000"/>
                <w:sz w:val="18"/>
                <w:lang w:val="sq-AL"/>
              </w:rPr>
              <w:t xml:space="preserve">      2021</w:t>
            </w:r>
          </w:p>
        </w:tc>
        <w:tc>
          <w:tcPr>
            <w:tcW w:w="1228" w:type="dxa"/>
            <w:tcBorders>
              <w:top w:val="single" w:sz="4" w:space="0" w:color="auto"/>
              <w:left w:val="single" w:sz="4" w:space="0" w:color="4F81BD"/>
              <w:bottom w:val="nil"/>
              <w:right w:val="single" w:sz="4" w:space="0" w:color="4F81BD"/>
            </w:tcBorders>
            <w:shd w:val="clear" w:color="000000" w:fill="B7DEE8"/>
            <w:noWrap/>
            <w:vAlign w:val="center"/>
            <w:hideMark/>
          </w:tcPr>
          <w:p w:rsidR="00990CDF" w:rsidRPr="00E34706" w:rsidRDefault="00990CDF" w:rsidP="006217C0">
            <w:pPr>
              <w:rPr>
                <w:rFonts w:asciiTheme="minorHAnsi" w:hAnsiTheme="minorHAnsi"/>
                <w:b/>
                <w:bCs/>
                <w:color w:val="000000"/>
                <w:sz w:val="18"/>
                <w:lang w:val="sq-AL"/>
              </w:rPr>
            </w:pPr>
            <w:r w:rsidRPr="00E34706">
              <w:rPr>
                <w:rFonts w:asciiTheme="minorHAnsi" w:hAnsiTheme="minorHAnsi"/>
                <w:b/>
                <w:bCs/>
                <w:color w:val="000000"/>
                <w:sz w:val="18"/>
                <w:lang w:val="sq-AL"/>
              </w:rPr>
              <w:t xml:space="preserve">     2021</w:t>
            </w:r>
          </w:p>
        </w:tc>
        <w:tc>
          <w:tcPr>
            <w:tcW w:w="1228" w:type="dxa"/>
            <w:tcBorders>
              <w:top w:val="single" w:sz="4" w:space="0" w:color="auto"/>
              <w:left w:val="single" w:sz="4" w:space="0" w:color="4F81BD"/>
              <w:bottom w:val="nil"/>
              <w:right w:val="single" w:sz="4" w:space="0" w:color="4F81BD"/>
            </w:tcBorders>
            <w:shd w:val="clear" w:color="000000" w:fill="B7DEE8"/>
            <w:noWrap/>
            <w:vAlign w:val="center"/>
            <w:hideMark/>
          </w:tcPr>
          <w:p w:rsidR="00990CDF" w:rsidRPr="00E34706" w:rsidRDefault="00990CDF" w:rsidP="006217C0">
            <w:pPr>
              <w:rPr>
                <w:rFonts w:asciiTheme="minorHAnsi" w:hAnsiTheme="minorHAnsi"/>
                <w:b/>
                <w:bCs/>
                <w:color w:val="000000"/>
                <w:sz w:val="18"/>
                <w:lang w:val="sq-AL"/>
              </w:rPr>
            </w:pPr>
            <w:r w:rsidRPr="00E34706">
              <w:rPr>
                <w:rFonts w:asciiTheme="minorHAnsi" w:hAnsiTheme="minorHAnsi"/>
                <w:b/>
                <w:bCs/>
                <w:color w:val="000000"/>
                <w:sz w:val="18"/>
                <w:lang w:val="sq-AL"/>
              </w:rPr>
              <w:t xml:space="preserve">      2021</w:t>
            </w:r>
          </w:p>
        </w:tc>
        <w:tc>
          <w:tcPr>
            <w:tcW w:w="1150" w:type="dxa"/>
            <w:tcBorders>
              <w:top w:val="single" w:sz="4" w:space="0" w:color="auto"/>
              <w:left w:val="single" w:sz="4" w:space="0" w:color="4F81BD"/>
              <w:bottom w:val="nil"/>
              <w:right w:val="single" w:sz="4" w:space="0" w:color="4F81BD"/>
            </w:tcBorders>
            <w:shd w:val="clear" w:color="000000" w:fill="B7DEE8"/>
            <w:noWrap/>
            <w:vAlign w:val="center"/>
            <w:hideMark/>
          </w:tcPr>
          <w:p w:rsidR="00990CDF" w:rsidRPr="00E34706" w:rsidRDefault="00990CDF" w:rsidP="006217C0">
            <w:pPr>
              <w:rPr>
                <w:rFonts w:asciiTheme="minorHAnsi" w:hAnsiTheme="minorHAnsi"/>
                <w:b/>
                <w:bCs/>
                <w:color w:val="000000"/>
                <w:sz w:val="18"/>
                <w:lang w:val="sq-AL"/>
              </w:rPr>
            </w:pPr>
            <w:r w:rsidRPr="00E34706">
              <w:rPr>
                <w:rFonts w:asciiTheme="minorHAnsi" w:hAnsiTheme="minorHAnsi"/>
                <w:b/>
                <w:bCs/>
                <w:color w:val="000000"/>
                <w:sz w:val="18"/>
                <w:lang w:val="sq-AL"/>
              </w:rPr>
              <w:t xml:space="preserve">     Total</w:t>
            </w:r>
          </w:p>
        </w:tc>
        <w:tc>
          <w:tcPr>
            <w:tcW w:w="1022" w:type="dxa"/>
            <w:tcBorders>
              <w:top w:val="single" w:sz="4" w:space="0" w:color="auto"/>
              <w:left w:val="single" w:sz="4" w:space="0" w:color="4F81BD"/>
              <w:bottom w:val="nil"/>
              <w:right w:val="single" w:sz="4" w:space="0" w:color="4F81BD"/>
            </w:tcBorders>
            <w:shd w:val="clear" w:color="000000" w:fill="B7DEE8"/>
            <w:vAlign w:val="bottom"/>
            <w:hideMark/>
          </w:tcPr>
          <w:p w:rsidR="00990CDF" w:rsidRPr="00E34706" w:rsidRDefault="00990CDF" w:rsidP="006217C0">
            <w:pPr>
              <w:jc w:val="center"/>
              <w:rPr>
                <w:rFonts w:asciiTheme="minorHAnsi" w:hAnsiTheme="minorHAnsi"/>
                <w:b/>
                <w:bCs/>
                <w:color w:val="000000"/>
                <w:sz w:val="18"/>
                <w:lang w:val="sq-AL"/>
              </w:rPr>
            </w:pPr>
            <w:r w:rsidRPr="00E34706">
              <w:rPr>
                <w:rFonts w:asciiTheme="minorHAnsi" w:hAnsiTheme="minorHAnsi"/>
                <w:b/>
                <w:bCs/>
                <w:color w:val="000000"/>
                <w:sz w:val="18"/>
                <w:lang w:val="sq-AL"/>
              </w:rPr>
              <w:t>Shpenzime korrente</w:t>
            </w:r>
          </w:p>
        </w:tc>
        <w:tc>
          <w:tcPr>
            <w:tcW w:w="1022" w:type="dxa"/>
            <w:tcBorders>
              <w:top w:val="single" w:sz="4" w:space="0" w:color="auto"/>
              <w:left w:val="single" w:sz="4" w:space="0" w:color="4F81BD"/>
              <w:bottom w:val="nil"/>
              <w:right w:val="single" w:sz="4" w:space="0" w:color="auto"/>
            </w:tcBorders>
            <w:shd w:val="clear" w:color="000000" w:fill="B7DEE8"/>
            <w:vAlign w:val="bottom"/>
            <w:hideMark/>
          </w:tcPr>
          <w:p w:rsidR="00990CDF" w:rsidRPr="00E34706" w:rsidRDefault="00990CDF" w:rsidP="006217C0">
            <w:pPr>
              <w:jc w:val="center"/>
              <w:rPr>
                <w:rFonts w:asciiTheme="minorHAnsi" w:hAnsiTheme="minorHAnsi"/>
                <w:b/>
                <w:bCs/>
                <w:color w:val="000000"/>
                <w:sz w:val="18"/>
                <w:lang w:val="sq-AL"/>
              </w:rPr>
            </w:pPr>
            <w:r w:rsidRPr="00E34706">
              <w:rPr>
                <w:rFonts w:asciiTheme="minorHAnsi" w:hAnsiTheme="minorHAnsi"/>
                <w:b/>
                <w:bCs/>
                <w:color w:val="000000"/>
                <w:sz w:val="18"/>
                <w:lang w:val="sq-AL"/>
              </w:rPr>
              <w:t>Shpenzime kapitale</w:t>
            </w:r>
          </w:p>
        </w:tc>
      </w:tr>
      <w:tr w:rsidR="00E7447D" w:rsidRPr="00E34706" w:rsidTr="00E7447D">
        <w:trPr>
          <w:trHeight w:val="589"/>
          <w:jc w:val="center"/>
        </w:trPr>
        <w:tc>
          <w:tcPr>
            <w:tcW w:w="3523" w:type="dxa"/>
            <w:tcBorders>
              <w:top w:val="nil"/>
              <w:left w:val="single" w:sz="4" w:space="0" w:color="auto"/>
              <w:bottom w:val="single" w:sz="4" w:space="0" w:color="auto"/>
              <w:right w:val="single" w:sz="4" w:space="0" w:color="4F81BD"/>
            </w:tcBorders>
            <w:shd w:val="clear" w:color="000000" w:fill="B7DEE8"/>
            <w:noWrap/>
            <w:vAlign w:val="bottom"/>
            <w:hideMark/>
          </w:tcPr>
          <w:p w:rsidR="00990CDF" w:rsidRPr="00E34706" w:rsidRDefault="00990CDF" w:rsidP="006217C0">
            <w:pPr>
              <w:rPr>
                <w:rFonts w:asciiTheme="minorHAnsi" w:hAnsiTheme="minorHAnsi"/>
                <w:b/>
                <w:bCs/>
                <w:color w:val="000000"/>
                <w:sz w:val="18"/>
                <w:lang w:val="sq-AL"/>
              </w:rPr>
            </w:pPr>
            <w:r w:rsidRPr="00E34706">
              <w:rPr>
                <w:rFonts w:asciiTheme="minorHAnsi" w:hAnsiTheme="minorHAnsi"/>
                <w:b/>
                <w:bCs/>
                <w:color w:val="000000"/>
                <w:sz w:val="18"/>
                <w:lang w:val="sq-AL"/>
              </w:rPr>
              <w:t> </w:t>
            </w:r>
          </w:p>
        </w:tc>
        <w:tc>
          <w:tcPr>
            <w:tcW w:w="1228" w:type="dxa"/>
            <w:tcBorders>
              <w:top w:val="nil"/>
              <w:left w:val="single" w:sz="4" w:space="0" w:color="4F81BD"/>
              <w:bottom w:val="single" w:sz="4" w:space="0" w:color="auto"/>
              <w:right w:val="single" w:sz="4" w:space="0" w:color="4F81BD"/>
            </w:tcBorders>
            <w:shd w:val="clear" w:color="000000" w:fill="B7DEE8"/>
            <w:noWrap/>
            <w:vAlign w:val="center"/>
            <w:hideMark/>
          </w:tcPr>
          <w:p w:rsidR="00990CDF" w:rsidRPr="00E34706" w:rsidRDefault="00990CDF" w:rsidP="006217C0">
            <w:pPr>
              <w:rPr>
                <w:rFonts w:asciiTheme="minorHAnsi" w:hAnsiTheme="minorHAnsi"/>
                <w:b/>
                <w:bCs/>
                <w:color w:val="000000"/>
                <w:sz w:val="18"/>
                <w:lang w:val="sq-AL"/>
              </w:rPr>
            </w:pPr>
            <w:r w:rsidRPr="00E34706">
              <w:rPr>
                <w:rFonts w:asciiTheme="minorHAnsi" w:hAnsiTheme="minorHAnsi"/>
                <w:b/>
                <w:bCs/>
                <w:color w:val="000000"/>
                <w:sz w:val="18"/>
                <w:lang w:val="sq-AL"/>
              </w:rPr>
              <w:t>Plani Fillestar</w:t>
            </w:r>
          </w:p>
        </w:tc>
        <w:tc>
          <w:tcPr>
            <w:tcW w:w="1228" w:type="dxa"/>
            <w:tcBorders>
              <w:top w:val="nil"/>
              <w:left w:val="single" w:sz="4" w:space="0" w:color="4F81BD"/>
              <w:bottom w:val="single" w:sz="4" w:space="0" w:color="auto"/>
              <w:right w:val="single" w:sz="4" w:space="0" w:color="4F81BD"/>
            </w:tcBorders>
            <w:shd w:val="clear" w:color="000000" w:fill="B7DEE8"/>
            <w:noWrap/>
            <w:vAlign w:val="center"/>
            <w:hideMark/>
          </w:tcPr>
          <w:p w:rsidR="00990CDF" w:rsidRPr="00E34706" w:rsidRDefault="00990CDF" w:rsidP="006217C0">
            <w:pPr>
              <w:jc w:val="center"/>
              <w:rPr>
                <w:rFonts w:asciiTheme="minorHAnsi" w:hAnsiTheme="minorHAnsi"/>
                <w:b/>
                <w:bCs/>
                <w:color w:val="000000"/>
                <w:sz w:val="18"/>
                <w:lang w:val="sq-AL"/>
              </w:rPr>
            </w:pPr>
            <w:r w:rsidRPr="00E34706">
              <w:rPr>
                <w:rFonts w:asciiTheme="minorHAnsi" w:hAnsiTheme="minorHAnsi"/>
                <w:b/>
                <w:bCs/>
                <w:color w:val="000000"/>
                <w:sz w:val="18"/>
                <w:lang w:val="sq-AL"/>
              </w:rPr>
              <w:t>Plani i       Rishikuar</w:t>
            </w:r>
          </w:p>
        </w:tc>
        <w:tc>
          <w:tcPr>
            <w:tcW w:w="1228" w:type="dxa"/>
            <w:tcBorders>
              <w:top w:val="nil"/>
              <w:left w:val="single" w:sz="4" w:space="0" w:color="4F81BD"/>
              <w:bottom w:val="single" w:sz="4" w:space="0" w:color="auto"/>
              <w:right w:val="single" w:sz="4" w:space="0" w:color="4F81BD"/>
            </w:tcBorders>
            <w:shd w:val="clear" w:color="000000" w:fill="B7DEE8"/>
            <w:vAlign w:val="center"/>
            <w:hideMark/>
          </w:tcPr>
          <w:p w:rsidR="00990CDF" w:rsidRPr="00E34706" w:rsidRDefault="00990CDF" w:rsidP="006217C0">
            <w:pPr>
              <w:rPr>
                <w:rFonts w:asciiTheme="minorHAnsi" w:hAnsiTheme="minorHAnsi"/>
                <w:b/>
                <w:bCs/>
                <w:color w:val="000000"/>
                <w:sz w:val="18"/>
                <w:lang w:val="sq-AL"/>
              </w:rPr>
            </w:pPr>
            <w:r w:rsidRPr="00E34706">
              <w:rPr>
                <w:rFonts w:asciiTheme="minorHAnsi" w:hAnsiTheme="minorHAnsi"/>
                <w:b/>
                <w:bCs/>
                <w:color w:val="000000"/>
                <w:sz w:val="18"/>
                <w:lang w:val="sq-AL"/>
              </w:rPr>
              <w:t>Fakti 5 Mujor</w:t>
            </w:r>
          </w:p>
        </w:tc>
        <w:tc>
          <w:tcPr>
            <w:tcW w:w="1150" w:type="dxa"/>
            <w:tcBorders>
              <w:top w:val="nil"/>
              <w:left w:val="single" w:sz="4" w:space="0" w:color="4F81BD"/>
              <w:bottom w:val="single" w:sz="4" w:space="0" w:color="auto"/>
              <w:right w:val="single" w:sz="4" w:space="0" w:color="4F81BD"/>
            </w:tcBorders>
            <w:shd w:val="clear" w:color="000000" w:fill="B7DEE8"/>
            <w:noWrap/>
            <w:vAlign w:val="center"/>
            <w:hideMark/>
          </w:tcPr>
          <w:p w:rsidR="00990CDF" w:rsidRPr="00E34706" w:rsidRDefault="00990CDF" w:rsidP="006217C0">
            <w:pPr>
              <w:jc w:val="center"/>
              <w:rPr>
                <w:rFonts w:asciiTheme="minorHAnsi" w:hAnsiTheme="minorHAnsi"/>
                <w:b/>
                <w:bCs/>
                <w:color w:val="000000"/>
                <w:sz w:val="18"/>
                <w:lang w:val="sq-AL"/>
              </w:rPr>
            </w:pPr>
            <w:r w:rsidRPr="00E34706">
              <w:rPr>
                <w:rFonts w:asciiTheme="minorHAnsi" w:hAnsiTheme="minorHAnsi"/>
                <w:b/>
                <w:bCs/>
                <w:color w:val="000000"/>
                <w:sz w:val="18"/>
                <w:lang w:val="sq-AL"/>
              </w:rPr>
              <w:t>Fakt/Plan Vjetor 2021</w:t>
            </w:r>
          </w:p>
        </w:tc>
        <w:tc>
          <w:tcPr>
            <w:tcW w:w="1022" w:type="dxa"/>
            <w:tcBorders>
              <w:top w:val="nil"/>
              <w:left w:val="single" w:sz="4" w:space="0" w:color="4F81BD"/>
              <w:bottom w:val="single" w:sz="4" w:space="0" w:color="auto"/>
              <w:right w:val="single" w:sz="4" w:space="0" w:color="4F81BD"/>
            </w:tcBorders>
            <w:shd w:val="clear" w:color="000000" w:fill="B7DEE8"/>
            <w:noWrap/>
            <w:vAlign w:val="center"/>
            <w:hideMark/>
          </w:tcPr>
          <w:p w:rsidR="00990CDF" w:rsidRPr="00E34706" w:rsidRDefault="00990CDF" w:rsidP="006217C0">
            <w:pPr>
              <w:jc w:val="center"/>
              <w:rPr>
                <w:rFonts w:asciiTheme="minorHAnsi" w:hAnsiTheme="minorHAnsi"/>
                <w:b/>
                <w:bCs/>
                <w:color w:val="000000"/>
                <w:sz w:val="18"/>
                <w:lang w:val="sq-AL"/>
              </w:rPr>
            </w:pPr>
            <w:r w:rsidRPr="00E34706">
              <w:rPr>
                <w:rFonts w:asciiTheme="minorHAnsi" w:hAnsiTheme="minorHAnsi"/>
                <w:b/>
                <w:bCs/>
                <w:color w:val="000000"/>
                <w:sz w:val="18"/>
                <w:lang w:val="sq-AL"/>
              </w:rPr>
              <w:t>Fakt/Plan 2021</w:t>
            </w:r>
          </w:p>
        </w:tc>
        <w:tc>
          <w:tcPr>
            <w:tcW w:w="1022" w:type="dxa"/>
            <w:tcBorders>
              <w:top w:val="nil"/>
              <w:left w:val="single" w:sz="4" w:space="0" w:color="4F81BD"/>
              <w:bottom w:val="single" w:sz="4" w:space="0" w:color="auto"/>
              <w:right w:val="single" w:sz="4" w:space="0" w:color="auto"/>
            </w:tcBorders>
            <w:shd w:val="clear" w:color="000000" w:fill="B7DEE8"/>
            <w:noWrap/>
            <w:vAlign w:val="center"/>
            <w:hideMark/>
          </w:tcPr>
          <w:p w:rsidR="00990CDF" w:rsidRPr="00E34706" w:rsidRDefault="00990CDF" w:rsidP="006217C0">
            <w:pPr>
              <w:jc w:val="center"/>
              <w:rPr>
                <w:rFonts w:asciiTheme="minorHAnsi" w:hAnsiTheme="minorHAnsi"/>
                <w:b/>
                <w:bCs/>
                <w:color w:val="000000"/>
                <w:sz w:val="18"/>
                <w:lang w:val="sq-AL"/>
              </w:rPr>
            </w:pPr>
            <w:r w:rsidRPr="00E34706">
              <w:rPr>
                <w:rFonts w:asciiTheme="minorHAnsi" w:hAnsiTheme="minorHAnsi"/>
                <w:b/>
                <w:bCs/>
                <w:color w:val="000000"/>
                <w:sz w:val="18"/>
                <w:lang w:val="sq-AL"/>
              </w:rPr>
              <w:t>Fakt/Plan 2021</w:t>
            </w: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bottom"/>
            <w:hideMark/>
          </w:tcPr>
          <w:p w:rsidR="00990CDF" w:rsidRPr="00E34706" w:rsidRDefault="00990CDF" w:rsidP="006217C0">
            <w:pPr>
              <w:rPr>
                <w:rFonts w:asciiTheme="minorHAnsi" w:hAnsiTheme="minorHAnsi"/>
                <w:color w:val="000000"/>
                <w:sz w:val="18"/>
                <w:lang w:val="sq-AL"/>
              </w:rPr>
            </w:pPr>
            <w:r w:rsidRPr="00E34706">
              <w:rPr>
                <w:rFonts w:asciiTheme="minorHAnsi" w:hAnsiTheme="minorHAnsi"/>
                <w:color w:val="000000"/>
                <w:sz w:val="18"/>
                <w:lang w:val="sq-AL"/>
              </w:rPr>
              <w:t> </w:t>
            </w:r>
          </w:p>
        </w:tc>
        <w:tc>
          <w:tcPr>
            <w:tcW w:w="1228" w:type="dxa"/>
            <w:tcBorders>
              <w:top w:val="nil"/>
              <w:left w:val="single" w:sz="4" w:space="0" w:color="4F81BD"/>
              <w:bottom w:val="single" w:sz="4" w:space="0" w:color="auto"/>
              <w:right w:val="single" w:sz="4" w:space="0" w:color="4F81BD"/>
            </w:tcBorders>
            <w:shd w:val="clear" w:color="auto" w:fill="auto"/>
            <w:noWrap/>
            <w:vAlign w:val="bottom"/>
            <w:hideMark/>
          </w:tcPr>
          <w:p w:rsidR="00990CDF" w:rsidRPr="00E34706" w:rsidRDefault="00990CDF" w:rsidP="006217C0">
            <w:pPr>
              <w:jc w:val="center"/>
              <w:rPr>
                <w:rFonts w:asciiTheme="minorHAnsi" w:hAnsiTheme="minorHAnsi"/>
                <w:color w:val="000000"/>
                <w:sz w:val="18"/>
                <w:lang w:val="sq-AL"/>
              </w:rPr>
            </w:pPr>
          </w:p>
        </w:tc>
        <w:tc>
          <w:tcPr>
            <w:tcW w:w="1228" w:type="dxa"/>
            <w:tcBorders>
              <w:top w:val="nil"/>
              <w:left w:val="single" w:sz="4" w:space="0" w:color="4F81BD"/>
              <w:bottom w:val="single" w:sz="4" w:space="0" w:color="auto"/>
              <w:right w:val="single" w:sz="4" w:space="0" w:color="4F81BD"/>
            </w:tcBorders>
            <w:shd w:val="clear" w:color="auto" w:fill="auto"/>
            <w:noWrap/>
            <w:vAlign w:val="bottom"/>
            <w:hideMark/>
          </w:tcPr>
          <w:p w:rsidR="00990CDF" w:rsidRPr="00E34706" w:rsidRDefault="00990CDF" w:rsidP="006217C0">
            <w:pPr>
              <w:jc w:val="center"/>
              <w:rPr>
                <w:rFonts w:asciiTheme="minorHAnsi" w:hAnsiTheme="minorHAnsi"/>
                <w:color w:val="000000"/>
                <w:sz w:val="18"/>
                <w:lang w:val="sq-AL"/>
              </w:rPr>
            </w:pPr>
          </w:p>
        </w:tc>
        <w:tc>
          <w:tcPr>
            <w:tcW w:w="1228" w:type="dxa"/>
            <w:tcBorders>
              <w:top w:val="nil"/>
              <w:left w:val="single" w:sz="4" w:space="0" w:color="4F81BD"/>
              <w:bottom w:val="single" w:sz="4" w:space="0" w:color="auto"/>
              <w:right w:val="single" w:sz="4" w:space="0" w:color="4F81BD"/>
            </w:tcBorders>
            <w:shd w:val="clear" w:color="auto" w:fill="auto"/>
            <w:noWrap/>
            <w:vAlign w:val="bottom"/>
            <w:hideMark/>
          </w:tcPr>
          <w:p w:rsidR="00990CDF" w:rsidRPr="00E34706" w:rsidRDefault="00990CDF" w:rsidP="006217C0">
            <w:pPr>
              <w:jc w:val="center"/>
              <w:rPr>
                <w:rFonts w:asciiTheme="minorHAnsi" w:hAnsiTheme="minorHAnsi"/>
                <w:color w:val="000000"/>
                <w:sz w:val="18"/>
                <w:lang w:val="sq-AL"/>
              </w:rPr>
            </w:pPr>
          </w:p>
        </w:tc>
        <w:tc>
          <w:tcPr>
            <w:tcW w:w="1150" w:type="dxa"/>
            <w:tcBorders>
              <w:top w:val="nil"/>
              <w:left w:val="single" w:sz="4" w:space="0" w:color="4F81BD"/>
              <w:bottom w:val="single" w:sz="4" w:space="0" w:color="auto"/>
              <w:right w:val="single" w:sz="4" w:space="0" w:color="4F81BD"/>
            </w:tcBorders>
            <w:shd w:val="clear" w:color="auto" w:fill="auto"/>
            <w:noWrap/>
            <w:vAlign w:val="bottom"/>
            <w:hideMark/>
          </w:tcPr>
          <w:p w:rsidR="00990CDF" w:rsidRPr="00E34706" w:rsidRDefault="00990CDF" w:rsidP="006217C0">
            <w:pPr>
              <w:jc w:val="center"/>
              <w:rPr>
                <w:rFonts w:asciiTheme="minorHAnsi" w:hAnsiTheme="minorHAnsi"/>
                <w:color w:val="000000"/>
                <w:sz w:val="18"/>
                <w:lang w:val="sq-AL"/>
              </w:rPr>
            </w:pPr>
          </w:p>
        </w:tc>
        <w:tc>
          <w:tcPr>
            <w:tcW w:w="1022" w:type="dxa"/>
            <w:tcBorders>
              <w:top w:val="nil"/>
              <w:left w:val="single" w:sz="4" w:space="0" w:color="4F81BD"/>
              <w:bottom w:val="single" w:sz="4" w:space="0" w:color="auto"/>
              <w:right w:val="single" w:sz="4" w:space="0" w:color="4F81BD"/>
            </w:tcBorders>
            <w:shd w:val="clear" w:color="auto" w:fill="auto"/>
            <w:noWrap/>
            <w:vAlign w:val="bottom"/>
            <w:hideMark/>
          </w:tcPr>
          <w:p w:rsidR="00990CDF" w:rsidRPr="00E34706" w:rsidRDefault="00990CDF" w:rsidP="006217C0">
            <w:pPr>
              <w:jc w:val="center"/>
              <w:rPr>
                <w:rFonts w:asciiTheme="minorHAnsi" w:hAnsiTheme="minorHAnsi"/>
                <w:color w:val="000000"/>
                <w:sz w:val="18"/>
                <w:lang w:val="sq-AL"/>
              </w:rPr>
            </w:pPr>
          </w:p>
        </w:tc>
        <w:tc>
          <w:tcPr>
            <w:tcW w:w="1022" w:type="dxa"/>
            <w:tcBorders>
              <w:top w:val="nil"/>
              <w:left w:val="single" w:sz="4" w:space="0" w:color="4F81BD"/>
              <w:bottom w:val="single" w:sz="4" w:space="0" w:color="auto"/>
              <w:right w:val="single" w:sz="4" w:space="0" w:color="auto"/>
            </w:tcBorders>
            <w:shd w:val="clear" w:color="auto" w:fill="auto"/>
            <w:noWrap/>
            <w:vAlign w:val="bottom"/>
            <w:hideMark/>
          </w:tcPr>
          <w:p w:rsidR="00990CDF" w:rsidRPr="00E34706" w:rsidRDefault="00990CDF" w:rsidP="006217C0">
            <w:pPr>
              <w:jc w:val="center"/>
              <w:rPr>
                <w:rFonts w:asciiTheme="minorHAnsi" w:hAnsiTheme="minorHAnsi"/>
                <w:color w:val="000000"/>
                <w:sz w:val="18"/>
                <w:lang w:val="sq-AL"/>
              </w:rPr>
            </w:pP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Presidenca                                                                                       </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248,500</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249,113</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76,221</w:t>
            </w:r>
          </w:p>
        </w:tc>
        <w:tc>
          <w:tcPr>
            <w:tcW w:w="1150" w:type="dxa"/>
            <w:tcBorders>
              <w:top w:val="nil"/>
              <w:left w:val="single" w:sz="4" w:space="0" w:color="4F81BD"/>
              <w:bottom w:val="single" w:sz="4" w:space="0" w:color="auto"/>
              <w:right w:val="single" w:sz="4" w:space="0" w:color="4F81BD"/>
            </w:tcBorders>
            <w:shd w:val="clear" w:color="000000" w:fill="DAEEF3"/>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30.5%</w:t>
            </w:r>
          </w:p>
        </w:tc>
        <w:tc>
          <w:tcPr>
            <w:tcW w:w="1022" w:type="dxa"/>
            <w:tcBorders>
              <w:top w:val="nil"/>
              <w:left w:val="single" w:sz="4" w:space="0" w:color="4F81BD"/>
              <w:bottom w:val="single" w:sz="4" w:space="0" w:color="auto"/>
              <w:right w:val="single" w:sz="4" w:space="0" w:color="4F81BD"/>
            </w:tcBorders>
            <w:shd w:val="clear" w:color="000000" w:fill="DAEEF3"/>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31.4%</w:t>
            </w:r>
          </w:p>
        </w:tc>
        <w:tc>
          <w:tcPr>
            <w:tcW w:w="1022" w:type="dxa"/>
            <w:tcBorders>
              <w:top w:val="nil"/>
              <w:left w:val="single" w:sz="4" w:space="0" w:color="4F81BD"/>
              <w:bottom w:val="single" w:sz="4" w:space="0" w:color="auto"/>
              <w:right w:val="single" w:sz="4" w:space="0" w:color="auto"/>
            </w:tcBorders>
            <w:shd w:val="clear" w:color="000000" w:fill="DAEEF3"/>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0.0%</w:t>
            </w: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Kuvendi                                                                                          </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1,153,160</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1,154,160</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335,199</w:t>
            </w:r>
          </w:p>
        </w:tc>
        <w:tc>
          <w:tcPr>
            <w:tcW w:w="1150"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29%</w:t>
            </w:r>
          </w:p>
        </w:tc>
        <w:tc>
          <w:tcPr>
            <w:tcW w:w="1022"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31.8%</w:t>
            </w:r>
          </w:p>
        </w:tc>
        <w:tc>
          <w:tcPr>
            <w:tcW w:w="1022" w:type="dxa"/>
            <w:tcBorders>
              <w:top w:val="nil"/>
              <w:left w:val="single" w:sz="4" w:space="0" w:color="4F81BD"/>
              <w:bottom w:val="single" w:sz="4" w:space="0" w:color="auto"/>
              <w:right w:val="single" w:sz="4" w:space="0" w:color="auto"/>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4.7%</w:t>
            </w: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Kryeministria                                                                                    </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728,000</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728,400</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158,976</w:t>
            </w:r>
          </w:p>
        </w:tc>
        <w:tc>
          <w:tcPr>
            <w:tcW w:w="1150"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21.84%</w:t>
            </w:r>
          </w:p>
        </w:tc>
        <w:tc>
          <w:tcPr>
            <w:tcW w:w="1022"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39.50</w:t>
            </w:r>
          </w:p>
        </w:tc>
        <w:tc>
          <w:tcPr>
            <w:tcW w:w="1022" w:type="dxa"/>
            <w:tcBorders>
              <w:top w:val="nil"/>
              <w:left w:val="single" w:sz="4" w:space="0" w:color="4F81BD"/>
              <w:bottom w:val="single" w:sz="4" w:space="0" w:color="auto"/>
              <w:right w:val="single" w:sz="4" w:space="0" w:color="auto"/>
            </w:tcBorders>
            <w:shd w:val="clear" w:color="000000" w:fill="DAEEF3"/>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1%</w:t>
            </w: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Ministria e Bujqesise dhe Zhvillimit Rural                                                       </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12,980,332</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12,988,032</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4,788,983</w:t>
            </w:r>
          </w:p>
        </w:tc>
        <w:tc>
          <w:tcPr>
            <w:tcW w:w="1150"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36.89%</w:t>
            </w:r>
          </w:p>
        </w:tc>
        <w:tc>
          <w:tcPr>
            <w:tcW w:w="1022"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27.49</w:t>
            </w:r>
          </w:p>
        </w:tc>
        <w:tc>
          <w:tcPr>
            <w:tcW w:w="1022" w:type="dxa"/>
            <w:tcBorders>
              <w:top w:val="nil"/>
              <w:left w:val="single" w:sz="4" w:space="0" w:color="4F81BD"/>
              <w:bottom w:val="single" w:sz="4" w:space="0" w:color="auto"/>
              <w:right w:val="single" w:sz="4" w:space="0" w:color="auto"/>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43%</w:t>
            </w: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Ministria e Infrastruktures dhe Energjise                                                        </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49,875,338</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50,031,378</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15,164,528</w:t>
            </w:r>
          </w:p>
        </w:tc>
        <w:tc>
          <w:tcPr>
            <w:tcW w:w="1150"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30%</w:t>
            </w:r>
          </w:p>
        </w:tc>
        <w:tc>
          <w:tcPr>
            <w:tcW w:w="1022"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46%</w:t>
            </w:r>
          </w:p>
        </w:tc>
        <w:tc>
          <w:tcPr>
            <w:tcW w:w="1022" w:type="dxa"/>
            <w:tcBorders>
              <w:top w:val="nil"/>
              <w:left w:val="single" w:sz="4" w:space="0" w:color="4F81BD"/>
              <w:bottom w:val="single" w:sz="4" w:space="0" w:color="auto"/>
              <w:right w:val="single" w:sz="4" w:space="0" w:color="auto"/>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29%</w:t>
            </w: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Ministria e Financave dhe Ekonomise                                                              </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68,476,838</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70,822,228</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1,934,442</w:t>
            </w:r>
          </w:p>
        </w:tc>
        <w:tc>
          <w:tcPr>
            <w:tcW w:w="1150"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28.82%</w:t>
            </w:r>
          </w:p>
        </w:tc>
        <w:tc>
          <w:tcPr>
            <w:tcW w:w="1022"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27.86</w:t>
            </w:r>
          </w:p>
        </w:tc>
        <w:tc>
          <w:tcPr>
            <w:tcW w:w="1022" w:type="dxa"/>
            <w:tcBorders>
              <w:top w:val="nil"/>
              <w:left w:val="single" w:sz="4" w:space="0" w:color="4F81BD"/>
              <w:bottom w:val="single" w:sz="4" w:space="0" w:color="auto"/>
              <w:right w:val="single" w:sz="4" w:space="0" w:color="auto"/>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28%</w:t>
            </w: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Ministria e Arsimit Sportit dhe Rinise                                                           </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42,214,076</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45,862,196</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16,966,461</w:t>
            </w:r>
          </w:p>
        </w:tc>
        <w:tc>
          <w:tcPr>
            <w:tcW w:w="1150"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37%</w:t>
            </w:r>
          </w:p>
        </w:tc>
        <w:tc>
          <w:tcPr>
            <w:tcW w:w="1022"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40%</w:t>
            </w:r>
          </w:p>
        </w:tc>
        <w:tc>
          <w:tcPr>
            <w:tcW w:w="1022" w:type="dxa"/>
            <w:tcBorders>
              <w:top w:val="nil"/>
              <w:left w:val="single" w:sz="4" w:space="0" w:color="4F81BD"/>
              <w:bottom w:val="single" w:sz="4" w:space="0" w:color="auto"/>
              <w:right w:val="single" w:sz="4" w:space="0" w:color="auto"/>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11%</w:t>
            </w: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Ministria e Kultures                                                                             </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2,806,001</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2, 855,285</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532,771</w:t>
            </w:r>
          </w:p>
        </w:tc>
        <w:tc>
          <w:tcPr>
            <w:tcW w:w="1150"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19%</w:t>
            </w:r>
          </w:p>
        </w:tc>
        <w:tc>
          <w:tcPr>
            <w:tcW w:w="1022"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37%</w:t>
            </w:r>
          </w:p>
        </w:tc>
        <w:tc>
          <w:tcPr>
            <w:tcW w:w="1022" w:type="dxa"/>
            <w:tcBorders>
              <w:top w:val="nil"/>
              <w:left w:val="single" w:sz="4" w:space="0" w:color="4F81BD"/>
              <w:bottom w:val="single" w:sz="4" w:space="0" w:color="auto"/>
              <w:right w:val="single" w:sz="4" w:space="0" w:color="auto"/>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0.88%</w:t>
            </w: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Ministria e Shendetesise dhe Mbrojtjes Sociale                                                   </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71,452,605</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77,715,605</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30,097,316</w:t>
            </w:r>
          </w:p>
        </w:tc>
        <w:tc>
          <w:tcPr>
            <w:tcW w:w="1150"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39%</w:t>
            </w:r>
          </w:p>
        </w:tc>
        <w:tc>
          <w:tcPr>
            <w:tcW w:w="1022"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39%</w:t>
            </w:r>
          </w:p>
        </w:tc>
        <w:tc>
          <w:tcPr>
            <w:tcW w:w="1022" w:type="dxa"/>
            <w:tcBorders>
              <w:top w:val="nil"/>
              <w:left w:val="single" w:sz="4" w:space="0" w:color="4F81BD"/>
              <w:bottom w:val="single" w:sz="4" w:space="0" w:color="auto"/>
              <w:right w:val="single" w:sz="4" w:space="0" w:color="auto"/>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23%</w:t>
            </w: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Ministria e Drejtesise                                                                           </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9,208,700</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8,754,000</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3,121,293</w:t>
            </w:r>
          </w:p>
        </w:tc>
        <w:tc>
          <w:tcPr>
            <w:tcW w:w="1150"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33%</w:t>
            </w:r>
          </w:p>
        </w:tc>
        <w:tc>
          <w:tcPr>
            <w:tcW w:w="1022"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36%</w:t>
            </w:r>
          </w:p>
        </w:tc>
        <w:tc>
          <w:tcPr>
            <w:tcW w:w="1022" w:type="dxa"/>
            <w:tcBorders>
              <w:top w:val="nil"/>
              <w:left w:val="single" w:sz="4" w:space="0" w:color="4F81BD"/>
              <w:bottom w:val="single" w:sz="4" w:space="0" w:color="auto"/>
              <w:right w:val="single" w:sz="4" w:space="0" w:color="auto"/>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22%</w:t>
            </w: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Ministria per Evropen dhe Punet e Jashtme                                                        </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2,675,656</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2,820,156</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898,954</w:t>
            </w:r>
          </w:p>
        </w:tc>
        <w:tc>
          <w:tcPr>
            <w:tcW w:w="1150"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33%</w:t>
            </w:r>
          </w:p>
        </w:tc>
        <w:tc>
          <w:tcPr>
            <w:tcW w:w="1022"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29%</w:t>
            </w:r>
          </w:p>
        </w:tc>
        <w:tc>
          <w:tcPr>
            <w:tcW w:w="1022" w:type="dxa"/>
            <w:tcBorders>
              <w:top w:val="nil"/>
              <w:left w:val="single" w:sz="4" w:space="0" w:color="4F81BD"/>
              <w:bottom w:val="single" w:sz="4" w:space="0" w:color="auto"/>
              <w:right w:val="single" w:sz="4" w:space="0" w:color="auto"/>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92%</w:t>
            </w: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Ministria e Brendshme                                                                            </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20,860,868</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20,898,699</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7,655,811</w:t>
            </w:r>
          </w:p>
        </w:tc>
        <w:tc>
          <w:tcPr>
            <w:tcW w:w="1150"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37%</w:t>
            </w:r>
          </w:p>
        </w:tc>
        <w:tc>
          <w:tcPr>
            <w:tcW w:w="1022"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38%</w:t>
            </w:r>
          </w:p>
        </w:tc>
        <w:tc>
          <w:tcPr>
            <w:tcW w:w="1022" w:type="dxa"/>
            <w:tcBorders>
              <w:top w:val="nil"/>
              <w:left w:val="single" w:sz="4" w:space="0" w:color="4F81BD"/>
              <w:bottom w:val="single" w:sz="4" w:space="0" w:color="auto"/>
              <w:right w:val="single" w:sz="4" w:space="0" w:color="auto"/>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13%</w:t>
            </w: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Ministria e Mbrojtjes                                                                            </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24,938,800</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24,747,000</w:t>
            </w:r>
          </w:p>
        </w:tc>
        <w:tc>
          <w:tcPr>
            <w:tcW w:w="1228" w:type="dxa"/>
            <w:tcBorders>
              <w:top w:val="nil"/>
              <w:left w:val="single" w:sz="4" w:space="0" w:color="4F81BD"/>
              <w:bottom w:val="single" w:sz="4" w:space="0" w:color="auto"/>
              <w:right w:val="single" w:sz="4" w:space="0" w:color="4F81BD"/>
            </w:tcBorders>
            <w:shd w:val="clear" w:color="000000" w:fill="DAEEF3"/>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8,438,339</w:t>
            </w:r>
          </w:p>
        </w:tc>
        <w:tc>
          <w:tcPr>
            <w:tcW w:w="1150" w:type="dxa"/>
            <w:tcBorders>
              <w:top w:val="nil"/>
              <w:left w:val="single" w:sz="4" w:space="0" w:color="4F81BD"/>
              <w:bottom w:val="single" w:sz="4" w:space="0" w:color="auto"/>
              <w:right w:val="single" w:sz="4" w:space="0" w:color="4F81BD"/>
            </w:tcBorders>
            <w:shd w:val="clear" w:color="000000" w:fill="DAEEF3"/>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34%</w:t>
            </w:r>
          </w:p>
        </w:tc>
        <w:tc>
          <w:tcPr>
            <w:tcW w:w="1022" w:type="dxa"/>
            <w:tcBorders>
              <w:top w:val="nil"/>
              <w:left w:val="single" w:sz="4" w:space="0" w:color="4F81BD"/>
              <w:bottom w:val="single" w:sz="4" w:space="0" w:color="auto"/>
              <w:right w:val="single" w:sz="4" w:space="0" w:color="4F81BD"/>
            </w:tcBorders>
            <w:shd w:val="clear" w:color="000000" w:fill="DAEEF3"/>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36%</w:t>
            </w:r>
          </w:p>
        </w:tc>
        <w:tc>
          <w:tcPr>
            <w:tcW w:w="1022" w:type="dxa"/>
            <w:tcBorders>
              <w:top w:val="nil"/>
              <w:left w:val="single" w:sz="4" w:space="0" w:color="4F81BD"/>
              <w:bottom w:val="single" w:sz="4" w:space="0" w:color="auto"/>
              <w:right w:val="single" w:sz="4" w:space="0" w:color="auto"/>
            </w:tcBorders>
            <w:shd w:val="clear" w:color="000000" w:fill="DAEEF3"/>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28%</w:t>
            </w: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Akademia e Shkencave                                                                             </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116,950</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117,000</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30,995</w:t>
            </w:r>
          </w:p>
        </w:tc>
        <w:tc>
          <w:tcPr>
            <w:tcW w:w="1150"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26%</w:t>
            </w:r>
          </w:p>
        </w:tc>
        <w:tc>
          <w:tcPr>
            <w:tcW w:w="1022"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26%</w:t>
            </w:r>
          </w:p>
        </w:tc>
        <w:tc>
          <w:tcPr>
            <w:tcW w:w="1022" w:type="dxa"/>
            <w:tcBorders>
              <w:top w:val="nil"/>
              <w:left w:val="single" w:sz="4" w:space="0" w:color="4F81BD"/>
              <w:bottom w:val="single" w:sz="4" w:space="0" w:color="auto"/>
              <w:right w:val="single" w:sz="4" w:space="0" w:color="auto"/>
            </w:tcBorders>
            <w:shd w:val="clear" w:color="auto" w:fill="auto"/>
            <w:noWrap/>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29%</w:t>
            </w: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Kontrolli Larte i Shtetit                                                                        </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431,853</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433,700</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138,306</w:t>
            </w:r>
          </w:p>
        </w:tc>
        <w:tc>
          <w:tcPr>
            <w:tcW w:w="1150"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32%</w:t>
            </w:r>
          </w:p>
        </w:tc>
        <w:tc>
          <w:tcPr>
            <w:tcW w:w="1022"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34%</w:t>
            </w:r>
          </w:p>
        </w:tc>
        <w:tc>
          <w:tcPr>
            <w:tcW w:w="1022" w:type="dxa"/>
            <w:tcBorders>
              <w:top w:val="nil"/>
              <w:left w:val="single" w:sz="4" w:space="0" w:color="4F81BD"/>
              <w:bottom w:val="single" w:sz="4" w:space="0" w:color="auto"/>
              <w:right w:val="single" w:sz="4" w:space="0" w:color="auto"/>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7%</w:t>
            </w: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Ministria e Turizmit dhe Mjedisit                                                                </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sz w:val="18"/>
                <w:lang w:val="sq-AL"/>
              </w:rPr>
            </w:pPr>
            <w:r w:rsidRPr="00E34706">
              <w:rPr>
                <w:rFonts w:asciiTheme="minorHAnsi" w:hAnsiTheme="minorHAnsi"/>
                <w:sz w:val="18"/>
                <w:lang w:val="sq-AL"/>
              </w:rPr>
              <w:t>2,268,030</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2,269,730</w:t>
            </w:r>
          </w:p>
        </w:tc>
        <w:tc>
          <w:tcPr>
            <w:tcW w:w="1228"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662,583</w:t>
            </w:r>
          </w:p>
        </w:tc>
        <w:tc>
          <w:tcPr>
            <w:tcW w:w="1150"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29.2%</w:t>
            </w:r>
          </w:p>
        </w:tc>
        <w:tc>
          <w:tcPr>
            <w:tcW w:w="1022" w:type="dxa"/>
            <w:tcBorders>
              <w:top w:val="nil"/>
              <w:left w:val="single" w:sz="4" w:space="0" w:color="4F81BD"/>
              <w:bottom w:val="single" w:sz="4" w:space="0" w:color="auto"/>
              <w:right w:val="single" w:sz="4" w:space="0" w:color="4F81BD"/>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31%</w:t>
            </w:r>
          </w:p>
        </w:tc>
        <w:tc>
          <w:tcPr>
            <w:tcW w:w="1022" w:type="dxa"/>
            <w:tcBorders>
              <w:top w:val="nil"/>
              <w:left w:val="single" w:sz="4" w:space="0" w:color="4F81BD"/>
              <w:bottom w:val="single" w:sz="4" w:space="0" w:color="auto"/>
              <w:right w:val="single" w:sz="4" w:space="0" w:color="auto"/>
            </w:tcBorders>
            <w:shd w:val="clear" w:color="auto" w:fill="auto"/>
            <w:noWrap/>
            <w:vAlign w:val="center"/>
          </w:tcPr>
          <w:p w:rsidR="00990CDF" w:rsidRPr="00E34706" w:rsidRDefault="00990CDF" w:rsidP="006217C0">
            <w:pPr>
              <w:jc w:val="center"/>
              <w:rPr>
                <w:rFonts w:asciiTheme="minorHAnsi" w:hAnsiTheme="minorHAnsi"/>
                <w:color w:val="000000"/>
                <w:sz w:val="18"/>
                <w:lang w:val="sq-AL"/>
              </w:rPr>
            </w:pPr>
            <w:r w:rsidRPr="00E34706">
              <w:rPr>
                <w:rFonts w:asciiTheme="minorHAnsi" w:hAnsiTheme="minorHAnsi"/>
                <w:color w:val="000000"/>
                <w:sz w:val="18"/>
                <w:lang w:val="sq-AL"/>
              </w:rPr>
              <w:t>27.4%</w:t>
            </w: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Prokuroria e Pergjithshme                                                                        </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2,420,000</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2,422,800</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916,258</w:t>
            </w:r>
          </w:p>
        </w:tc>
        <w:tc>
          <w:tcPr>
            <w:tcW w:w="1150"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38%</w:t>
            </w:r>
          </w:p>
        </w:tc>
        <w:tc>
          <w:tcPr>
            <w:tcW w:w="1022"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38%</w:t>
            </w:r>
          </w:p>
        </w:tc>
        <w:tc>
          <w:tcPr>
            <w:tcW w:w="1022" w:type="dxa"/>
            <w:tcBorders>
              <w:top w:val="nil"/>
              <w:left w:val="single" w:sz="4" w:space="0" w:color="4F81BD"/>
              <w:bottom w:val="single" w:sz="4" w:space="0" w:color="auto"/>
              <w:right w:val="single" w:sz="4" w:space="0" w:color="auto"/>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40%</w:t>
            </w: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Keshilli i Larte Gjyqesor                                                                        </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3,444,200</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6,697,400</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1,096,618</w:t>
            </w:r>
          </w:p>
        </w:tc>
        <w:tc>
          <w:tcPr>
            <w:tcW w:w="1150"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16%</w:t>
            </w:r>
          </w:p>
        </w:tc>
        <w:tc>
          <w:tcPr>
            <w:tcW w:w="1022"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32%</w:t>
            </w:r>
          </w:p>
        </w:tc>
        <w:tc>
          <w:tcPr>
            <w:tcW w:w="1022" w:type="dxa"/>
            <w:tcBorders>
              <w:top w:val="nil"/>
              <w:left w:val="single" w:sz="4" w:space="0" w:color="4F81BD"/>
              <w:bottom w:val="single" w:sz="4" w:space="0" w:color="auto"/>
              <w:right w:val="single" w:sz="4" w:space="0" w:color="auto"/>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0%</w:t>
            </w: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Gjykata Kushtetuese                                                                              </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155,000</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155,000</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42,907</w:t>
            </w:r>
          </w:p>
        </w:tc>
        <w:tc>
          <w:tcPr>
            <w:tcW w:w="1150"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28%</w:t>
            </w:r>
          </w:p>
        </w:tc>
        <w:tc>
          <w:tcPr>
            <w:tcW w:w="1022"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28%</w:t>
            </w:r>
          </w:p>
        </w:tc>
        <w:tc>
          <w:tcPr>
            <w:tcW w:w="1022" w:type="dxa"/>
            <w:tcBorders>
              <w:top w:val="nil"/>
              <w:left w:val="single" w:sz="4" w:space="0" w:color="4F81BD"/>
              <w:bottom w:val="single" w:sz="4" w:space="0" w:color="auto"/>
              <w:right w:val="single" w:sz="4" w:space="0" w:color="auto"/>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0%</w:t>
            </w: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Keshilli i Larte i Prokurorise                                                                   </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164,000</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164,150</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70,663</w:t>
            </w:r>
          </w:p>
        </w:tc>
        <w:tc>
          <w:tcPr>
            <w:tcW w:w="1150"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43%</w:t>
            </w:r>
          </w:p>
        </w:tc>
        <w:tc>
          <w:tcPr>
            <w:tcW w:w="1022"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37%</w:t>
            </w:r>
          </w:p>
        </w:tc>
        <w:tc>
          <w:tcPr>
            <w:tcW w:w="1022" w:type="dxa"/>
            <w:tcBorders>
              <w:top w:val="nil"/>
              <w:left w:val="single" w:sz="4" w:space="0" w:color="4F81BD"/>
              <w:bottom w:val="single" w:sz="4" w:space="0" w:color="auto"/>
              <w:right w:val="single" w:sz="4" w:space="0" w:color="auto"/>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99%</w:t>
            </w: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Fondi i Zhvillimit Shqipetar                                                                     </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p>
        </w:tc>
        <w:tc>
          <w:tcPr>
            <w:tcW w:w="1150"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p>
        </w:tc>
        <w:tc>
          <w:tcPr>
            <w:tcW w:w="1022"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p>
        </w:tc>
        <w:tc>
          <w:tcPr>
            <w:tcW w:w="1022" w:type="dxa"/>
            <w:tcBorders>
              <w:top w:val="nil"/>
              <w:left w:val="single" w:sz="4" w:space="0" w:color="4F81BD"/>
              <w:bottom w:val="single" w:sz="4" w:space="0" w:color="auto"/>
              <w:right w:val="single" w:sz="4" w:space="0" w:color="auto"/>
            </w:tcBorders>
            <w:shd w:val="clear" w:color="000000" w:fill="DAEEF3"/>
            <w:noWrap/>
          </w:tcPr>
          <w:p w:rsidR="00990CDF" w:rsidRPr="00E34706" w:rsidRDefault="00990CDF" w:rsidP="006217C0">
            <w:pPr>
              <w:jc w:val="center"/>
              <w:rPr>
                <w:rFonts w:asciiTheme="minorHAnsi" w:hAnsiTheme="minorHAnsi"/>
                <w:bCs/>
                <w:color w:val="000000"/>
                <w:sz w:val="18"/>
                <w:lang w:val="sq-AL"/>
              </w:rPr>
            </w:pPr>
          </w:p>
        </w:tc>
      </w:tr>
      <w:tr w:rsidR="00990CDF"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auto" w:fill="auto"/>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Institucionet e sistemit te drejtesise</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726,900</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727,500</w:t>
            </w:r>
          </w:p>
        </w:tc>
        <w:tc>
          <w:tcPr>
            <w:tcW w:w="1228"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219,345</w:t>
            </w:r>
          </w:p>
        </w:tc>
        <w:tc>
          <w:tcPr>
            <w:tcW w:w="1150"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30%</w:t>
            </w:r>
          </w:p>
        </w:tc>
        <w:tc>
          <w:tcPr>
            <w:tcW w:w="1022" w:type="dxa"/>
            <w:tcBorders>
              <w:top w:val="nil"/>
              <w:left w:val="single" w:sz="4" w:space="0" w:color="4F81BD"/>
              <w:bottom w:val="single" w:sz="4" w:space="0" w:color="auto"/>
              <w:right w:val="single" w:sz="4" w:space="0" w:color="4F81BD"/>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31%</w:t>
            </w:r>
          </w:p>
        </w:tc>
        <w:tc>
          <w:tcPr>
            <w:tcW w:w="1022" w:type="dxa"/>
            <w:tcBorders>
              <w:top w:val="nil"/>
              <w:left w:val="single" w:sz="4" w:space="0" w:color="4F81BD"/>
              <w:bottom w:val="single" w:sz="4" w:space="0" w:color="auto"/>
              <w:right w:val="single" w:sz="4" w:space="0" w:color="auto"/>
            </w:tcBorders>
            <w:shd w:val="clear" w:color="auto" w:fill="auto"/>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18%</w:t>
            </w:r>
          </w:p>
        </w:tc>
      </w:tr>
      <w:tr w:rsidR="00E7447D" w:rsidRPr="00E34706" w:rsidTr="00E7447D">
        <w:trPr>
          <w:trHeight w:val="376"/>
          <w:jc w:val="center"/>
        </w:trPr>
        <w:tc>
          <w:tcPr>
            <w:tcW w:w="3523" w:type="dxa"/>
            <w:tcBorders>
              <w:top w:val="nil"/>
              <w:left w:val="single" w:sz="4" w:space="0" w:color="auto"/>
              <w:bottom w:val="single" w:sz="4" w:space="0" w:color="auto"/>
              <w:right w:val="single" w:sz="4" w:space="0" w:color="4F81BD"/>
            </w:tcBorders>
            <w:shd w:val="clear" w:color="000000" w:fill="DAEEF3"/>
            <w:noWrap/>
            <w:vAlign w:val="center"/>
            <w:hideMark/>
          </w:tcPr>
          <w:p w:rsidR="00990CDF" w:rsidRPr="00E34706" w:rsidRDefault="00990CDF" w:rsidP="006217C0">
            <w:pPr>
              <w:rPr>
                <w:rFonts w:asciiTheme="minorHAnsi" w:hAnsiTheme="minorHAnsi"/>
                <w:bCs/>
                <w:color w:val="000000"/>
                <w:sz w:val="18"/>
                <w:lang w:val="sq-AL"/>
              </w:rPr>
            </w:pPr>
            <w:r w:rsidRPr="00E34706">
              <w:rPr>
                <w:rFonts w:asciiTheme="minorHAnsi" w:hAnsiTheme="minorHAnsi"/>
                <w:bCs/>
                <w:color w:val="000000"/>
                <w:sz w:val="18"/>
                <w:lang w:val="sq-AL"/>
              </w:rPr>
              <w:t xml:space="preserve"> Institucione te tjera Qeveritare                                                                 </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5,954,099</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6,005,374</w:t>
            </w:r>
          </w:p>
        </w:tc>
        <w:tc>
          <w:tcPr>
            <w:tcW w:w="1228"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2,713,771</w:t>
            </w:r>
          </w:p>
        </w:tc>
        <w:tc>
          <w:tcPr>
            <w:tcW w:w="1150"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45%</w:t>
            </w:r>
          </w:p>
        </w:tc>
        <w:tc>
          <w:tcPr>
            <w:tcW w:w="1022" w:type="dxa"/>
            <w:tcBorders>
              <w:top w:val="nil"/>
              <w:left w:val="single" w:sz="4" w:space="0" w:color="4F81BD"/>
              <w:bottom w:val="single" w:sz="4" w:space="0" w:color="auto"/>
              <w:right w:val="single" w:sz="4" w:space="0" w:color="4F81BD"/>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49%</w:t>
            </w:r>
          </w:p>
        </w:tc>
        <w:tc>
          <w:tcPr>
            <w:tcW w:w="1022" w:type="dxa"/>
            <w:tcBorders>
              <w:top w:val="nil"/>
              <w:left w:val="single" w:sz="4" w:space="0" w:color="4F81BD"/>
              <w:bottom w:val="single" w:sz="4" w:space="0" w:color="auto"/>
              <w:right w:val="single" w:sz="4" w:space="0" w:color="auto"/>
            </w:tcBorders>
            <w:shd w:val="clear" w:color="000000" w:fill="DAEEF3"/>
            <w:noWrap/>
          </w:tcPr>
          <w:p w:rsidR="00990CDF" w:rsidRPr="00E34706" w:rsidRDefault="00990CDF" w:rsidP="006217C0">
            <w:pPr>
              <w:jc w:val="center"/>
              <w:rPr>
                <w:rFonts w:asciiTheme="minorHAnsi" w:hAnsiTheme="minorHAnsi"/>
                <w:bCs/>
                <w:color w:val="000000"/>
                <w:sz w:val="18"/>
                <w:lang w:val="sq-AL"/>
              </w:rPr>
            </w:pPr>
            <w:r w:rsidRPr="00E34706">
              <w:rPr>
                <w:rFonts w:asciiTheme="minorHAnsi" w:hAnsiTheme="minorHAnsi"/>
                <w:bCs/>
                <w:color w:val="000000"/>
                <w:sz w:val="18"/>
                <w:lang w:val="sq-AL"/>
              </w:rPr>
              <w:t>33%</w:t>
            </w:r>
          </w:p>
        </w:tc>
      </w:tr>
    </w:tbl>
    <w:p w:rsidR="00990CDF" w:rsidRPr="00BF005F" w:rsidRDefault="00990CDF" w:rsidP="00990CDF">
      <w:pPr>
        <w:spacing w:line="276" w:lineRule="auto"/>
        <w:rPr>
          <w:rFonts w:asciiTheme="minorHAnsi" w:eastAsia="MS Mincho" w:hAnsiTheme="minorHAnsi"/>
          <w:lang w:val="sq-AL"/>
        </w:rPr>
      </w:pPr>
    </w:p>
    <w:p w:rsidR="00990CDF" w:rsidRPr="00BF005F" w:rsidRDefault="00990CDF" w:rsidP="00990CDF">
      <w:pPr>
        <w:spacing w:before="240" w:line="276" w:lineRule="auto"/>
        <w:jc w:val="both"/>
        <w:rPr>
          <w:rFonts w:asciiTheme="minorHAnsi" w:eastAsia="MS Mincho" w:hAnsiTheme="minorHAnsi"/>
          <w:lang w:val="sq-AL"/>
        </w:rPr>
      </w:pPr>
    </w:p>
    <w:p w:rsidR="00990CDF" w:rsidRPr="00BF005F" w:rsidRDefault="00990CDF" w:rsidP="00990CDF">
      <w:pPr>
        <w:spacing w:line="276" w:lineRule="auto"/>
        <w:jc w:val="both"/>
        <w:rPr>
          <w:rFonts w:asciiTheme="minorHAnsi" w:eastAsia="MS Mincho" w:hAnsiTheme="minorHAnsi"/>
          <w:lang w:val="sq-AL"/>
        </w:rPr>
      </w:pPr>
    </w:p>
    <w:bookmarkEnd w:id="114"/>
    <w:bookmarkEnd w:id="115"/>
    <w:p w:rsidR="00990CDF" w:rsidRPr="00BF005F" w:rsidRDefault="00990CDF" w:rsidP="00990CDF">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lastRenderedPageBreak/>
        <w:t>SHËNDETËSIA DHE MBROJTJA SOCIALE</w:t>
      </w:r>
    </w:p>
    <w:p w:rsidR="00990CDF" w:rsidRPr="00BF005F" w:rsidRDefault="00990CDF" w:rsidP="00990CDF">
      <w:pPr>
        <w:keepNext/>
        <w:spacing w:line="276" w:lineRule="auto"/>
        <w:rPr>
          <w:rFonts w:asciiTheme="minorHAnsi" w:eastAsia="MS Mincho" w:hAnsiTheme="minorHAnsi"/>
          <w:lang w:val="sq-AL"/>
        </w:rPr>
      </w:pPr>
      <w:r w:rsidRPr="00BF005F">
        <w:rPr>
          <w:rFonts w:asciiTheme="minorHAnsi" w:eastAsia="MS Mincho" w:hAnsiTheme="minorHAnsi"/>
          <w:lang w:val="sq-AL"/>
        </w:rPr>
        <w:t>Në përputhje me drejtimet kryesore të politikës së përgjithshme shtetërore, me fondet buxhetore të miratuara për vitin 2021, performanca e treguesve buxhetorë për katër programet kryesore në Ministrinë e Shëndetësisë dhe Mbrojtjes Sociale, paraqitet si më poshtë:</w:t>
      </w:r>
    </w:p>
    <w:p w:rsidR="00990CDF" w:rsidRPr="00BF005F" w:rsidRDefault="00990CDF" w:rsidP="00E7447D">
      <w:pPr>
        <w:spacing w:before="240"/>
        <w:rPr>
          <w:rFonts w:asciiTheme="minorHAnsi" w:hAnsiTheme="minorHAnsi"/>
          <w:i/>
          <w:noProof/>
        </w:rPr>
      </w:pPr>
      <w:bookmarkStart w:id="118" w:name="_Toc76470072"/>
      <w:r w:rsidRPr="00BF005F">
        <w:rPr>
          <w:rFonts w:asciiTheme="minorHAnsi" w:hAnsiTheme="minorHAnsi"/>
          <w:i/>
          <w:noProof/>
        </w:rPr>
        <w:t xml:space="preserve">Tabela </w:t>
      </w:r>
      <w:r w:rsidRPr="00BF005F">
        <w:rPr>
          <w:rFonts w:asciiTheme="minorHAnsi" w:hAnsiTheme="minorHAnsi"/>
          <w:i/>
          <w:noProof/>
        </w:rPr>
        <w:fldChar w:fldCharType="begin"/>
      </w:r>
      <w:r w:rsidRPr="00BF005F">
        <w:rPr>
          <w:rFonts w:asciiTheme="minorHAnsi" w:hAnsiTheme="minorHAnsi"/>
          <w:i/>
          <w:noProof/>
        </w:rPr>
        <w:instrText xml:space="preserve"> SEQ Tabela \* ARABIC </w:instrText>
      </w:r>
      <w:r w:rsidRPr="00BF005F">
        <w:rPr>
          <w:rFonts w:asciiTheme="minorHAnsi" w:hAnsiTheme="minorHAnsi"/>
          <w:i/>
          <w:noProof/>
        </w:rPr>
        <w:fldChar w:fldCharType="separate"/>
      </w:r>
      <w:r w:rsidR="003C5F40">
        <w:rPr>
          <w:rFonts w:asciiTheme="minorHAnsi" w:hAnsiTheme="minorHAnsi"/>
          <w:i/>
          <w:noProof/>
        </w:rPr>
        <w:t>18</w:t>
      </w:r>
      <w:r w:rsidRPr="00BF005F">
        <w:rPr>
          <w:rFonts w:asciiTheme="minorHAnsi" w:hAnsiTheme="minorHAnsi"/>
          <w:i/>
          <w:noProof/>
        </w:rPr>
        <w:fldChar w:fldCharType="end"/>
      </w:r>
      <w:r w:rsidRPr="00BF005F">
        <w:rPr>
          <w:rFonts w:asciiTheme="minorHAnsi" w:hAnsiTheme="minorHAnsi"/>
          <w:i/>
          <w:noProof/>
        </w:rPr>
        <w:t>: Shëndetësia dhe mbrojtja sociale</w:t>
      </w:r>
      <w:bookmarkEnd w:id="118"/>
    </w:p>
    <w:p w:rsidR="00990CDF" w:rsidRPr="00E7447D" w:rsidRDefault="00990CDF" w:rsidP="00990CDF">
      <w:pPr>
        <w:spacing w:line="276" w:lineRule="auto"/>
        <w:jc w:val="right"/>
        <w:rPr>
          <w:rFonts w:asciiTheme="minorHAnsi" w:hAnsiTheme="minorHAnsi"/>
          <w:bCs/>
          <w:i/>
          <w:iCs/>
          <w:sz w:val="22"/>
          <w:u w:val="single"/>
          <w:lang w:val="sq-AL"/>
        </w:rPr>
      </w:pPr>
      <w:r w:rsidRPr="00E7447D">
        <w:rPr>
          <w:rFonts w:asciiTheme="minorHAnsi" w:hAnsiTheme="minorHAnsi"/>
          <w:bCs/>
          <w:i/>
          <w:iCs/>
          <w:sz w:val="22"/>
          <w:u w:val="single"/>
          <w:lang w:val="sq-AL"/>
        </w:rPr>
        <w:t>Në mijë lekë</w:t>
      </w:r>
    </w:p>
    <w:tbl>
      <w:tblPr>
        <w:tblStyle w:val="ListTable3-Accent525"/>
        <w:tblW w:w="5306" w:type="pct"/>
        <w:jc w:val="center"/>
        <w:tblLayout w:type="fixed"/>
        <w:tblLook w:val="01E0" w:firstRow="1" w:lastRow="1" w:firstColumn="1" w:lastColumn="1" w:noHBand="0" w:noVBand="0"/>
      </w:tblPr>
      <w:tblGrid>
        <w:gridCol w:w="507"/>
        <w:gridCol w:w="11"/>
        <w:gridCol w:w="3180"/>
        <w:gridCol w:w="1096"/>
        <w:gridCol w:w="1049"/>
        <w:gridCol w:w="1147"/>
        <w:gridCol w:w="6"/>
        <w:gridCol w:w="1176"/>
        <w:gridCol w:w="1045"/>
        <w:gridCol w:w="992"/>
      </w:tblGrid>
      <w:tr w:rsidR="00990CDF" w:rsidRPr="00E7447D" w:rsidTr="00E7447D">
        <w:trPr>
          <w:cnfStyle w:val="100000000000" w:firstRow="1" w:lastRow="0" w:firstColumn="0" w:lastColumn="0" w:oddVBand="0" w:evenVBand="0" w:oddHBand="0" w:evenHBand="0" w:firstRowFirstColumn="0" w:firstRowLastColumn="0" w:lastRowFirstColumn="0" w:lastRowLastColumn="0"/>
          <w:trHeight w:val="180"/>
          <w:jc w:val="center"/>
        </w:trPr>
        <w:tc>
          <w:tcPr>
            <w:cnfStyle w:val="001000000100" w:firstRow="0" w:lastRow="0" w:firstColumn="1" w:lastColumn="0" w:oddVBand="0" w:evenVBand="0" w:oddHBand="0" w:evenHBand="0" w:firstRowFirstColumn="1" w:firstRowLastColumn="0" w:lastRowFirstColumn="0" w:lastRowLastColumn="0"/>
            <w:tcW w:w="253" w:type="pct"/>
            <w:gridSpan w:val="2"/>
            <w:vMerge w:val="restart"/>
          </w:tcPr>
          <w:p w:rsidR="00990CDF" w:rsidRPr="00E7447D" w:rsidRDefault="00990CDF" w:rsidP="00E7447D">
            <w:pPr>
              <w:jc w:val="center"/>
              <w:rPr>
                <w:rFonts w:asciiTheme="minorHAnsi" w:hAnsiTheme="minorHAnsi"/>
                <w:sz w:val="18"/>
                <w:lang w:val="sq-AL"/>
              </w:rPr>
            </w:pPr>
          </w:p>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NR</w:t>
            </w:r>
          </w:p>
        </w:tc>
        <w:tc>
          <w:tcPr>
            <w:cnfStyle w:val="000010000000" w:firstRow="0" w:lastRow="0" w:firstColumn="0" w:lastColumn="0" w:oddVBand="1" w:evenVBand="0" w:oddHBand="0" w:evenHBand="0" w:firstRowFirstColumn="0" w:firstRowLastColumn="0" w:lastRowFirstColumn="0" w:lastRowLastColumn="0"/>
            <w:tcW w:w="1556" w:type="pct"/>
            <w:vMerge w:val="restart"/>
          </w:tcPr>
          <w:p w:rsidR="00990CDF" w:rsidRPr="00E7447D" w:rsidRDefault="00990CDF" w:rsidP="00E7447D">
            <w:pPr>
              <w:jc w:val="center"/>
              <w:rPr>
                <w:rFonts w:asciiTheme="minorHAnsi" w:hAnsiTheme="minorHAnsi"/>
                <w:sz w:val="18"/>
                <w:lang w:val="sq-AL"/>
              </w:rPr>
            </w:pPr>
          </w:p>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Emërtimi i Programit</w:t>
            </w:r>
          </w:p>
        </w:tc>
        <w:tc>
          <w:tcPr>
            <w:tcW w:w="1051" w:type="pct"/>
            <w:gridSpan w:val="2"/>
          </w:tcPr>
          <w:p w:rsidR="00990CDF" w:rsidRPr="00E7447D" w:rsidRDefault="00990CDF" w:rsidP="00E7447D">
            <w:pPr>
              <w:ind w:left="8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Plani 2021</w:t>
            </w:r>
          </w:p>
        </w:tc>
        <w:tc>
          <w:tcPr>
            <w:cnfStyle w:val="000010000000" w:firstRow="0" w:lastRow="0" w:firstColumn="0" w:lastColumn="0" w:oddVBand="1" w:evenVBand="0" w:oddHBand="0" w:evenHBand="0" w:firstRowFirstColumn="0" w:firstRowLastColumn="0" w:lastRowFirstColumn="0" w:lastRowLastColumn="0"/>
            <w:tcW w:w="1141" w:type="pct"/>
            <w:gridSpan w:val="3"/>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Fakti 4-mujori 2021</w:t>
            </w:r>
          </w:p>
        </w:tc>
        <w:tc>
          <w:tcPr>
            <w:cnfStyle w:val="000100001000" w:firstRow="0" w:lastRow="0" w:firstColumn="0" w:lastColumn="1" w:oddVBand="0" w:evenVBand="0" w:oddHBand="0" w:evenHBand="0" w:firstRowFirstColumn="0" w:firstRowLastColumn="1" w:lastRowFirstColumn="0" w:lastRowLastColumn="0"/>
            <w:tcW w:w="999" w:type="pct"/>
            <w:gridSpan w:val="2"/>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Përqindja  e realizimit</w:t>
            </w:r>
          </w:p>
        </w:tc>
      </w:tr>
      <w:tr w:rsidR="00990CDF" w:rsidRPr="00E7447D" w:rsidTr="00E7447D">
        <w:trPr>
          <w:cnfStyle w:val="000000100000" w:firstRow="0" w:lastRow="0" w:firstColumn="0" w:lastColumn="0" w:oddVBand="0" w:evenVBand="0" w:oddHBand="1" w:evenHBand="0"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53" w:type="pct"/>
            <w:gridSpan w:val="2"/>
            <w:vMerge/>
          </w:tcPr>
          <w:p w:rsidR="00990CDF" w:rsidRPr="00E7447D" w:rsidRDefault="00990CDF" w:rsidP="00E7447D">
            <w:pPr>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1556" w:type="pct"/>
            <w:vMerge/>
          </w:tcPr>
          <w:p w:rsidR="00990CDF" w:rsidRPr="00E7447D" w:rsidRDefault="00990CDF" w:rsidP="00E7447D">
            <w:pPr>
              <w:jc w:val="center"/>
              <w:rPr>
                <w:rFonts w:asciiTheme="minorHAnsi" w:hAnsiTheme="minorHAnsi"/>
                <w:b/>
                <w:sz w:val="18"/>
                <w:lang w:val="sq-AL"/>
              </w:rPr>
            </w:pPr>
          </w:p>
        </w:tc>
        <w:tc>
          <w:tcPr>
            <w:tcW w:w="537" w:type="pct"/>
          </w:tcPr>
          <w:p w:rsidR="00990CDF" w:rsidRPr="00E7447D" w:rsidRDefault="00990CDF" w:rsidP="00E7447D">
            <w:pPr>
              <w:ind w:left="8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E7447D">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14" w:type="pct"/>
          </w:tcPr>
          <w:p w:rsidR="00990CDF" w:rsidRPr="00E7447D" w:rsidRDefault="00990CDF" w:rsidP="00E7447D">
            <w:pPr>
              <w:ind w:left="80"/>
              <w:jc w:val="center"/>
              <w:rPr>
                <w:rFonts w:asciiTheme="minorHAnsi" w:hAnsiTheme="minorHAnsi"/>
                <w:b/>
                <w:sz w:val="18"/>
                <w:lang w:val="sq-AL"/>
              </w:rPr>
            </w:pPr>
            <w:r w:rsidRPr="00E7447D">
              <w:rPr>
                <w:rFonts w:asciiTheme="minorHAnsi" w:hAnsiTheme="minorHAnsi"/>
                <w:b/>
                <w:sz w:val="18"/>
                <w:lang w:val="sq-AL"/>
              </w:rPr>
              <w:t>Investime</w:t>
            </w:r>
          </w:p>
        </w:tc>
        <w:tc>
          <w:tcPr>
            <w:tcW w:w="562" w:type="pct"/>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E7447D">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79" w:type="pct"/>
            <w:gridSpan w:val="2"/>
          </w:tcPr>
          <w:p w:rsidR="00990CDF" w:rsidRPr="00E7447D" w:rsidRDefault="00990CDF" w:rsidP="00E7447D">
            <w:pPr>
              <w:jc w:val="center"/>
              <w:rPr>
                <w:rFonts w:asciiTheme="minorHAnsi" w:hAnsiTheme="minorHAnsi"/>
                <w:b/>
                <w:sz w:val="18"/>
                <w:lang w:val="sq-AL"/>
              </w:rPr>
            </w:pPr>
            <w:r w:rsidRPr="00E7447D">
              <w:rPr>
                <w:rFonts w:asciiTheme="minorHAnsi" w:hAnsiTheme="minorHAnsi"/>
                <w:b/>
                <w:sz w:val="18"/>
                <w:lang w:val="sq-AL"/>
              </w:rPr>
              <w:t>Investime</w:t>
            </w:r>
          </w:p>
        </w:tc>
        <w:tc>
          <w:tcPr>
            <w:tcW w:w="512" w:type="pct"/>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E7447D">
              <w:rPr>
                <w:rFonts w:asciiTheme="minorHAnsi" w:hAnsiTheme="minorHAns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487" w:type="pct"/>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Investime</w:t>
            </w:r>
          </w:p>
        </w:tc>
      </w:tr>
      <w:tr w:rsidR="00990CDF" w:rsidRPr="00E7447D" w:rsidTr="00E7447D">
        <w:trPr>
          <w:trHeight w:val="189"/>
          <w:jc w:val="center"/>
        </w:trPr>
        <w:tc>
          <w:tcPr>
            <w:cnfStyle w:val="001000000000" w:firstRow="0" w:lastRow="0" w:firstColumn="1" w:lastColumn="0" w:oddVBand="0" w:evenVBand="0" w:oddHBand="0" w:evenHBand="0" w:firstRowFirstColumn="0" w:firstRowLastColumn="0" w:lastRowFirstColumn="0" w:lastRowLastColumn="0"/>
            <w:tcW w:w="248" w:type="pct"/>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1</w:t>
            </w:r>
          </w:p>
        </w:tc>
        <w:tc>
          <w:tcPr>
            <w:cnfStyle w:val="000010000000" w:firstRow="0" w:lastRow="0" w:firstColumn="0" w:lastColumn="0" w:oddVBand="1" w:evenVBand="0" w:oddHBand="0" w:evenHBand="0" w:firstRowFirstColumn="0" w:firstRowLastColumn="0" w:lastRowFirstColumn="0" w:lastRowLastColumn="0"/>
            <w:tcW w:w="1561" w:type="pct"/>
            <w:gridSpan w:val="2"/>
            <w:vAlign w:val="bottom"/>
          </w:tcPr>
          <w:p w:rsidR="00990CDF" w:rsidRPr="00E7447D" w:rsidRDefault="00990CDF" w:rsidP="00E7447D">
            <w:pPr>
              <w:rPr>
                <w:rFonts w:asciiTheme="minorHAnsi" w:hAnsiTheme="minorHAnsi"/>
                <w:sz w:val="18"/>
                <w:lang w:val="sq-AL"/>
              </w:rPr>
            </w:pPr>
            <w:r w:rsidRPr="00E7447D">
              <w:rPr>
                <w:rFonts w:asciiTheme="minorHAnsi" w:hAnsiTheme="minorHAnsi"/>
                <w:sz w:val="18"/>
                <w:lang w:val="sq-AL"/>
              </w:rPr>
              <w:t>Planifikimi, Menaxhimi dhe Administrimi</w:t>
            </w:r>
          </w:p>
        </w:tc>
        <w:tc>
          <w:tcPr>
            <w:tcW w:w="537" w:type="pct"/>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377,687</w:t>
            </w:r>
          </w:p>
        </w:tc>
        <w:tc>
          <w:tcPr>
            <w:cnfStyle w:val="000010000000" w:firstRow="0" w:lastRow="0" w:firstColumn="0" w:lastColumn="0" w:oddVBand="1" w:evenVBand="0" w:oddHBand="0" w:evenHBand="0" w:firstRowFirstColumn="0" w:firstRowLastColumn="0" w:lastRowFirstColumn="0" w:lastRowLastColumn="0"/>
            <w:tcW w:w="514"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5,000</w:t>
            </w:r>
          </w:p>
        </w:tc>
        <w:tc>
          <w:tcPr>
            <w:tcW w:w="565" w:type="pct"/>
            <w:gridSpan w:val="2"/>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66,191</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445</w:t>
            </w:r>
          </w:p>
        </w:tc>
        <w:tc>
          <w:tcPr>
            <w:tcW w:w="512" w:type="pct"/>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18</w:t>
            </w:r>
          </w:p>
        </w:tc>
        <w:tc>
          <w:tcPr>
            <w:cnfStyle w:val="000100000000" w:firstRow="0" w:lastRow="0" w:firstColumn="0" w:lastColumn="1" w:oddVBand="0" w:evenVBand="0" w:oddHBand="0" w:evenHBand="0" w:firstRowFirstColumn="0" w:firstRowLastColumn="0" w:lastRowFirstColumn="0" w:lastRowLastColumn="0"/>
            <w:tcW w:w="487" w:type="pct"/>
            <w:vAlign w:val="bottom"/>
          </w:tcPr>
          <w:p w:rsidR="00990CDF" w:rsidRPr="00E7447D" w:rsidRDefault="00990CDF" w:rsidP="00E7447D">
            <w:pPr>
              <w:jc w:val="center"/>
              <w:rPr>
                <w:rFonts w:asciiTheme="minorHAnsi" w:hAnsiTheme="minorHAnsi"/>
                <w:sz w:val="18"/>
                <w:lang w:val="sq-AL"/>
              </w:rPr>
            </w:pPr>
          </w:p>
        </w:tc>
      </w:tr>
      <w:tr w:rsidR="00990CDF" w:rsidRPr="00E7447D" w:rsidTr="00E7447D">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48" w:type="pct"/>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2</w:t>
            </w:r>
          </w:p>
        </w:tc>
        <w:tc>
          <w:tcPr>
            <w:cnfStyle w:val="000010000000" w:firstRow="0" w:lastRow="0" w:firstColumn="0" w:lastColumn="0" w:oddVBand="1" w:evenVBand="0" w:oddHBand="0" w:evenHBand="0" w:firstRowFirstColumn="0" w:firstRowLastColumn="0" w:lastRowFirstColumn="0" w:lastRowLastColumn="0"/>
            <w:tcW w:w="1561" w:type="pct"/>
            <w:gridSpan w:val="2"/>
            <w:vAlign w:val="bottom"/>
          </w:tcPr>
          <w:p w:rsidR="00990CDF" w:rsidRPr="00E7447D" w:rsidRDefault="00990CDF" w:rsidP="00E7447D">
            <w:pPr>
              <w:rPr>
                <w:rFonts w:asciiTheme="minorHAnsi" w:hAnsiTheme="minorHAnsi"/>
                <w:sz w:val="18"/>
                <w:lang w:val="sq-AL"/>
              </w:rPr>
            </w:pPr>
            <w:r w:rsidRPr="00E7447D">
              <w:rPr>
                <w:rFonts w:asciiTheme="minorHAnsi" w:hAnsiTheme="minorHAnsi"/>
                <w:sz w:val="18"/>
                <w:lang w:val="sq-AL"/>
              </w:rPr>
              <w:t>Shërbime të Kujdesit Shëndetësor Parësor</w:t>
            </w:r>
          </w:p>
        </w:tc>
        <w:tc>
          <w:tcPr>
            <w:tcW w:w="537" w:type="pct"/>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11,118,600</w:t>
            </w:r>
          </w:p>
        </w:tc>
        <w:tc>
          <w:tcPr>
            <w:cnfStyle w:val="000010000000" w:firstRow="0" w:lastRow="0" w:firstColumn="0" w:lastColumn="0" w:oddVBand="1" w:evenVBand="0" w:oddHBand="0" w:evenHBand="0" w:firstRowFirstColumn="0" w:firstRowLastColumn="0" w:lastRowFirstColumn="0" w:lastRowLastColumn="0"/>
            <w:tcW w:w="514"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309,898</w:t>
            </w:r>
          </w:p>
        </w:tc>
        <w:tc>
          <w:tcPr>
            <w:tcW w:w="565" w:type="pct"/>
            <w:gridSpan w:val="2"/>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3,009,355</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45,290</w:t>
            </w:r>
          </w:p>
        </w:tc>
        <w:tc>
          <w:tcPr>
            <w:tcW w:w="512" w:type="pct"/>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27</w:t>
            </w:r>
          </w:p>
        </w:tc>
        <w:tc>
          <w:tcPr>
            <w:cnfStyle w:val="000100000000" w:firstRow="0" w:lastRow="0" w:firstColumn="0" w:lastColumn="1" w:oddVBand="0" w:evenVBand="0" w:oddHBand="0" w:evenHBand="0" w:firstRowFirstColumn="0" w:firstRowLastColumn="0" w:lastRowFirstColumn="0" w:lastRowLastColumn="0"/>
            <w:tcW w:w="487" w:type="pct"/>
            <w:vAlign w:val="bottom"/>
          </w:tcPr>
          <w:p w:rsidR="00990CDF" w:rsidRPr="00E7447D" w:rsidRDefault="00990CDF" w:rsidP="00E7447D">
            <w:pPr>
              <w:jc w:val="center"/>
              <w:rPr>
                <w:rFonts w:asciiTheme="minorHAnsi" w:hAnsiTheme="minorHAnsi"/>
                <w:sz w:val="18"/>
                <w:lang w:val="sq-AL"/>
              </w:rPr>
            </w:pPr>
          </w:p>
        </w:tc>
      </w:tr>
      <w:tr w:rsidR="00990CDF" w:rsidRPr="00E7447D" w:rsidTr="00E7447D">
        <w:trPr>
          <w:trHeight w:val="171"/>
          <w:jc w:val="center"/>
        </w:trPr>
        <w:tc>
          <w:tcPr>
            <w:cnfStyle w:val="001000000000" w:firstRow="0" w:lastRow="0" w:firstColumn="1" w:lastColumn="0" w:oddVBand="0" w:evenVBand="0" w:oddHBand="0" w:evenHBand="0" w:firstRowFirstColumn="0" w:firstRowLastColumn="0" w:lastRowFirstColumn="0" w:lastRowLastColumn="0"/>
            <w:tcW w:w="248" w:type="pct"/>
          </w:tcPr>
          <w:p w:rsidR="00990CDF" w:rsidRPr="00E7447D" w:rsidRDefault="00990CDF" w:rsidP="00E7447D">
            <w:pPr>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1561" w:type="pct"/>
            <w:gridSpan w:val="2"/>
            <w:vAlign w:val="bottom"/>
          </w:tcPr>
          <w:p w:rsidR="00990CDF" w:rsidRPr="00E7447D" w:rsidRDefault="00990CDF" w:rsidP="00E7447D">
            <w:pPr>
              <w:ind w:left="60"/>
              <w:contextualSpacing/>
              <w:jc w:val="right"/>
              <w:rPr>
                <w:rFonts w:asciiTheme="minorHAnsi" w:hAnsiTheme="minorHAnsi"/>
                <w:sz w:val="18"/>
                <w:lang w:val="sq-AL"/>
              </w:rPr>
            </w:pPr>
            <w:r w:rsidRPr="00E7447D">
              <w:rPr>
                <w:rFonts w:asciiTheme="minorHAnsi" w:hAnsiTheme="minorHAnsi"/>
                <w:sz w:val="18"/>
                <w:lang w:val="sq-AL"/>
              </w:rPr>
              <w:t>Financimi i huaj</w:t>
            </w:r>
          </w:p>
        </w:tc>
        <w:tc>
          <w:tcPr>
            <w:tcW w:w="537" w:type="pct"/>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14"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158,000</w:t>
            </w:r>
          </w:p>
        </w:tc>
        <w:tc>
          <w:tcPr>
            <w:tcW w:w="565" w:type="pct"/>
            <w:gridSpan w:val="2"/>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0</w:t>
            </w:r>
          </w:p>
        </w:tc>
        <w:tc>
          <w:tcPr>
            <w:tcW w:w="512" w:type="pct"/>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100000000" w:firstRow="0" w:lastRow="0" w:firstColumn="0" w:lastColumn="1" w:oddVBand="0" w:evenVBand="0" w:oddHBand="0" w:evenHBand="0" w:firstRowFirstColumn="0" w:firstRowLastColumn="0" w:lastRowFirstColumn="0" w:lastRowLastColumn="0"/>
            <w:tcW w:w="487"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0</w:t>
            </w:r>
          </w:p>
        </w:tc>
      </w:tr>
      <w:tr w:rsidR="00990CDF" w:rsidRPr="00E7447D" w:rsidTr="00E7447D">
        <w:trPr>
          <w:cnfStyle w:val="000000100000" w:firstRow="0" w:lastRow="0" w:firstColumn="0" w:lastColumn="0" w:oddVBand="0" w:evenVBand="0" w:oddHBand="1" w:evenHBand="0"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248" w:type="pct"/>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3.</w:t>
            </w:r>
          </w:p>
        </w:tc>
        <w:tc>
          <w:tcPr>
            <w:cnfStyle w:val="000010000000" w:firstRow="0" w:lastRow="0" w:firstColumn="0" w:lastColumn="0" w:oddVBand="1" w:evenVBand="0" w:oddHBand="0" w:evenHBand="0" w:firstRowFirstColumn="0" w:firstRowLastColumn="0" w:lastRowFirstColumn="0" w:lastRowLastColumn="0"/>
            <w:tcW w:w="1561" w:type="pct"/>
            <w:gridSpan w:val="2"/>
            <w:vAlign w:val="bottom"/>
          </w:tcPr>
          <w:p w:rsidR="00990CDF" w:rsidRPr="00E7447D" w:rsidRDefault="00990CDF" w:rsidP="00E7447D">
            <w:pPr>
              <w:rPr>
                <w:rFonts w:asciiTheme="minorHAnsi" w:hAnsiTheme="minorHAnsi"/>
                <w:sz w:val="18"/>
                <w:lang w:val="sq-AL"/>
              </w:rPr>
            </w:pPr>
            <w:r w:rsidRPr="00E7447D">
              <w:rPr>
                <w:rFonts w:asciiTheme="minorHAnsi" w:hAnsiTheme="minorHAnsi"/>
                <w:sz w:val="18"/>
                <w:lang w:val="sq-AL"/>
              </w:rPr>
              <w:t>Shërbime të Kujdesit Shëndetësor Dytësor</w:t>
            </w:r>
          </w:p>
        </w:tc>
        <w:tc>
          <w:tcPr>
            <w:tcW w:w="537" w:type="pct"/>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28,011,977</w:t>
            </w:r>
          </w:p>
        </w:tc>
        <w:tc>
          <w:tcPr>
            <w:cnfStyle w:val="000010000000" w:firstRow="0" w:lastRow="0" w:firstColumn="0" w:lastColumn="0" w:oddVBand="1" w:evenVBand="0" w:oddHBand="0" w:evenHBand="0" w:firstRowFirstColumn="0" w:firstRowLastColumn="0" w:lastRowFirstColumn="0" w:lastRowLastColumn="0"/>
            <w:tcW w:w="514"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2,090,802</w:t>
            </w:r>
          </w:p>
        </w:tc>
        <w:tc>
          <w:tcPr>
            <w:tcW w:w="565" w:type="pct"/>
            <w:gridSpan w:val="2"/>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8,517,912</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432,419</w:t>
            </w:r>
          </w:p>
        </w:tc>
        <w:tc>
          <w:tcPr>
            <w:tcW w:w="512" w:type="pct"/>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30</w:t>
            </w:r>
          </w:p>
        </w:tc>
        <w:tc>
          <w:tcPr>
            <w:cnfStyle w:val="000100000000" w:firstRow="0" w:lastRow="0" w:firstColumn="0" w:lastColumn="1" w:oddVBand="0" w:evenVBand="0" w:oddHBand="0" w:evenHBand="0" w:firstRowFirstColumn="0" w:firstRowLastColumn="0" w:lastRowFirstColumn="0" w:lastRowLastColumn="0"/>
            <w:tcW w:w="487" w:type="pct"/>
            <w:vAlign w:val="bottom"/>
          </w:tcPr>
          <w:p w:rsidR="00990CDF" w:rsidRPr="00E7447D" w:rsidRDefault="00990CDF" w:rsidP="00E7447D">
            <w:pPr>
              <w:jc w:val="center"/>
              <w:rPr>
                <w:rFonts w:asciiTheme="minorHAnsi" w:hAnsiTheme="minorHAnsi"/>
                <w:sz w:val="18"/>
                <w:lang w:val="sq-AL"/>
              </w:rPr>
            </w:pPr>
          </w:p>
        </w:tc>
      </w:tr>
      <w:tr w:rsidR="00990CDF" w:rsidRPr="00E7447D" w:rsidTr="00E7447D">
        <w:trPr>
          <w:trHeight w:val="129"/>
          <w:jc w:val="center"/>
        </w:trPr>
        <w:tc>
          <w:tcPr>
            <w:cnfStyle w:val="001000000000" w:firstRow="0" w:lastRow="0" w:firstColumn="1" w:lastColumn="0" w:oddVBand="0" w:evenVBand="0" w:oddHBand="0" w:evenHBand="0" w:firstRowFirstColumn="0" w:firstRowLastColumn="0" w:lastRowFirstColumn="0" w:lastRowLastColumn="0"/>
            <w:tcW w:w="248" w:type="pct"/>
          </w:tcPr>
          <w:p w:rsidR="00990CDF" w:rsidRPr="00E7447D" w:rsidRDefault="00990CDF" w:rsidP="00E7447D">
            <w:pPr>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1561" w:type="pct"/>
            <w:gridSpan w:val="2"/>
            <w:vAlign w:val="bottom"/>
          </w:tcPr>
          <w:p w:rsidR="00990CDF" w:rsidRPr="00E7447D" w:rsidRDefault="00990CDF" w:rsidP="00E7447D">
            <w:pPr>
              <w:jc w:val="right"/>
              <w:rPr>
                <w:rFonts w:asciiTheme="minorHAnsi" w:hAnsiTheme="minorHAnsi"/>
                <w:sz w:val="18"/>
                <w:lang w:val="sq-AL"/>
              </w:rPr>
            </w:pPr>
            <w:r w:rsidRPr="00E7447D">
              <w:rPr>
                <w:rFonts w:asciiTheme="minorHAnsi" w:hAnsiTheme="minorHAnsi"/>
                <w:sz w:val="18"/>
                <w:lang w:val="sq-AL"/>
              </w:rPr>
              <w:t>Financimi i huaj</w:t>
            </w:r>
          </w:p>
        </w:tc>
        <w:tc>
          <w:tcPr>
            <w:tcW w:w="537" w:type="pct"/>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14"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852,000</w:t>
            </w:r>
          </w:p>
        </w:tc>
        <w:tc>
          <w:tcPr>
            <w:tcW w:w="565" w:type="pct"/>
            <w:gridSpan w:val="2"/>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214,435</w:t>
            </w:r>
          </w:p>
        </w:tc>
        <w:tc>
          <w:tcPr>
            <w:tcW w:w="512" w:type="pct"/>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100000000" w:firstRow="0" w:lastRow="0" w:firstColumn="0" w:lastColumn="1" w:oddVBand="0" w:evenVBand="0" w:oddHBand="0" w:evenHBand="0" w:firstRowFirstColumn="0" w:firstRowLastColumn="0" w:lastRowFirstColumn="0" w:lastRowLastColumn="0"/>
            <w:tcW w:w="487"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25</w:t>
            </w:r>
          </w:p>
        </w:tc>
      </w:tr>
      <w:tr w:rsidR="00990CDF" w:rsidRPr="00E7447D" w:rsidTr="00E7447D">
        <w:trPr>
          <w:cnfStyle w:val="000000100000" w:firstRow="0" w:lastRow="0" w:firstColumn="0" w:lastColumn="0" w:oddVBand="0" w:evenVBand="0" w:oddHBand="1" w:evenHBand="0" w:firstRowFirstColumn="0" w:firstRowLastColumn="0" w:lastRowFirstColumn="0" w:lastRowLastColumn="0"/>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4.</w:t>
            </w:r>
          </w:p>
        </w:tc>
        <w:tc>
          <w:tcPr>
            <w:cnfStyle w:val="000010000000" w:firstRow="0" w:lastRow="0" w:firstColumn="0" w:lastColumn="0" w:oddVBand="1" w:evenVBand="0" w:oddHBand="0" w:evenHBand="0" w:firstRowFirstColumn="0" w:firstRowLastColumn="0" w:lastRowFirstColumn="0" w:lastRowLastColumn="0"/>
            <w:tcW w:w="1561" w:type="pct"/>
            <w:gridSpan w:val="2"/>
            <w:vAlign w:val="bottom"/>
          </w:tcPr>
          <w:p w:rsidR="00990CDF" w:rsidRPr="00E7447D" w:rsidRDefault="00990CDF" w:rsidP="00E7447D">
            <w:pPr>
              <w:rPr>
                <w:rFonts w:asciiTheme="minorHAnsi" w:hAnsiTheme="minorHAnsi"/>
                <w:sz w:val="18"/>
                <w:lang w:val="sq-AL"/>
              </w:rPr>
            </w:pPr>
            <w:r w:rsidRPr="00E7447D">
              <w:rPr>
                <w:rFonts w:asciiTheme="minorHAnsi" w:hAnsiTheme="minorHAnsi"/>
                <w:sz w:val="18"/>
                <w:lang w:val="sq-AL"/>
              </w:rPr>
              <w:t>Shërbime të Shëndetit Publik</w:t>
            </w:r>
          </w:p>
        </w:tc>
        <w:tc>
          <w:tcPr>
            <w:tcW w:w="537" w:type="pct"/>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5,102,681</w:t>
            </w:r>
          </w:p>
        </w:tc>
        <w:tc>
          <w:tcPr>
            <w:cnfStyle w:val="000010000000" w:firstRow="0" w:lastRow="0" w:firstColumn="0" w:lastColumn="0" w:oddVBand="1" w:evenVBand="0" w:oddHBand="0" w:evenHBand="0" w:firstRowFirstColumn="0" w:firstRowLastColumn="0" w:lastRowFirstColumn="0" w:lastRowLastColumn="0"/>
            <w:tcW w:w="514"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21,000</w:t>
            </w:r>
          </w:p>
        </w:tc>
        <w:tc>
          <w:tcPr>
            <w:tcW w:w="565" w:type="pct"/>
            <w:gridSpan w:val="2"/>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2,669,616</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990CDF" w:rsidRPr="00E7447D" w:rsidRDefault="00990CDF" w:rsidP="00E7447D">
            <w:pPr>
              <w:jc w:val="center"/>
              <w:rPr>
                <w:rFonts w:asciiTheme="minorHAnsi" w:hAnsiTheme="minorHAnsi"/>
                <w:sz w:val="18"/>
                <w:lang w:val="sq-AL"/>
              </w:rPr>
            </w:pPr>
          </w:p>
        </w:tc>
        <w:tc>
          <w:tcPr>
            <w:tcW w:w="512" w:type="pct"/>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52</w:t>
            </w:r>
          </w:p>
        </w:tc>
        <w:tc>
          <w:tcPr>
            <w:cnfStyle w:val="000100000000" w:firstRow="0" w:lastRow="0" w:firstColumn="0" w:lastColumn="1" w:oddVBand="0" w:evenVBand="0" w:oddHBand="0" w:evenHBand="0" w:firstRowFirstColumn="0" w:firstRowLastColumn="0" w:lastRowFirstColumn="0" w:lastRowLastColumn="0"/>
            <w:tcW w:w="487" w:type="pct"/>
            <w:vAlign w:val="bottom"/>
          </w:tcPr>
          <w:p w:rsidR="00990CDF" w:rsidRPr="00E7447D" w:rsidRDefault="00990CDF" w:rsidP="00E7447D">
            <w:pPr>
              <w:jc w:val="center"/>
              <w:rPr>
                <w:rFonts w:asciiTheme="minorHAnsi" w:hAnsiTheme="minorHAnsi"/>
                <w:sz w:val="18"/>
                <w:lang w:val="sq-AL"/>
              </w:rPr>
            </w:pPr>
          </w:p>
        </w:tc>
      </w:tr>
      <w:tr w:rsidR="00990CDF" w:rsidRPr="00E7447D" w:rsidTr="00E7447D">
        <w:trPr>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5</w:t>
            </w:r>
          </w:p>
        </w:tc>
        <w:tc>
          <w:tcPr>
            <w:cnfStyle w:val="000010000000" w:firstRow="0" w:lastRow="0" w:firstColumn="0" w:lastColumn="0" w:oddVBand="1" w:evenVBand="0" w:oddHBand="0" w:evenHBand="0" w:firstRowFirstColumn="0" w:firstRowLastColumn="0" w:lastRowFirstColumn="0" w:lastRowLastColumn="0"/>
            <w:tcW w:w="1561" w:type="pct"/>
            <w:gridSpan w:val="2"/>
            <w:vAlign w:val="bottom"/>
          </w:tcPr>
          <w:p w:rsidR="00990CDF" w:rsidRPr="00E7447D" w:rsidRDefault="00990CDF" w:rsidP="00E7447D">
            <w:pPr>
              <w:rPr>
                <w:rFonts w:asciiTheme="minorHAnsi" w:hAnsiTheme="minorHAnsi"/>
                <w:sz w:val="18"/>
                <w:lang w:val="sq-AL"/>
              </w:rPr>
            </w:pPr>
            <w:r w:rsidRPr="00E7447D">
              <w:rPr>
                <w:rFonts w:asciiTheme="minorHAnsi" w:hAnsiTheme="minorHAnsi"/>
                <w:sz w:val="18"/>
                <w:lang w:val="sq-AL"/>
              </w:rPr>
              <w:t>Shërbimi Kombëtar i Urgjencës</w:t>
            </w:r>
          </w:p>
        </w:tc>
        <w:tc>
          <w:tcPr>
            <w:tcW w:w="537" w:type="pct"/>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337,500</w:t>
            </w:r>
          </w:p>
        </w:tc>
        <w:tc>
          <w:tcPr>
            <w:cnfStyle w:val="000010000000" w:firstRow="0" w:lastRow="0" w:firstColumn="0" w:lastColumn="0" w:oddVBand="1" w:evenVBand="0" w:oddHBand="0" w:evenHBand="0" w:firstRowFirstColumn="0" w:firstRowLastColumn="0" w:lastRowFirstColumn="0" w:lastRowLastColumn="0"/>
            <w:tcW w:w="514"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15,000</w:t>
            </w:r>
          </w:p>
        </w:tc>
        <w:tc>
          <w:tcPr>
            <w:tcW w:w="565" w:type="pct"/>
            <w:gridSpan w:val="2"/>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81,476</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990CDF" w:rsidRPr="00E7447D" w:rsidRDefault="00990CDF" w:rsidP="00E7447D">
            <w:pPr>
              <w:jc w:val="center"/>
              <w:rPr>
                <w:rFonts w:asciiTheme="minorHAnsi" w:hAnsiTheme="minorHAnsi"/>
                <w:sz w:val="18"/>
                <w:lang w:val="sq-AL"/>
              </w:rPr>
            </w:pPr>
          </w:p>
        </w:tc>
        <w:tc>
          <w:tcPr>
            <w:tcW w:w="512" w:type="pct"/>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24</w:t>
            </w:r>
          </w:p>
        </w:tc>
        <w:tc>
          <w:tcPr>
            <w:cnfStyle w:val="000100000000" w:firstRow="0" w:lastRow="0" w:firstColumn="0" w:lastColumn="1" w:oddVBand="0" w:evenVBand="0" w:oddHBand="0" w:evenHBand="0" w:firstRowFirstColumn="0" w:firstRowLastColumn="0" w:lastRowFirstColumn="0" w:lastRowLastColumn="0"/>
            <w:tcW w:w="487" w:type="pct"/>
            <w:vAlign w:val="bottom"/>
          </w:tcPr>
          <w:p w:rsidR="00990CDF" w:rsidRPr="00E7447D" w:rsidRDefault="00990CDF" w:rsidP="00E7447D">
            <w:pPr>
              <w:jc w:val="center"/>
              <w:rPr>
                <w:rFonts w:asciiTheme="minorHAnsi" w:hAnsiTheme="minorHAnsi"/>
                <w:sz w:val="18"/>
                <w:lang w:val="sq-AL"/>
              </w:rPr>
            </w:pPr>
          </w:p>
        </w:tc>
      </w:tr>
      <w:tr w:rsidR="00990CDF" w:rsidRPr="00E7447D" w:rsidTr="00E7447D">
        <w:trPr>
          <w:cnfStyle w:val="000000100000" w:firstRow="0" w:lastRow="0" w:firstColumn="0" w:lastColumn="0" w:oddVBand="0" w:evenVBand="0" w:oddHBand="1" w:evenHBand="0" w:firstRowFirstColumn="0" w:firstRowLastColumn="0" w:lastRowFirstColumn="0" w:lastRowLastColumn="0"/>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6.</w:t>
            </w:r>
          </w:p>
        </w:tc>
        <w:tc>
          <w:tcPr>
            <w:cnfStyle w:val="000010000000" w:firstRow="0" w:lastRow="0" w:firstColumn="0" w:lastColumn="0" w:oddVBand="1" w:evenVBand="0" w:oddHBand="0" w:evenHBand="0" w:firstRowFirstColumn="0" w:firstRowLastColumn="0" w:lastRowFirstColumn="0" w:lastRowLastColumn="0"/>
            <w:tcW w:w="1561" w:type="pct"/>
            <w:gridSpan w:val="2"/>
            <w:vAlign w:val="bottom"/>
          </w:tcPr>
          <w:p w:rsidR="00990CDF" w:rsidRPr="00E7447D" w:rsidRDefault="00990CDF" w:rsidP="00E7447D">
            <w:pPr>
              <w:rPr>
                <w:rFonts w:asciiTheme="minorHAnsi" w:hAnsiTheme="minorHAnsi"/>
                <w:sz w:val="18"/>
                <w:lang w:val="sq-AL"/>
              </w:rPr>
            </w:pPr>
            <w:r w:rsidRPr="00E7447D">
              <w:rPr>
                <w:rFonts w:asciiTheme="minorHAnsi" w:hAnsiTheme="minorHAnsi"/>
                <w:sz w:val="18"/>
                <w:lang w:val="sq-AL"/>
              </w:rPr>
              <w:t>Përkujdesi Social</w:t>
            </w:r>
          </w:p>
        </w:tc>
        <w:tc>
          <w:tcPr>
            <w:tcW w:w="537" w:type="pct"/>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27,870,460</w:t>
            </w:r>
          </w:p>
        </w:tc>
        <w:tc>
          <w:tcPr>
            <w:cnfStyle w:val="000010000000" w:firstRow="0" w:lastRow="0" w:firstColumn="0" w:lastColumn="0" w:oddVBand="1" w:evenVBand="0" w:oddHBand="0" w:evenHBand="0" w:firstRowFirstColumn="0" w:firstRowLastColumn="0" w:lastRowFirstColumn="0" w:lastRowLastColumn="0"/>
            <w:tcW w:w="514"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10,000</w:t>
            </w:r>
          </w:p>
        </w:tc>
        <w:tc>
          <w:tcPr>
            <w:tcW w:w="565" w:type="pct"/>
            <w:gridSpan w:val="2"/>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8,789,166</w:t>
            </w: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990CDF" w:rsidRPr="00E7447D" w:rsidRDefault="00990CDF" w:rsidP="00E7447D">
            <w:pPr>
              <w:jc w:val="center"/>
              <w:rPr>
                <w:rFonts w:asciiTheme="minorHAnsi" w:hAnsiTheme="minorHAnsi"/>
                <w:sz w:val="18"/>
                <w:lang w:val="sq-AL"/>
              </w:rPr>
            </w:pPr>
          </w:p>
        </w:tc>
        <w:tc>
          <w:tcPr>
            <w:tcW w:w="512" w:type="pct"/>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32</w:t>
            </w:r>
          </w:p>
        </w:tc>
        <w:tc>
          <w:tcPr>
            <w:cnfStyle w:val="000100000000" w:firstRow="0" w:lastRow="0" w:firstColumn="0" w:lastColumn="1" w:oddVBand="0" w:evenVBand="0" w:oddHBand="0" w:evenHBand="0" w:firstRowFirstColumn="0" w:firstRowLastColumn="0" w:lastRowFirstColumn="0" w:lastRowLastColumn="0"/>
            <w:tcW w:w="487"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12</w:t>
            </w:r>
          </w:p>
        </w:tc>
      </w:tr>
      <w:tr w:rsidR="00990CDF" w:rsidRPr="00E7447D" w:rsidTr="00E7447D">
        <w:trPr>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rsidR="00990CDF" w:rsidRPr="00E7447D" w:rsidRDefault="00990CDF" w:rsidP="00E7447D">
            <w:pPr>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1561" w:type="pct"/>
            <w:gridSpan w:val="2"/>
            <w:vAlign w:val="bottom"/>
          </w:tcPr>
          <w:p w:rsidR="00990CDF" w:rsidRPr="00E7447D" w:rsidRDefault="00990CDF" w:rsidP="00E7447D">
            <w:pPr>
              <w:jc w:val="right"/>
              <w:rPr>
                <w:rFonts w:asciiTheme="minorHAnsi" w:hAnsiTheme="minorHAnsi"/>
                <w:sz w:val="18"/>
                <w:lang w:val="sq-AL"/>
              </w:rPr>
            </w:pPr>
            <w:r w:rsidRPr="00E7447D">
              <w:rPr>
                <w:rFonts w:asciiTheme="minorHAnsi" w:hAnsiTheme="minorHAnsi"/>
                <w:bCs/>
                <w:sz w:val="18"/>
                <w:lang w:val="sq-AL"/>
              </w:rPr>
              <w:t>Financimi i huaj</w:t>
            </w:r>
          </w:p>
        </w:tc>
        <w:tc>
          <w:tcPr>
            <w:tcW w:w="537" w:type="pct"/>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14"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100,000</w:t>
            </w:r>
          </w:p>
        </w:tc>
        <w:tc>
          <w:tcPr>
            <w:tcW w:w="565" w:type="pct"/>
            <w:gridSpan w:val="2"/>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76" w:type="pct"/>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12,318</w:t>
            </w:r>
          </w:p>
        </w:tc>
        <w:tc>
          <w:tcPr>
            <w:tcW w:w="512" w:type="pct"/>
            <w:vAlign w:val="bottom"/>
          </w:tcPr>
          <w:p w:rsidR="00990CDF" w:rsidRPr="00E7447D" w:rsidRDefault="00990CDF" w:rsidP="00E7447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100000000" w:firstRow="0" w:lastRow="0" w:firstColumn="0" w:lastColumn="1" w:oddVBand="0" w:evenVBand="0" w:oddHBand="0" w:evenHBand="0" w:firstRowFirstColumn="0" w:firstRowLastColumn="0" w:lastRowFirstColumn="0" w:lastRowLastColumn="0"/>
            <w:tcW w:w="487" w:type="pct"/>
            <w:vAlign w:val="bottom"/>
          </w:tcPr>
          <w:p w:rsidR="00990CDF" w:rsidRPr="00E7447D" w:rsidRDefault="00990CDF" w:rsidP="00E7447D">
            <w:pPr>
              <w:jc w:val="center"/>
              <w:rPr>
                <w:rFonts w:asciiTheme="minorHAnsi" w:hAnsiTheme="minorHAnsi"/>
                <w:sz w:val="18"/>
                <w:lang w:val="sq-AL"/>
              </w:rPr>
            </w:pPr>
          </w:p>
        </w:tc>
      </w:tr>
      <w:tr w:rsidR="00990CDF" w:rsidRPr="00E7447D" w:rsidTr="00E7447D">
        <w:trPr>
          <w:cnfStyle w:val="000000100000" w:firstRow="0" w:lastRow="0" w:firstColumn="0" w:lastColumn="0" w:oddVBand="0" w:evenVBand="0" w:oddHBand="1" w:evenHBand="0"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248" w:type="pct"/>
            <w:tcBorders>
              <w:bottom w:val="none" w:sz="0" w:space="0" w:color="auto"/>
            </w:tcBorders>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7.</w:t>
            </w:r>
          </w:p>
        </w:tc>
        <w:tc>
          <w:tcPr>
            <w:cnfStyle w:val="000010000000" w:firstRow="0" w:lastRow="0" w:firstColumn="0" w:lastColumn="0" w:oddVBand="1" w:evenVBand="0" w:oddHBand="0" w:evenHBand="0" w:firstRowFirstColumn="0" w:firstRowLastColumn="0" w:lastRowFirstColumn="0" w:lastRowLastColumn="0"/>
            <w:tcW w:w="1561" w:type="pct"/>
            <w:gridSpan w:val="2"/>
            <w:tcBorders>
              <w:bottom w:val="none" w:sz="0" w:space="0" w:color="auto"/>
            </w:tcBorders>
            <w:vAlign w:val="bottom"/>
          </w:tcPr>
          <w:p w:rsidR="00990CDF" w:rsidRPr="00E7447D" w:rsidRDefault="00990CDF" w:rsidP="00E7447D">
            <w:pPr>
              <w:jc w:val="right"/>
              <w:rPr>
                <w:rFonts w:asciiTheme="minorHAnsi" w:hAnsiTheme="minorHAnsi"/>
                <w:b/>
                <w:bCs/>
                <w:sz w:val="18"/>
                <w:lang w:val="sq-AL"/>
              </w:rPr>
            </w:pPr>
            <w:r w:rsidRPr="00E7447D">
              <w:rPr>
                <w:rFonts w:asciiTheme="minorHAnsi" w:hAnsiTheme="minorHAnsi"/>
                <w:sz w:val="18"/>
                <w:lang w:val="sq-AL"/>
              </w:rPr>
              <w:t>Rehabilitimi  i të Përndjekurve Politik</w:t>
            </w:r>
          </w:p>
        </w:tc>
        <w:tc>
          <w:tcPr>
            <w:tcW w:w="537" w:type="pct"/>
            <w:tcBorders>
              <w:bottom w:val="none" w:sz="0" w:space="0" w:color="auto"/>
            </w:tcBorders>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E7447D">
              <w:rPr>
                <w:rFonts w:asciiTheme="minorHAnsi" w:hAnsiTheme="minorHAnsi"/>
                <w:sz w:val="18"/>
                <w:lang w:val="sq-AL"/>
              </w:rPr>
              <w:t>1,035,000</w:t>
            </w:r>
          </w:p>
        </w:tc>
        <w:tc>
          <w:tcPr>
            <w:cnfStyle w:val="000010000000" w:firstRow="0" w:lastRow="0" w:firstColumn="0" w:lastColumn="0" w:oddVBand="1" w:evenVBand="0" w:oddHBand="0" w:evenHBand="0" w:firstRowFirstColumn="0" w:firstRowLastColumn="0" w:lastRowFirstColumn="0" w:lastRowLastColumn="0"/>
            <w:tcW w:w="514" w:type="pct"/>
            <w:tcBorders>
              <w:bottom w:val="none" w:sz="0" w:space="0" w:color="auto"/>
            </w:tcBorders>
            <w:vAlign w:val="bottom"/>
          </w:tcPr>
          <w:p w:rsidR="00990CDF" w:rsidRPr="00E7447D" w:rsidRDefault="00990CDF" w:rsidP="00E7447D">
            <w:pPr>
              <w:jc w:val="center"/>
              <w:rPr>
                <w:rFonts w:asciiTheme="minorHAnsi" w:hAnsiTheme="minorHAnsi"/>
                <w:b/>
                <w:bCs/>
                <w:sz w:val="18"/>
                <w:lang w:val="sq-AL"/>
              </w:rPr>
            </w:pPr>
            <w:r w:rsidRPr="00E7447D">
              <w:rPr>
                <w:rFonts w:asciiTheme="minorHAnsi" w:hAnsiTheme="minorHAnsi"/>
                <w:sz w:val="18"/>
                <w:lang w:val="sq-AL"/>
              </w:rPr>
              <w:t>-</w:t>
            </w:r>
          </w:p>
        </w:tc>
        <w:tc>
          <w:tcPr>
            <w:tcW w:w="565" w:type="pct"/>
            <w:gridSpan w:val="2"/>
            <w:tcBorders>
              <w:bottom w:val="none" w:sz="0" w:space="0" w:color="auto"/>
            </w:tcBorders>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E7447D">
              <w:rPr>
                <w:rFonts w:asciiTheme="minorHAnsi" w:hAnsiTheme="minorHAnsi"/>
                <w:sz w:val="18"/>
                <w:lang w:val="sq-AL"/>
              </w:rPr>
              <w:t>269,751</w:t>
            </w:r>
          </w:p>
        </w:tc>
        <w:tc>
          <w:tcPr>
            <w:cnfStyle w:val="000010000000" w:firstRow="0" w:lastRow="0" w:firstColumn="0" w:lastColumn="0" w:oddVBand="1" w:evenVBand="0" w:oddHBand="0" w:evenHBand="0" w:firstRowFirstColumn="0" w:firstRowLastColumn="0" w:lastRowFirstColumn="0" w:lastRowLastColumn="0"/>
            <w:tcW w:w="576" w:type="pct"/>
            <w:tcBorders>
              <w:bottom w:val="none" w:sz="0" w:space="0" w:color="auto"/>
            </w:tcBorders>
            <w:vAlign w:val="bottom"/>
          </w:tcPr>
          <w:p w:rsidR="00990CDF" w:rsidRPr="00E7447D" w:rsidRDefault="00990CDF" w:rsidP="00E7447D">
            <w:pPr>
              <w:jc w:val="center"/>
              <w:rPr>
                <w:rFonts w:asciiTheme="minorHAnsi" w:hAnsiTheme="minorHAnsi"/>
                <w:b/>
                <w:bCs/>
                <w:sz w:val="18"/>
                <w:lang w:val="sq-AL"/>
              </w:rPr>
            </w:pPr>
          </w:p>
        </w:tc>
        <w:tc>
          <w:tcPr>
            <w:tcW w:w="512" w:type="pct"/>
            <w:tcBorders>
              <w:bottom w:val="none" w:sz="0" w:space="0" w:color="auto"/>
            </w:tcBorders>
            <w:vAlign w:val="bottom"/>
          </w:tcPr>
          <w:p w:rsidR="00990CDF" w:rsidRPr="00E7447D" w:rsidRDefault="00990CDF" w:rsidP="00E7447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E7447D">
              <w:rPr>
                <w:rFonts w:asciiTheme="minorHAnsi" w:hAnsiTheme="minorHAnsi"/>
                <w:sz w:val="18"/>
                <w:lang w:val="sq-AL"/>
              </w:rPr>
              <w:t>26</w:t>
            </w:r>
          </w:p>
        </w:tc>
        <w:tc>
          <w:tcPr>
            <w:cnfStyle w:val="000100000000" w:firstRow="0" w:lastRow="0" w:firstColumn="0" w:lastColumn="1" w:oddVBand="0" w:evenVBand="0" w:oddHBand="0" w:evenHBand="0" w:firstRowFirstColumn="0" w:firstRowLastColumn="0" w:lastRowFirstColumn="0" w:lastRowLastColumn="0"/>
            <w:tcW w:w="487" w:type="pct"/>
            <w:tcBorders>
              <w:bottom w:val="none" w:sz="0" w:space="0" w:color="auto"/>
            </w:tcBorders>
            <w:vAlign w:val="bottom"/>
          </w:tcPr>
          <w:p w:rsidR="00990CDF" w:rsidRPr="00E7447D" w:rsidRDefault="00990CDF" w:rsidP="00E7447D">
            <w:pPr>
              <w:jc w:val="center"/>
              <w:rPr>
                <w:rFonts w:asciiTheme="minorHAnsi" w:hAnsiTheme="minorHAnsi"/>
                <w:sz w:val="18"/>
                <w:lang w:val="sq-AL"/>
              </w:rPr>
            </w:pPr>
          </w:p>
        </w:tc>
      </w:tr>
      <w:tr w:rsidR="00990CDF" w:rsidRPr="00E7447D" w:rsidTr="00E7447D">
        <w:trPr>
          <w:cnfStyle w:val="010000000000" w:firstRow="0" w:lastRow="1" w:firstColumn="0" w:lastColumn="0" w:oddVBand="0" w:evenVBand="0" w:oddHBand="0" w:evenHBand="0" w:firstRowFirstColumn="0" w:firstRowLastColumn="0" w:lastRowFirstColumn="0" w:lastRowLastColumn="0"/>
          <w:trHeight w:val="129"/>
          <w:jc w:val="center"/>
        </w:trPr>
        <w:tc>
          <w:tcPr>
            <w:cnfStyle w:val="001000000001" w:firstRow="0" w:lastRow="0" w:firstColumn="1" w:lastColumn="0" w:oddVBand="0" w:evenVBand="0" w:oddHBand="0" w:evenHBand="0" w:firstRowFirstColumn="0" w:firstRowLastColumn="0" w:lastRowFirstColumn="1" w:lastRowLastColumn="0"/>
            <w:tcW w:w="1810" w:type="pct"/>
            <w:gridSpan w:val="3"/>
            <w:tcBorders>
              <w:bottom w:val="single" w:sz="4" w:space="0" w:color="auto"/>
            </w:tcBorders>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Totali</w:t>
            </w:r>
          </w:p>
        </w:tc>
        <w:tc>
          <w:tcPr>
            <w:cnfStyle w:val="000010000000" w:firstRow="0" w:lastRow="0" w:firstColumn="0" w:lastColumn="0" w:oddVBand="1" w:evenVBand="0" w:oddHBand="0" w:evenHBand="0" w:firstRowFirstColumn="0" w:firstRowLastColumn="0" w:lastRowFirstColumn="0" w:lastRowLastColumn="0"/>
            <w:tcW w:w="537" w:type="pct"/>
            <w:tcBorders>
              <w:bottom w:val="single" w:sz="4" w:space="0" w:color="auto"/>
            </w:tcBorders>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73,853,905</w:t>
            </w:r>
          </w:p>
        </w:tc>
        <w:tc>
          <w:tcPr>
            <w:tcW w:w="514" w:type="pct"/>
            <w:tcBorders>
              <w:bottom w:val="single" w:sz="4" w:space="0" w:color="auto"/>
            </w:tcBorders>
            <w:vAlign w:val="bottom"/>
          </w:tcPr>
          <w:p w:rsidR="00990CDF" w:rsidRPr="00E7447D" w:rsidRDefault="00990CDF" w:rsidP="00E7447D">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3,561,700</w:t>
            </w:r>
          </w:p>
        </w:tc>
        <w:tc>
          <w:tcPr>
            <w:cnfStyle w:val="000010000000" w:firstRow="0" w:lastRow="0" w:firstColumn="0" w:lastColumn="0" w:oddVBand="1" w:evenVBand="0" w:oddHBand="0" w:evenHBand="0" w:firstRowFirstColumn="0" w:firstRowLastColumn="0" w:lastRowFirstColumn="0" w:lastRowLastColumn="0"/>
            <w:tcW w:w="565" w:type="pct"/>
            <w:gridSpan w:val="2"/>
            <w:tcBorders>
              <w:bottom w:val="single" w:sz="4" w:space="0" w:color="auto"/>
            </w:tcBorders>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23,403,467</w:t>
            </w:r>
          </w:p>
        </w:tc>
        <w:tc>
          <w:tcPr>
            <w:tcW w:w="576" w:type="pct"/>
            <w:tcBorders>
              <w:bottom w:val="single" w:sz="4" w:space="0" w:color="auto"/>
            </w:tcBorders>
            <w:vAlign w:val="bottom"/>
          </w:tcPr>
          <w:p w:rsidR="00990CDF" w:rsidRPr="00E7447D" w:rsidRDefault="00990CDF" w:rsidP="00E7447D">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E7447D">
              <w:rPr>
                <w:rFonts w:asciiTheme="minorHAnsi" w:hAnsiTheme="minorHAnsi"/>
                <w:sz w:val="18"/>
                <w:lang w:val="sq-AL"/>
              </w:rPr>
              <w:t>704,907</w:t>
            </w:r>
          </w:p>
        </w:tc>
        <w:tc>
          <w:tcPr>
            <w:cnfStyle w:val="000010000000" w:firstRow="0" w:lastRow="0" w:firstColumn="0" w:lastColumn="0" w:oddVBand="1" w:evenVBand="0" w:oddHBand="0" w:evenHBand="0" w:firstRowFirstColumn="0" w:firstRowLastColumn="0" w:lastRowFirstColumn="0" w:lastRowLastColumn="0"/>
            <w:tcW w:w="512" w:type="pct"/>
            <w:tcBorders>
              <w:bottom w:val="single" w:sz="4" w:space="0" w:color="auto"/>
            </w:tcBorders>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32</w:t>
            </w:r>
          </w:p>
        </w:tc>
        <w:tc>
          <w:tcPr>
            <w:cnfStyle w:val="000100000010" w:firstRow="0" w:lastRow="0" w:firstColumn="0" w:lastColumn="1" w:oddVBand="0" w:evenVBand="0" w:oddHBand="0" w:evenHBand="0" w:firstRowFirstColumn="0" w:firstRowLastColumn="0" w:lastRowFirstColumn="0" w:lastRowLastColumn="1"/>
            <w:tcW w:w="487" w:type="pct"/>
            <w:tcBorders>
              <w:bottom w:val="single" w:sz="4" w:space="0" w:color="auto"/>
            </w:tcBorders>
            <w:vAlign w:val="bottom"/>
          </w:tcPr>
          <w:p w:rsidR="00990CDF" w:rsidRPr="00E7447D" w:rsidRDefault="00990CDF" w:rsidP="00E7447D">
            <w:pPr>
              <w:jc w:val="center"/>
              <w:rPr>
                <w:rFonts w:asciiTheme="minorHAnsi" w:hAnsiTheme="minorHAnsi"/>
                <w:sz w:val="18"/>
                <w:lang w:val="sq-AL"/>
              </w:rPr>
            </w:pPr>
            <w:r w:rsidRPr="00E7447D">
              <w:rPr>
                <w:rFonts w:asciiTheme="minorHAnsi" w:hAnsiTheme="minorHAnsi"/>
                <w:sz w:val="18"/>
                <w:lang w:val="sq-AL"/>
              </w:rPr>
              <w:t>20</w:t>
            </w:r>
          </w:p>
        </w:tc>
      </w:tr>
    </w:tbl>
    <w:p w:rsidR="00990CDF" w:rsidRPr="00BF005F" w:rsidRDefault="00990CDF" w:rsidP="00990CDF">
      <w:pPr>
        <w:spacing w:line="276" w:lineRule="auto"/>
        <w:jc w:val="both"/>
        <w:rPr>
          <w:rFonts w:asciiTheme="minorHAnsi" w:hAnsiTheme="minorHAnsi"/>
          <w:lang w:val="sq-AL"/>
        </w:rPr>
      </w:pPr>
    </w:p>
    <w:p w:rsidR="00990CDF" w:rsidRPr="00BF005F" w:rsidRDefault="00990CDF" w:rsidP="00E7447D">
      <w:pPr>
        <w:spacing w:after="120" w:line="276" w:lineRule="auto"/>
        <w:jc w:val="both"/>
        <w:rPr>
          <w:rFonts w:asciiTheme="minorHAnsi" w:hAnsiTheme="minorHAnsi"/>
          <w:lang w:val="sq-AL"/>
        </w:rPr>
      </w:pPr>
      <w:r w:rsidRPr="00BF005F">
        <w:rPr>
          <w:rFonts w:asciiTheme="minorHAnsi" w:hAnsiTheme="minorHAnsi"/>
          <w:lang w:val="sq-AL"/>
        </w:rPr>
        <w:t xml:space="preserve">Për programin </w:t>
      </w:r>
      <w:r w:rsidRPr="00BF005F">
        <w:rPr>
          <w:rFonts w:asciiTheme="minorHAnsi" w:hAnsiTheme="minorHAnsi"/>
          <w:b/>
          <w:lang w:val="sq-AL"/>
        </w:rPr>
        <w:t>“Shërbime të Kujdesit Shëndetësor Parësor”</w:t>
      </w:r>
      <w:r w:rsidRPr="00BF005F">
        <w:rPr>
          <w:rFonts w:asciiTheme="minorHAnsi" w:hAnsiTheme="minorHAnsi"/>
          <w:lang w:val="sq-AL"/>
        </w:rPr>
        <w:t xml:space="preserve"> është realizuar qëllimi i programit i cili synon </w:t>
      </w:r>
      <w:r w:rsidRPr="00BF005F">
        <w:rPr>
          <w:rFonts w:asciiTheme="minorHAnsi" w:hAnsiTheme="minorHAnsi"/>
          <w:i/>
          <w:lang w:val="sq-AL"/>
        </w:rPr>
        <w:t xml:space="preserve">“Mbulim universal të nevojave të popullatës për kujdes mjekësor parësor, nëpërmjet ofrimit të vizitave falas nga mjeku i familjes, kontrollit mjekësor bazë dhe programeve parandaluese. Përmbushja e standarteve kombëtare të miratuara të cilësisë së  institucioneve të kujdesit parësor nëpërmjet procesit të  akreditimit. Përmiresimi i kujdesit për shëndetin për nënën dhe fëmijën. Ulja e barrës së sëmundshmërisë dhe parandalimi i fataliteteve të parakohshme  shkaktuar nga sëmundjet kronike për popullatën adulte. Shtimi i numrit të barnave dhe materialeve të mjekimit në listën e  rimbursimit,  për të rritur aksesin e popullatës në skemë.”. </w:t>
      </w:r>
      <w:r w:rsidRPr="00BF005F">
        <w:rPr>
          <w:rFonts w:asciiTheme="minorHAnsi" w:hAnsiTheme="minorHAnsi"/>
          <w:lang w:val="sq-AL"/>
        </w:rPr>
        <w:t>Qëllimi dhe objektivat e programit janë realizuar nëpërmjet produkteve, performanca e të cilave për 4 mujorin e parë të vitit 2021, është realizuar, si më poshtë:</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 xml:space="preserve">“Mbulimi me kujdesin parësor ”, janë realizuar rreth 6,141,194 vizita tek mjeku i familjes, gjatë 4 mujorit të parë të vitit 2021  shoqëruar me një kosto faktike prej 1,609 milionë lekë. </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Janë trajtuar rreth 345,799 pacientë me recetë me rimbursim nga mjeku i familjes, me një kosto faktike prej 1,400 milionë lekë.</w:t>
      </w:r>
    </w:p>
    <w:p w:rsidR="00990CDF" w:rsidRPr="00BF005F" w:rsidRDefault="00990CDF" w:rsidP="00E7447D">
      <w:pPr>
        <w:spacing w:before="240" w:line="276" w:lineRule="auto"/>
        <w:jc w:val="both"/>
        <w:rPr>
          <w:rFonts w:asciiTheme="minorHAnsi" w:hAnsiTheme="minorHAnsi"/>
          <w:lang w:val="sq-AL"/>
        </w:rPr>
      </w:pPr>
      <w:r w:rsidRPr="00BF005F">
        <w:rPr>
          <w:rFonts w:asciiTheme="minorHAnsi" w:hAnsiTheme="minorHAnsi"/>
          <w:lang w:val="sq-AL"/>
        </w:rPr>
        <w:t xml:space="preserve">Për programin </w:t>
      </w:r>
      <w:r w:rsidRPr="00BF005F">
        <w:rPr>
          <w:rFonts w:asciiTheme="minorHAnsi" w:hAnsiTheme="minorHAnsi"/>
          <w:b/>
          <w:lang w:val="sq-AL"/>
        </w:rPr>
        <w:t>“Shërbime të Kujdesit Shëndetësor Dytësor”</w:t>
      </w:r>
      <w:r w:rsidRPr="00BF005F">
        <w:rPr>
          <w:rFonts w:asciiTheme="minorHAnsi" w:hAnsiTheme="minorHAnsi"/>
          <w:lang w:val="sq-AL"/>
        </w:rPr>
        <w:t xml:space="preserve"> është realizuar qëllimi i programit i cili synon</w:t>
      </w:r>
      <w:r w:rsidRPr="00BF005F">
        <w:rPr>
          <w:rFonts w:asciiTheme="minorHAnsi" w:hAnsiTheme="minorHAnsi"/>
          <w:b/>
          <w:lang w:val="sq-AL"/>
        </w:rPr>
        <w:t xml:space="preserve"> </w:t>
      </w:r>
      <w:r w:rsidRPr="00BF005F">
        <w:rPr>
          <w:rFonts w:asciiTheme="minorHAnsi" w:hAnsiTheme="minorHAnsi"/>
          <w:i/>
          <w:lang w:val="sq-AL"/>
        </w:rPr>
        <w:t xml:space="preserve">“Mbulim universal të nevojave të popullatës për kujdes mjekësor të specializuar, nëpërmjet ngritjes së një kuadri ligjor modern për një sistem financimi adekuat, modeleve bashkëkohore të manaxhimit të spitaleve, ngritjes së një sistemi monitorimi i cili do të masë performancën dhe do të lejojë akreditimin e spitaleve, deri në vitin 2022, zhvillimin e partner-shipit publik privat në shërbimet mjekësore dhe jo mjekësore në spitale”. </w:t>
      </w:r>
      <w:r w:rsidRPr="00BF005F">
        <w:rPr>
          <w:rFonts w:asciiTheme="minorHAnsi" w:hAnsiTheme="minorHAnsi"/>
          <w:lang w:val="sq-AL"/>
        </w:rPr>
        <w:t>Qëllimi i programit u realizua nëpërmjet objektivit, sa më poshtë:</w:t>
      </w:r>
    </w:p>
    <w:p w:rsidR="00990CDF" w:rsidRPr="00E7447D" w:rsidRDefault="00990CDF" w:rsidP="007F0B61">
      <w:pPr>
        <w:numPr>
          <w:ilvl w:val="0"/>
          <w:numId w:val="35"/>
        </w:numPr>
        <w:spacing w:line="276" w:lineRule="auto"/>
        <w:contextualSpacing/>
        <w:jc w:val="both"/>
        <w:rPr>
          <w:rFonts w:asciiTheme="minorHAnsi" w:hAnsiTheme="minorHAnsi"/>
          <w:i/>
          <w:lang w:val="sq-AL"/>
        </w:rPr>
      </w:pPr>
      <w:r w:rsidRPr="00E7447D">
        <w:rPr>
          <w:rFonts w:asciiTheme="minorHAnsi" w:hAnsiTheme="minorHAnsi"/>
          <w:i/>
          <w:lang w:val="sq-AL"/>
        </w:rPr>
        <w:t>Ofrimi cilësor dhe gjithëpërfshirës i shërbimeve të kujdesit shëndetësor dytësor</w:t>
      </w:r>
      <w:r w:rsidR="00E7447D" w:rsidRPr="00E7447D">
        <w:rPr>
          <w:rFonts w:asciiTheme="minorHAnsi" w:hAnsiTheme="minorHAnsi"/>
          <w:i/>
          <w:lang w:val="sq-AL"/>
        </w:rPr>
        <w:t xml:space="preserve"> – </w:t>
      </w:r>
      <w:r w:rsidRPr="00E7447D">
        <w:rPr>
          <w:rFonts w:asciiTheme="minorHAnsi" w:hAnsiTheme="minorHAnsi"/>
          <w:i/>
          <w:lang w:val="sq-AL"/>
        </w:rPr>
        <w:t>Objekti është realizuar nëpërmjet produkteve, performanca e të cilave për vitin 2021, është realizuar, si më poshtë:</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lastRenderedPageBreak/>
        <w:t xml:space="preserve">Janë trajtuar rreth 74 mijë pacientë të shtruar në spitale, me një kosto faktike prej rreth 8,200 milionë lekë. </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Janë kryer rreth 63,000 seanca për trajtimin e pacientëve me dializë, shoqëruar me një kosto faktike prej rreth 50.77 milionë lekë, duke rritur aksesin e pacientëve për shërbimin e dializës nëpërmjet ofrimit në 5 qendra të reja.</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 xml:space="preserve">Janë trajtuar rreth 2,126 pacientë nga paketat spitalore të kardiologjisë dhe kardiokirurgjisë, me një kosto faktike prej  9.6 milion lekë; </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Është trajtuar vetëm 1 pacientë nga paketat e transplanteve renale përgjatë 4 mujorit të parë të vitit 2021.</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 xml:space="preserve">Janë trajtuar 756 pacientë me katarakte. </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Janë trajtuar 7,597 pacientë me radioterapi, shoqëruar me një kosto prej 4.7 milionë lekë.</w:t>
      </w:r>
    </w:p>
    <w:p w:rsidR="00990CDF" w:rsidRPr="00BF005F" w:rsidRDefault="00990CDF" w:rsidP="00E7447D">
      <w:pPr>
        <w:spacing w:before="240" w:line="276" w:lineRule="auto"/>
        <w:jc w:val="both"/>
        <w:rPr>
          <w:rFonts w:asciiTheme="minorHAnsi" w:hAnsiTheme="minorHAnsi"/>
          <w:lang w:val="sq-AL"/>
        </w:rPr>
      </w:pPr>
      <w:r w:rsidRPr="00BF005F">
        <w:rPr>
          <w:rFonts w:asciiTheme="minorHAnsi" w:hAnsiTheme="minorHAnsi"/>
          <w:lang w:val="sq-AL"/>
        </w:rPr>
        <w:t xml:space="preserve">Për programin </w:t>
      </w:r>
      <w:r w:rsidRPr="00BF005F">
        <w:rPr>
          <w:rFonts w:asciiTheme="minorHAnsi" w:hAnsiTheme="minorHAnsi"/>
          <w:b/>
          <w:lang w:val="sq-AL"/>
        </w:rPr>
        <w:t>“Shërbime të Shëndetit Publik”</w:t>
      </w:r>
      <w:r w:rsidRPr="00BF005F">
        <w:rPr>
          <w:rFonts w:asciiTheme="minorHAnsi" w:hAnsiTheme="minorHAnsi"/>
          <w:lang w:val="sq-AL"/>
        </w:rPr>
        <w:t xml:space="preserve"> është realizuar qëllimi i programit i cili synon </w:t>
      </w:r>
      <w:r w:rsidRPr="00BF005F">
        <w:rPr>
          <w:rFonts w:asciiTheme="minorHAnsi" w:hAnsiTheme="minorHAnsi"/>
          <w:i/>
          <w:lang w:val="sq-AL"/>
        </w:rPr>
        <w:t>“Mbrojtja e shëndetit dhe promovimi i jetësës së shëndetshme përmes: kontrollit të sëmundjeve infektive; forcimit të programit të imunzimit; sigurimit  të  vaksinave 100% sipas kalendarit të vaksinimit dhe mbulesën vaksinale të tyre mbi 95%; forcimit të survejancës  epidemiologjike; monitorimit të ujit të pijshëm; kontrollit i sëmundjeve jo infektive përmes vlerësimit të faktorëve të riskut; nxitjes së procesit të depistimit; forcimi i shendetit riprodhues  dhe promovimit të një jete të shëndetshme. Zgjerimi dhe forcimi i monitorimit të agjenteve mjedisorë bazuar në standartet e BE (ajri, zhurmat dhe ujrat siperfaqësore). Garantimi i respektimit të kërkesave ligjore në fushën e shëndetit publik.”</w:t>
      </w:r>
      <w:r w:rsidRPr="00BF005F">
        <w:rPr>
          <w:rFonts w:asciiTheme="minorHAnsi" w:hAnsiTheme="minorHAnsi"/>
          <w:lang w:val="sq-AL"/>
        </w:rPr>
        <w:t xml:space="preserve"> Qëllimi i programit u realizua nëpërmjet objektivave, sa më poshtë: </w:t>
      </w:r>
    </w:p>
    <w:p w:rsidR="00990CDF" w:rsidRPr="00E7447D" w:rsidRDefault="00990CDF" w:rsidP="007F0B61">
      <w:pPr>
        <w:numPr>
          <w:ilvl w:val="0"/>
          <w:numId w:val="8"/>
        </w:numPr>
        <w:spacing w:line="276" w:lineRule="auto"/>
        <w:contextualSpacing/>
        <w:jc w:val="both"/>
        <w:rPr>
          <w:rFonts w:asciiTheme="minorHAnsi" w:hAnsiTheme="minorHAnsi"/>
          <w:i/>
          <w:lang w:val="sq-AL"/>
        </w:rPr>
      </w:pPr>
      <w:r w:rsidRPr="00E7447D">
        <w:rPr>
          <w:rFonts w:asciiTheme="minorHAnsi" w:hAnsiTheme="minorHAnsi"/>
          <w:i/>
          <w:lang w:val="sq-AL"/>
        </w:rPr>
        <w:t>Sigurimit të qëndrueshmërisë së mbulesës vaksinare, për vaksinat e kalendarit të vaksinimit;</w:t>
      </w:r>
    </w:p>
    <w:p w:rsidR="00990CDF" w:rsidRPr="00E7447D" w:rsidRDefault="00990CDF" w:rsidP="007F0B61">
      <w:pPr>
        <w:numPr>
          <w:ilvl w:val="0"/>
          <w:numId w:val="8"/>
        </w:numPr>
        <w:spacing w:line="276" w:lineRule="auto"/>
        <w:contextualSpacing/>
        <w:jc w:val="both"/>
        <w:rPr>
          <w:rFonts w:asciiTheme="minorHAnsi" w:hAnsiTheme="minorHAnsi"/>
          <w:i/>
          <w:lang w:val="sq-AL"/>
        </w:rPr>
      </w:pPr>
      <w:r w:rsidRPr="00E7447D">
        <w:rPr>
          <w:rFonts w:asciiTheme="minorHAnsi" w:hAnsiTheme="minorHAnsi"/>
          <w:i/>
          <w:lang w:val="sq-AL"/>
        </w:rPr>
        <w:t xml:space="preserve">Reduktimit të numrit të shpërthimeve epidemike me burim ndotjen e ujit;  </w:t>
      </w:r>
    </w:p>
    <w:p w:rsidR="00990CDF" w:rsidRPr="00E7447D" w:rsidRDefault="00990CDF" w:rsidP="007F0B61">
      <w:pPr>
        <w:numPr>
          <w:ilvl w:val="0"/>
          <w:numId w:val="8"/>
        </w:numPr>
        <w:spacing w:line="276" w:lineRule="auto"/>
        <w:contextualSpacing/>
        <w:jc w:val="both"/>
        <w:rPr>
          <w:rFonts w:asciiTheme="minorHAnsi" w:hAnsiTheme="minorHAnsi"/>
          <w:i/>
          <w:lang w:val="sq-AL"/>
        </w:rPr>
      </w:pPr>
      <w:r w:rsidRPr="00E7447D">
        <w:rPr>
          <w:rFonts w:asciiTheme="minorHAnsi" w:hAnsiTheme="minorHAnsi"/>
          <w:i/>
          <w:lang w:val="sq-AL"/>
        </w:rPr>
        <w:t xml:space="preserve">Mbulimi i grave me shërbim të depistimit të kancerit të gjirit. </w:t>
      </w:r>
    </w:p>
    <w:p w:rsidR="00990CDF" w:rsidRPr="00BF005F" w:rsidRDefault="00990CDF" w:rsidP="00E7447D">
      <w:pPr>
        <w:spacing w:line="276" w:lineRule="auto"/>
        <w:contextualSpacing/>
        <w:jc w:val="both"/>
        <w:rPr>
          <w:rFonts w:asciiTheme="minorHAnsi" w:hAnsiTheme="minorHAnsi"/>
          <w:lang w:val="sq-AL"/>
        </w:rPr>
      </w:pPr>
      <w:r w:rsidRPr="00BF005F">
        <w:rPr>
          <w:rFonts w:asciiTheme="minorHAnsi" w:hAnsiTheme="minorHAnsi"/>
          <w:lang w:val="sq-AL"/>
        </w:rPr>
        <w:t>Këto objektiva janë realizuar nëpërmjet produkteve, performanca e të cilave për 4 mujorin e parë të vitit 2021, është realizuar, si më poshtë:</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Janë kryer rreth 4,400 inspektime nga inspektoriatet , shoqëruar me një kosto prej prej 107 milion lekë.</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 xml:space="preserve">Janë vaksinuar rreth 55,123 fëmijë të moshës 0-18 vjeç, shoqëruar me një kosto prej 174 milionë lekë. </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Janë kryer rreth 39 monitorime të situatave epidemilogjike, me një kosto faktike prej rreth 804 milion lekë.</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Janë depistuar 969 gra për kancerin e gjirit, me një kosto faktike prej 315 mijë lekë.</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Janë trajtuar 341 punonjës/personel mjekesor dhe jo mjekesor me bonus për COVID-19”, me kosto faktike rreth 44 milionë lekë, për 4 mujorin e parë të vitit 2021.</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 xml:space="preserve">Janë vaksinuar rreth 499,308 persona me vaksinën anti COVID-19. </w:t>
      </w:r>
    </w:p>
    <w:p w:rsidR="00990CDF" w:rsidRPr="00BF005F" w:rsidRDefault="00990CDF" w:rsidP="00E7447D">
      <w:pPr>
        <w:spacing w:before="240" w:line="276" w:lineRule="auto"/>
        <w:jc w:val="both"/>
        <w:rPr>
          <w:rFonts w:asciiTheme="minorHAnsi" w:hAnsiTheme="minorHAnsi"/>
          <w:i/>
          <w:lang w:val="sq-AL"/>
        </w:rPr>
      </w:pPr>
      <w:r w:rsidRPr="00BF005F">
        <w:rPr>
          <w:rFonts w:asciiTheme="minorHAnsi" w:hAnsiTheme="minorHAnsi"/>
          <w:lang w:val="sq-AL"/>
        </w:rPr>
        <w:t xml:space="preserve">Për programin </w:t>
      </w:r>
      <w:r w:rsidRPr="00BF005F">
        <w:rPr>
          <w:rFonts w:asciiTheme="minorHAnsi" w:hAnsiTheme="minorHAnsi"/>
          <w:b/>
          <w:lang w:val="sq-AL"/>
        </w:rPr>
        <w:t>“Përkujdesi Social”,</w:t>
      </w:r>
      <w:r w:rsidRPr="00BF005F">
        <w:rPr>
          <w:rFonts w:asciiTheme="minorHAnsi" w:hAnsiTheme="minorHAnsi"/>
          <w:lang w:val="sq-AL"/>
        </w:rPr>
        <w:t xml:space="preserve">  është realizuar qëllimi i programit i cili synon </w:t>
      </w:r>
      <w:r w:rsidRPr="00BF005F">
        <w:rPr>
          <w:rFonts w:asciiTheme="minorHAnsi" w:hAnsiTheme="minorHAnsi"/>
          <w:i/>
          <w:lang w:val="sq-AL"/>
        </w:rPr>
        <w:t xml:space="preserve">“Ndëtimi i një sistemi mbrojtje sociale nëpërmjet politikave dhe mekanizmave për të mbrojtur individët ne nevojë. Krijimi  i mundësive  dhe aksesit të barabartë për burrat dhe gratë, vajzat dhe djemtë dhe gjithë grupet e margjinalizuara, nëpërmjet fuqizimit social ekonomik dhe integrimit në shoqëri, për rritjen e mirëqënies ekonomike dhe sociale.” </w:t>
      </w:r>
      <w:r w:rsidRPr="00BF005F">
        <w:rPr>
          <w:rFonts w:asciiTheme="minorHAnsi" w:hAnsiTheme="minorHAnsi"/>
          <w:lang w:val="sq-AL"/>
        </w:rPr>
        <w:t>Qëllimi i programit u realizua nëpërmjet objektivave, sa më poshtë:</w:t>
      </w:r>
    </w:p>
    <w:p w:rsidR="00990CDF" w:rsidRPr="00E7447D" w:rsidRDefault="00990CDF" w:rsidP="007F0B61">
      <w:pPr>
        <w:numPr>
          <w:ilvl w:val="0"/>
          <w:numId w:val="8"/>
        </w:numPr>
        <w:spacing w:line="276" w:lineRule="auto"/>
        <w:contextualSpacing/>
        <w:jc w:val="both"/>
        <w:rPr>
          <w:rFonts w:asciiTheme="minorHAnsi" w:hAnsiTheme="minorHAnsi"/>
          <w:i/>
          <w:lang w:val="sq-AL"/>
        </w:rPr>
      </w:pPr>
      <w:r w:rsidRPr="00E7447D">
        <w:rPr>
          <w:rFonts w:asciiTheme="minorHAnsi" w:hAnsiTheme="minorHAnsi"/>
          <w:i/>
          <w:lang w:val="sq-AL"/>
        </w:rPr>
        <w:lastRenderedPageBreak/>
        <w:t xml:space="preserve">Reformimit të programit të përkujdesit social në tre shtylla kryesore të tij NE, PAK dhe Shërbimet </w:t>
      </w:r>
    </w:p>
    <w:p w:rsidR="00990CDF" w:rsidRPr="00E7447D" w:rsidRDefault="00990CDF" w:rsidP="007F0B61">
      <w:pPr>
        <w:numPr>
          <w:ilvl w:val="0"/>
          <w:numId w:val="8"/>
        </w:numPr>
        <w:spacing w:line="276" w:lineRule="auto"/>
        <w:contextualSpacing/>
        <w:jc w:val="both"/>
        <w:rPr>
          <w:rFonts w:asciiTheme="minorHAnsi" w:hAnsiTheme="minorHAnsi"/>
          <w:i/>
          <w:lang w:val="sq-AL"/>
        </w:rPr>
      </w:pPr>
      <w:r w:rsidRPr="00E7447D">
        <w:rPr>
          <w:rFonts w:asciiTheme="minorHAnsi" w:hAnsiTheme="minorHAnsi"/>
          <w:i/>
          <w:lang w:val="sq-AL"/>
        </w:rPr>
        <w:t>Përfshirja e barabartë sociale dhe ekonomike e burrave, grave, fëmijëve dhe grupeve  të margjinalizuara.</w:t>
      </w:r>
    </w:p>
    <w:p w:rsidR="00990CDF" w:rsidRPr="00BF005F" w:rsidRDefault="00990CDF" w:rsidP="00E7447D">
      <w:pPr>
        <w:spacing w:line="276" w:lineRule="auto"/>
        <w:contextualSpacing/>
        <w:jc w:val="both"/>
        <w:rPr>
          <w:rFonts w:asciiTheme="minorHAnsi" w:hAnsiTheme="minorHAnsi"/>
          <w:lang w:val="sq-AL"/>
        </w:rPr>
      </w:pPr>
      <w:r w:rsidRPr="00BF005F">
        <w:rPr>
          <w:rFonts w:asciiTheme="minorHAnsi" w:hAnsiTheme="minorHAnsi"/>
          <w:lang w:val="sq-AL"/>
        </w:rPr>
        <w:t>Këto objektiva janë realizuar nëpërmjet produkteve, performanca e të cilave për 4 mujorin e parë të vitit 2021, është realizuar, si më poshtë:</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Kanë përfituar rreth 71,393 familje dhe individë në nevojë ndihmën ekonomike”, shoqëruar me një kosto faktike prej rreth 2.1  miliard lekë për.</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 xml:space="preserve"> Kanë përfituar 163,734 persona me aftësi të kufizuar nga programi i aftësisë së kufizuar, shoqëruar më një një kosto faktike prej rreth 5,522 milion lekë.</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Kanë përfituar 452 persona përfitimin e shërbimit të përkujdesit social të ofruara në qëndrat rezidenciale publike, shoqëruar me një kosto faktike prej rreth 148 milionë lekë.</w:t>
      </w:r>
    </w:p>
    <w:p w:rsidR="00990CDF" w:rsidRPr="00BF005F" w:rsidRDefault="00990CDF" w:rsidP="007F0B61">
      <w:pPr>
        <w:numPr>
          <w:ilvl w:val="0"/>
          <w:numId w:val="9"/>
        </w:numPr>
        <w:spacing w:line="276" w:lineRule="auto"/>
        <w:contextualSpacing/>
        <w:jc w:val="both"/>
        <w:rPr>
          <w:rFonts w:asciiTheme="minorHAnsi" w:hAnsiTheme="minorHAnsi"/>
          <w:lang w:val="sq-AL"/>
        </w:rPr>
      </w:pPr>
      <w:r w:rsidRPr="00BF005F">
        <w:rPr>
          <w:rFonts w:asciiTheme="minorHAnsi" w:hAnsiTheme="minorHAnsi"/>
          <w:lang w:val="sq-AL"/>
        </w:rPr>
        <w:t xml:space="preserve">12,763 bebe kanë përfituar shpërblimin e lindjes, me një kosto faktike toatle prej rreth 900 milion lekë.  </w:t>
      </w:r>
    </w:p>
    <w:p w:rsidR="00990CDF" w:rsidRPr="00BF005F" w:rsidRDefault="00990CDF" w:rsidP="00990CDF">
      <w:pPr>
        <w:spacing w:line="276" w:lineRule="auto"/>
        <w:ind w:left="810"/>
        <w:jc w:val="both"/>
        <w:rPr>
          <w:rFonts w:asciiTheme="minorHAnsi" w:hAnsiTheme="minorHAnsi"/>
          <w:b/>
          <w:i/>
          <w:color w:val="0070C0"/>
          <w:u w:val="single"/>
          <w:lang w:val="sq-AL"/>
        </w:rPr>
      </w:pPr>
      <w:r w:rsidRPr="00BF005F">
        <w:rPr>
          <w:rFonts w:asciiTheme="minorHAnsi" w:hAnsiTheme="minorHAnsi"/>
          <w:lang w:val="sq-AL"/>
        </w:rPr>
        <w:t xml:space="preserve"> </w:t>
      </w:r>
    </w:p>
    <w:p w:rsidR="00990CDF" w:rsidRPr="00BF005F" w:rsidRDefault="00990CDF" w:rsidP="00990CDF">
      <w:pPr>
        <w:spacing w:line="276" w:lineRule="auto"/>
        <w:ind w:left="720"/>
        <w:contextualSpacing/>
        <w:jc w:val="both"/>
        <w:rPr>
          <w:rFonts w:asciiTheme="minorHAnsi" w:eastAsia="MS Mincho" w:hAnsiTheme="minorHAnsi"/>
          <w:b/>
          <w:i/>
          <w:color w:val="336699"/>
          <w:u w:val="single"/>
          <w:lang w:val="sq-AL"/>
        </w:rPr>
      </w:pPr>
    </w:p>
    <w:p w:rsidR="00990CDF" w:rsidRPr="00BF005F" w:rsidRDefault="00990CDF" w:rsidP="00990CDF">
      <w:pPr>
        <w:spacing w:line="276" w:lineRule="auto"/>
        <w:jc w:val="both"/>
        <w:rPr>
          <w:rFonts w:asciiTheme="minorHAnsi" w:hAnsiTheme="minorHAnsi"/>
          <w:b/>
          <w:noProof/>
          <w:color w:val="0070C0"/>
          <w:lang w:val="sq-AL"/>
        </w:rPr>
      </w:pPr>
      <w:r w:rsidRPr="00BF005F">
        <w:rPr>
          <w:rFonts w:asciiTheme="minorHAnsi" w:eastAsia="MS Mincho" w:hAnsiTheme="minorHAnsi"/>
          <w:b/>
          <w:lang w:val="sq-AL"/>
        </w:rPr>
        <w:t xml:space="preserve"> </w:t>
      </w:r>
      <w:bookmarkStart w:id="119" w:name="_Toc10721441"/>
      <w:bookmarkStart w:id="120" w:name="_Toc11134226"/>
      <w:bookmarkStart w:id="121" w:name="_Toc10033296"/>
      <w:bookmarkStart w:id="122" w:name="_Toc10721432"/>
      <w:r w:rsidRPr="00BF005F">
        <w:rPr>
          <w:rFonts w:asciiTheme="minorHAnsi" w:hAnsiTheme="minorHAnsi"/>
          <w:b/>
          <w:noProof/>
          <w:color w:val="0070C0"/>
          <w:lang w:val="sq-AL"/>
        </w:rPr>
        <w:t>ARSIMI</w:t>
      </w:r>
      <w:bookmarkEnd w:id="119"/>
      <w:bookmarkEnd w:id="120"/>
    </w:p>
    <w:p w:rsidR="00990CDF" w:rsidRPr="00E7447D" w:rsidRDefault="00990CDF" w:rsidP="00E7447D">
      <w:pPr>
        <w:spacing w:line="276" w:lineRule="auto"/>
        <w:jc w:val="both"/>
        <w:rPr>
          <w:rFonts w:asciiTheme="minorHAnsi" w:eastAsia="MS Mincho" w:hAnsiTheme="minorHAnsi"/>
          <w:bCs/>
          <w:i/>
          <w:iCs/>
          <w:lang w:val="sq-AL"/>
        </w:rPr>
      </w:pPr>
      <w:r w:rsidRPr="00BF005F">
        <w:rPr>
          <w:rFonts w:asciiTheme="minorHAnsi" w:eastAsia="MS Mincho" w:hAnsiTheme="minorHAnsi"/>
          <w:lang w:val="sq-AL"/>
        </w:rPr>
        <w:t>Në përputhje me drejtimet kryesore të politikës së përgjithshme shtetërore, me fondet buxhetore të miratuara për vitin 2021, performanca e treguesve buxhetorë për katër programet kryesore në Ministrinë e Arsimit, Sportit dhe Rinisë, për 4 mujorin e parë të vitit 2021, paraqitet si më poshtë</w:t>
      </w:r>
      <w:r w:rsidRPr="00BF005F">
        <w:rPr>
          <w:rFonts w:asciiTheme="minorHAnsi" w:eastAsia="MS Mincho" w:hAnsiTheme="minorHAnsi"/>
          <w:bCs/>
          <w:i/>
          <w:iCs/>
          <w:lang w:val="sq-AL"/>
        </w:rPr>
        <w:t xml:space="preserve">               </w:t>
      </w:r>
    </w:p>
    <w:p w:rsidR="00990CDF" w:rsidRPr="00BF005F" w:rsidRDefault="00990CDF" w:rsidP="006F25E7">
      <w:pPr>
        <w:spacing w:before="240"/>
        <w:rPr>
          <w:rFonts w:asciiTheme="minorHAnsi" w:hAnsiTheme="minorHAnsi"/>
          <w:i/>
          <w:noProof/>
        </w:rPr>
      </w:pPr>
      <w:bookmarkStart w:id="123" w:name="_Toc76470073"/>
      <w:r w:rsidRPr="00BF005F">
        <w:rPr>
          <w:rFonts w:asciiTheme="minorHAnsi" w:hAnsiTheme="minorHAnsi"/>
          <w:i/>
          <w:noProof/>
        </w:rPr>
        <w:t xml:space="preserve">Tabela </w:t>
      </w:r>
      <w:r w:rsidRPr="00BF005F">
        <w:rPr>
          <w:rFonts w:asciiTheme="minorHAnsi" w:hAnsiTheme="minorHAnsi"/>
          <w:i/>
          <w:noProof/>
        </w:rPr>
        <w:fldChar w:fldCharType="begin"/>
      </w:r>
      <w:r w:rsidRPr="00BF005F">
        <w:rPr>
          <w:rFonts w:asciiTheme="minorHAnsi" w:hAnsiTheme="minorHAnsi"/>
          <w:i/>
          <w:noProof/>
        </w:rPr>
        <w:instrText xml:space="preserve"> SEQ Tabela \* ARABIC </w:instrText>
      </w:r>
      <w:r w:rsidRPr="00BF005F">
        <w:rPr>
          <w:rFonts w:asciiTheme="minorHAnsi" w:hAnsiTheme="minorHAnsi"/>
          <w:i/>
          <w:noProof/>
        </w:rPr>
        <w:fldChar w:fldCharType="separate"/>
      </w:r>
      <w:r w:rsidR="003C5F40">
        <w:rPr>
          <w:rFonts w:asciiTheme="minorHAnsi" w:hAnsiTheme="minorHAnsi"/>
          <w:i/>
          <w:noProof/>
        </w:rPr>
        <w:t>19</w:t>
      </w:r>
      <w:r w:rsidRPr="00BF005F">
        <w:rPr>
          <w:rFonts w:asciiTheme="minorHAnsi" w:hAnsiTheme="minorHAnsi"/>
          <w:i/>
          <w:noProof/>
        </w:rPr>
        <w:fldChar w:fldCharType="end"/>
      </w:r>
      <w:r w:rsidRPr="00BF005F">
        <w:rPr>
          <w:rFonts w:asciiTheme="minorHAnsi" w:hAnsiTheme="minorHAnsi"/>
          <w:i/>
          <w:noProof/>
        </w:rPr>
        <w:t>: Arsimi</w:t>
      </w:r>
      <w:bookmarkEnd w:id="123"/>
      <w:r w:rsidRPr="00BF005F">
        <w:rPr>
          <w:rFonts w:asciiTheme="minorHAnsi" w:hAnsiTheme="minorHAnsi"/>
          <w:i/>
          <w:noProof/>
        </w:rPr>
        <w:t xml:space="preserve">                                                                                          </w:t>
      </w:r>
    </w:p>
    <w:p w:rsidR="00990CDF" w:rsidRPr="00201FE1" w:rsidRDefault="00990CDF" w:rsidP="00990CDF">
      <w:pPr>
        <w:spacing w:line="276" w:lineRule="auto"/>
        <w:jc w:val="right"/>
        <w:rPr>
          <w:rFonts w:asciiTheme="minorHAnsi" w:eastAsia="MS Mincho" w:hAnsiTheme="minorHAnsi"/>
          <w:sz w:val="22"/>
          <w:lang w:val="sq-AL"/>
        </w:rPr>
      </w:pPr>
      <w:r w:rsidRPr="00201FE1">
        <w:rPr>
          <w:rFonts w:asciiTheme="minorHAnsi" w:eastAsia="MS Mincho" w:hAnsiTheme="minorHAnsi"/>
          <w:bCs/>
          <w:i/>
          <w:iCs/>
          <w:sz w:val="22"/>
          <w:lang w:val="sq-AL"/>
        </w:rPr>
        <w:t>Në mijë lekë</w:t>
      </w:r>
    </w:p>
    <w:tbl>
      <w:tblPr>
        <w:tblStyle w:val="ListTable3-Accent526"/>
        <w:tblW w:w="5423" w:type="pct"/>
        <w:jc w:val="center"/>
        <w:tblLayout w:type="fixed"/>
        <w:tblLook w:val="01E0" w:firstRow="1" w:lastRow="1" w:firstColumn="1" w:lastColumn="1" w:noHBand="0" w:noVBand="0"/>
      </w:tblPr>
      <w:tblGrid>
        <w:gridCol w:w="525"/>
        <w:gridCol w:w="10"/>
        <w:gridCol w:w="3278"/>
        <w:gridCol w:w="1112"/>
        <w:gridCol w:w="1114"/>
        <w:gridCol w:w="1141"/>
        <w:gridCol w:w="1219"/>
        <w:gridCol w:w="960"/>
        <w:gridCol w:w="19"/>
        <w:gridCol w:w="1056"/>
      </w:tblGrid>
      <w:tr w:rsidR="00990CDF" w:rsidRPr="006F25E7" w:rsidTr="00201FE1">
        <w:trPr>
          <w:cnfStyle w:val="100000000000" w:firstRow="1" w:lastRow="0" w:firstColumn="0" w:lastColumn="0" w:oddVBand="0" w:evenVBand="0" w:oddHBand="0" w:evenHBand="0" w:firstRowFirstColumn="0" w:firstRowLastColumn="0" w:lastRowFirstColumn="0" w:lastRowLastColumn="0"/>
          <w:trHeight w:val="338"/>
          <w:jc w:val="center"/>
        </w:trPr>
        <w:tc>
          <w:tcPr>
            <w:cnfStyle w:val="001000000100" w:firstRow="0" w:lastRow="0" w:firstColumn="1" w:lastColumn="0" w:oddVBand="0" w:evenVBand="0" w:oddHBand="0" w:evenHBand="0" w:firstRowFirstColumn="1" w:firstRowLastColumn="0" w:lastRowFirstColumn="0" w:lastRowLastColumn="0"/>
            <w:tcW w:w="256" w:type="pct"/>
            <w:gridSpan w:val="2"/>
            <w:vMerge w:val="restart"/>
          </w:tcPr>
          <w:p w:rsidR="00990CDF" w:rsidRPr="006F25E7" w:rsidRDefault="00990CDF" w:rsidP="00E7447D">
            <w:pPr>
              <w:spacing w:line="276" w:lineRule="auto"/>
              <w:jc w:val="center"/>
              <w:rPr>
                <w:rFonts w:asciiTheme="minorHAnsi" w:hAnsiTheme="minorHAnsi"/>
                <w:sz w:val="18"/>
                <w:lang w:val="sq-AL"/>
              </w:rPr>
            </w:pPr>
          </w:p>
          <w:p w:rsidR="00990CDF" w:rsidRPr="006F25E7" w:rsidRDefault="00990CDF" w:rsidP="00E7447D">
            <w:pPr>
              <w:spacing w:line="276" w:lineRule="auto"/>
              <w:jc w:val="center"/>
              <w:rPr>
                <w:rFonts w:asciiTheme="minorHAnsi" w:hAnsiTheme="minorHAnsi"/>
                <w:sz w:val="18"/>
                <w:lang w:val="sq-AL"/>
              </w:rPr>
            </w:pPr>
            <w:r w:rsidRPr="006F25E7">
              <w:rPr>
                <w:rFonts w:asciiTheme="minorHAnsi" w:hAnsiTheme="minorHAnsi"/>
                <w:sz w:val="18"/>
                <w:lang w:val="sq-AL"/>
              </w:rPr>
              <w:t>NR</w:t>
            </w:r>
          </w:p>
        </w:tc>
        <w:tc>
          <w:tcPr>
            <w:cnfStyle w:val="000010000000" w:firstRow="0" w:lastRow="0" w:firstColumn="0" w:lastColumn="0" w:oddVBand="1" w:evenVBand="0" w:oddHBand="0" w:evenHBand="0" w:firstRowFirstColumn="0" w:firstRowLastColumn="0" w:lastRowFirstColumn="0" w:lastRowLastColumn="0"/>
            <w:tcW w:w="1571" w:type="pct"/>
            <w:vMerge w:val="restart"/>
          </w:tcPr>
          <w:p w:rsidR="00990CDF" w:rsidRPr="006F25E7" w:rsidRDefault="00990CDF" w:rsidP="00E7447D">
            <w:pPr>
              <w:spacing w:line="276" w:lineRule="auto"/>
              <w:jc w:val="center"/>
              <w:rPr>
                <w:rFonts w:asciiTheme="minorHAnsi" w:hAnsiTheme="minorHAnsi"/>
                <w:sz w:val="18"/>
                <w:lang w:val="sq-AL"/>
              </w:rPr>
            </w:pPr>
          </w:p>
          <w:p w:rsidR="00990CDF" w:rsidRPr="006F25E7" w:rsidRDefault="00990CDF" w:rsidP="00E7447D">
            <w:pPr>
              <w:spacing w:line="276" w:lineRule="auto"/>
              <w:jc w:val="center"/>
              <w:rPr>
                <w:rFonts w:asciiTheme="minorHAnsi" w:hAnsiTheme="minorHAnsi"/>
                <w:sz w:val="18"/>
                <w:lang w:val="sq-AL"/>
              </w:rPr>
            </w:pPr>
            <w:r w:rsidRPr="006F25E7">
              <w:rPr>
                <w:rFonts w:asciiTheme="minorHAnsi" w:hAnsiTheme="minorHAnsi"/>
                <w:sz w:val="18"/>
                <w:lang w:val="sq-AL"/>
              </w:rPr>
              <w:t>Emërtimi i Programit</w:t>
            </w:r>
          </w:p>
        </w:tc>
        <w:tc>
          <w:tcPr>
            <w:tcW w:w="1067" w:type="pct"/>
            <w:gridSpan w:val="2"/>
          </w:tcPr>
          <w:p w:rsidR="00990CDF" w:rsidRPr="006F25E7" w:rsidRDefault="00990CDF" w:rsidP="00E7447D">
            <w:pPr>
              <w:spacing w:line="276" w:lineRule="auto"/>
              <w:ind w:left="8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Plani 2021</w:t>
            </w:r>
          </w:p>
        </w:tc>
        <w:tc>
          <w:tcPr>
            <w:cnfStyle w:val="000010000000" w:firstRow="0" w:lastRow="0" w:firstColumn="0" w:lastColumn="0" w:oddVBand="1" w:evenVBand="0" w:oddHBand="0" w:evenHBand="0" w:firstRowFirstColumn="0" w:firstRowLastColumn="0" w:lastRowFirstColumn="0" w:lastRowLastColumn="0"/>
            <w:tcW w:w="1131" w:type="pct"/>
            <w:gridSpan w:val="2"/>
          </w:tcPr>
          <w:p w:rsidR="00990CDF" w:rsidRPr="006F25E7" w:rsidRDefault="00990CDF" w:rsidP="00E7447D">
            <w:pPr>
              <w:spacing w:line="276" w:lineRule="auto"/>
              <w:ind w:left="80"/>
              <w:jc w:val="center"/>
              <w:rPr>
                <w:rFonts w:asciiTheme="minorHAnsi" w:hAnsiTheme="minorHAnsi"/>
                <w:sz w:val="18"/>
                <w:lang w:val="sq-AL"/>
              </w:rPr>
            </w:pPr>
            <w:r w:rsidRPr="006F25E7">
              <w:rPr>
                <w:rFonts w:asciiTheme="minorHAnsi" w:hAnsiTheme="minorHAnsi"/>
                <w:sz w:val="18"/>
                <w:lang w:val="sq-AL"/>
              </w:rPr>
              <w:t>Fakti 4-mujori 2021</w:t>
            </w:r>
          </w:p>
        </w:tc>
        <w:tc>
          <w:tcPr>
            <w:cnfStyle w:val="000100001000" w:firstRow="0" w:lastRow="0" w:firstColumn="0" w:lastColumn="1" w:oddVBand="0" w:evenVBand="0" w:oddHBand="0" w:evenHBand="0" w:firstRowFirstColumn="0" w:firstRowLastColumn="1" w:lastRowFirstColumn="0" w:lastRowLastColumn="0"/>
            <w:tcW w:w="975" w:type="pct"/>
            <w:gridSpan w:val="3"/>
          </w:tcPr>
          <w:p w:rsidR="00990CDF" w:rsidRPr="006F25E7" w:rsidRDefault="00990CDF" w:rsidP="00E7447D">
            <w:pPr>
              <w:spacing w:line="276" w:lineRule="auto"/>
              <w:jc w:val="center"/>
              <w:rPr>
                <w:rFonts w:asciiTheme="minorHAnsi" w:hAnsiTheme="minorHAnsi"/>
                <w:sz w:val="18"/>
                <w:lang w:val="sq-AL"/>
              </w:rPr>
            </w:pPr>
            <w:r w:rsidRPr="006F25E7">
              <w:rPr>
                <w:rFonts w:asciiTheme="minorHAnsi" w:hAnsiTheme="minorHAnsi"/>
                <w:sz w:val="18"/>
                <w:lang w:val="sq-AL"/>
              </w:rPr>
              <w:t>Përqindja  e realizimit</w:t>
            </w:r>
          </w:p>
        </w:tc>
      </w:tr>
      <w:tr w:rsidR="00990CDF" w:rsidRPr="006F25E7" w:rsidTr="00201FE1">
        <w:trPr>
          <w:cnfStyle w:val="000000100000" w:firstRow="0" w:lastRow="0" w:firstColumn="0" w:lastColumn="0" w:oddVBand="0" w:evenVBand="0" w:oddHBand="1" w:evenHBand="0" w:firstRowFirstColumn="0" w:firstRowLastColumn="0" w:lastRowFirstColumn="0" w:lastRowLastColumn="0"/>
          <w:trHeight w:val="174"/>
          <w:jc w:val="center"/>
        </w:trPr>
        <w:tc>
          <w:tcPr>
            <w:cnfStyle w:val="001000000000" w:firstRow="0" w:lastRow="0" w:firstColumn="1" w:lastColumn="0" w:oddVBand="0" w:evenVBand="0" w:oddHBand="0" w:evenHBand="0" w:firstRowFirstColumn="0" w:firstRowLastColumn="0" w:lastRowFirstColumn="0" w:lastRowLastColumn="0"/>
            <w:tcW w:w="256" w:type="pct"/>
            <w:gridSpan w:val="2"/>
            <w:vMerge/>
          </w:tcPr>
          <w:p w:rsidR="00990CDF" w:rsidRPr="006F25E7" w:rsidRDefault="00990CDF" w:rsidP="00E7447D">
            <w:pPr>
              <w:spacing w:line="276" w:lineRule="auto"/>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1571" w:type="pct"/>
            <w:vMerge/>
          </w:tcPr>
          <w:p w:rsidR="00990CDF" w:rsidRPr="006F25E7" w:rsidRDefault="00990CDF" w:rsidP="00E7447D">
            <w:pPr>
              <w:spacing w:line="276" w:lineRule="auto"/>
              <w:jc w:val="center"/>
              <w:rPr>
                <w:rFonts w:asciiTheme="minorHAnsi" w:hAnsiTheme="minorHAnsi"/>
                <w:b/>
                <w:sz w:val="18"/>
                <w:lang w:val="sq-AL"/>
              </w:rPr>
            </w:pPr>
          </w:p>
        </w:tc>
        <w:tc>
          <w:tcPr>
            <w:tcW w:w="533" w:type="pct"/>
          </w:tcPr>
          <w:p w:rsidR="00990CDF" w:rsidRPr="006F25E7" w:rsidRDefault="00990CDF" w:rsidP="00E7447D">
            <w:pPr>
              <w:spacing w:line="276" w:lineRule="auto"/>
              <w:ind w:left="8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6F25E7">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34" w:type="pct"/>
          </w:tcPr>
          <w:p w:rsidR="00990CDF" w:rsidRPr="006F25E7" w:rsidRDefault="00990CDF" w:rsidP="00E7447D">
            <w:pPr>
              <w:spacing w:line="276" w:lineRule="auto"/>
              <w:ind w:left="80"/>
              <w:jc w:val="center"/>
              <w:rPr>
                <w:rFonts w:asciiTheme="minorHAnsi" w:hAnsiTheme="minorHAnsi"/>
                <w:b/>
                <w:sz w:val="18"/>
                <w:lang w:val="sq-AL"/>
              </w:rPr>
            </w:pPr>
            <w:r w:rsidRPr="006F25E7">
              <w:rPr>
                <w:rFonts w:asciiTheme="minorHAnsi" w:hAnsiTheme="minorHAnsi"/>
                <w:b/>
                <w:sz w:val="18"/>
                <w:lang w:val="sq-AL"/>
              </w:rPr>
              <w:t>Investime</w:t>
            </w:r>
          </w:p>
        </w:tc>
        <w:tc>
          <w:tcPr>
            <w:tcW w:w="547" w:type="pct"/>
          </w:tcPr>
          <w:p w:rsidR="00990CDF" w:rsidRPr="006F25E7" w:rsidRDefault="00990CDF" w:rsidP="00E7447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6F25E7">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84" w:type="pct"/>
          </w:tcPr>
          <w:p w:rsidR="00990CDF" w:rsidRPr="006F25E7" w:rsidRDefault="00990CDF" w:rsidP="00E7447D">
            <w:pPr>
              <w:spacing w:line="276" w:lineRule="auto"/>
              <w:jc w:val="center"/>
              <w:rPr>
                <w:rFonts w:asciiTheme="minorHAnsi" w:hAnsiTheme="minorHAnsi"/>
                <w:b/>
                <w:sz w:val="18"/>
                <w:lang w:val="sq-AL"/>
              </w:rPr>
            </w:pPr>
            <w:r w:rsidRPr="006F25E7">
              <w:rPr>
                <w:rFonts w:asciiTheme="minorHAnsi" w:hAnsiTheme="minorHAnsi"/>
                <w:b/>
                <w:sz w:val="18"/>
                <w:lang w:val="sq-AL"/>
              </w:rPr>
              <w:t>Investime</w:t>
            </w:r>
          </w:p>
        </w:tc>
        <w:tc>
          <w:tcPr>
            <w:tcW w:w="460" w:type="pct"/>
          </w:tcPr>
          <w:p w:rsidR="00990CDF" w:rsidRPr="006F25E7" w:rsidRDefault="00990CDF" w:rsidP="00E7447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6F25E7">
              <w:rPr>
                <w:rFonts w:asciiTheme="minorHAnsi" w:hAnsiTheme="minorHAns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515" w:type="pct"/>
            <w:gridSpan w:val="2"/>
          </w:tcPr>
          <w:p w:rsidR="00990CDF" w:rsidRPr="006F25E7" w:rsidRDefault="00990CDF" w:rsidP="00E7447D">
            <w:pPr>
              <w:spacing w:line="276" w:lineRule="auto"/>
              <w:jc w:val="center"/>
              <w:rPr>
                <w:rFonts w:asciiTheme="minorHAnsi" w:hAnsiTheme="minorHAnsi"/>
                <w:sz w:val="18"/>
                <w:lang w:val="sq-AL"/>
              </w:rPr>
            </w:pPr>
            <w:r w:rsidRPr="006F25E7">
              <w:rPr>
                <w:rFonts w:asciiTheme="minorHAnsi" w:hAnsiTheme="minorHAnsi"/>
                <w:sz w:val="18"/>
                <w:lang w:val="sq-AL"/>
              </w:rPr>
              <w:t>Investime</w:t>
            </w:r>
          </w:p>
        </w:tc>
      </w:tr>
      <w:tr w:rsidR="00990CDF" w:rsidRPr="006F25E7" w:rsidTr="00201FE1">
        <w:trPr>
          <w:trHeight w:val="355"/>
          <w:jc w:val="center"/>
        </w:trPr>
        <w:tc>
          <w:tcPr>
            <w:cnfStyle w:val="001000000000" w:firstRow="0" w:lastRow="0" w:firstColumn="1" w:lastColumn="0" w:oddVBand="0" w:evenVBand="0" w:oddHBand="0" w:evenHBand="0" w:firstRowFirstColumn="0" w:firstRowLastColumn="0" w:lastRowFirstColumn="0" w:lastRowLastColumn="0"/>
            <w:tcW w:w="251" w:type="pct"/>
          </w:tcPr>
          <w:p w:rsidR="00990CDF" w:rsidRPr="006F25E7" w:rsidRDefault="00990CDF" w:rsidP="00E7447D">
            <w:pPr>
              <w:spacing w:line="276" w:lineRule="auto"/>
              <w:jc w:val="center"/>
              <w:rPr>
                <w:rFonts w:asciiTheme="minorHAnsi" w:hAnsiTheme="minorHAnsi"/>
                <w:sz w:val="18"/>
                <w:lang w:val="sq-AL"/>
              </w:rPr>
            </w:pPr>
            <w:r w:rsidRPr="006F25E7">
              <w:rPr>
                <w:rFonts w:asciiTheme="minorHAnsi" w:hAnsiTheme="minorHAnsi"/>
                <w:sz w:val="18"/>
                <w:lang w:val="sq-AL"/>
              </w:rPr>
              <w:t>1.</w:t>
            </w:r>
          </w:p>
        </w:tc>
        <w:tc>
          <w:tcPr>
            <w:cnfStyle w:val="000010000000" w:firstRow="0" w:lastRow="0" w:firstColumn="0" w:lastColumn="0" w:oddVBand="1" w:evenVBand="0" w:oddHBand="0" w:evenHBand="0" w:firstRowFirstColumn="0" w:firstRowLastColumn="0" w:lastRowFirstColumn="0" w:lastRowLastColumn="0"/>
            <w:tcW w:w="1576" w:type="pct"/>
            <w:gridSpan w:val="2"/>
            <w:vAlign w:val="bottom"/>
          </w:tcPr>
          <w:p w:rsidR="00990CDF" w:rsidRPr="006F25E7" w:rsidRDefault="00990CDF" w:rsidP="00E7447D">
            <w:pPr>
              <w:spacing w:line="276" w:lineRule="auto"/>
              <w:rPr>
                <w:rFonts w:asciiTheme="minorHAnsi" w:hAnsiTheme="minorHAnsi"/>
                <w:sz w:val="18"/>
                <w:lang w:val="sq-AL"/>
              </w:rPr>
            </w:pPr>
            <w:r w:rsidRPr="006F25E7">
              <w:rPr>
                <w:rFonts w:asciiTheme="minorHAnsi" w:hAnsiTheme="minorHAnsi"/>
                <w:sz w:val="18"/>
                <w:lang w:val="sq-AL"/>
              </w:rPr>
              <w:t>Planifikimi, Menaxhimi dhe Administrimi</w:t>
            </w:r>
          </w:p>
        </w:tc>
        <w:tc>
          <w:tcPr>
            <w:tcW w:w="533" w:type="pct"/>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668,697</w:t>
            </w:r>
          </w:p>
        </w:tc>
        <w:tc>
          <w:tcPr>
            <w:cnfStyle w:val="000010000000" w:firstRow="0" w:lastRow="0" w:firstColumn="0" w:lastColumn="0" w:oddVBand="1" w:evenVBand="0" w:oddHBand="0" w:evenHBand="0" w:firstRowFirstColumn="0" w:firstRowLastColumn="0" w:lastRowFirstColumn="0" w:lastRowLastColumn="0"/>
            <w:tcW w:w="53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55,000</w:t>
            </w:r>
          </w:p>
        </w:tc>
        <w:tc>
          <w:tcPr>
            <w:tcW w:w="547" w:type="pct"/>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218,068</w:t>
            </w:r>
          </w:p>
        </w:tc>
        <w:tc>
          <w:tcPr>
            <w:cnfStyle w:val="000010000000" w:firstRow="0" w:lastRow="0" w:firstColumn="0" w:lastColumn="0" w:oddVBand="1" w:evenVBand="0" w:oddHBand="0" w:evenHBand="0" w:firstRowFirstColumn="0" w:firstRowLastColumn="0" w:lastRowFirstColumn="0" w:lastRowLastColumn="0"/>
            <w:tcW w:w="58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3,316</w:t>
            </w:r>
          </w:p>
        </w:tc>
        <w:tc>
          <w:tcPr>
            <w:tcW w:w="469" w:type="pct"/>
            <w:gridSpan w:val="2"/>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33</w:t>
            </w:r>
          </w:p>
        </w:tc>
        <w:tc>
          <w:tcPr>
            <w:cnfStyle w:val="000100000000" w:firstRow="0" w:lastRow="0" w:firstColumn="0" w:lastColumn="1" w:oddVBand="0" w:evenVBand="0" w:oddHBand="0" w:evenHBand="0" w:firstRowFirstColumn="0" w:firstRowLastColumn="0" w:lastRowFirstColumn="0" w:lastRowLastColumn="0"/>
            <w:tcW w:w="506"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6</w:t>
            </w:r>
          </w:p>
        </w:tc>
      </w:tr>
      <w:tr w:rsidR="00990CDF" w:rsidRPr="006F25E7" w:rsidTr="00201FE1">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251" w:type="pct"/>
          </w:tcPr>
          <w:p w:rsidR="00990CDF" w:rsidRPr="006F25E7" w:rsidRDefault="00990CDF" w:rsidP="00E7447D">
            <w:pPr>
              <w:spacing w:line="276" w:lineRule="auto"/>
              <w:jc w:val="center"/>
              <w:rPr>
                <w:rFonts w:asciiTheme="minorHAnsi" w:hAnsiTheme="minorHAnsi"/>
                <w:sz w:val="18"/>
                <w:lang w:val="sq-AL"/>
              </w:rPr>
            </w:pPr>
            <w:r w:rsidRPr="006F25E7">
              <w:rPr>
                <w:rFonts w:asciiTheme="minorHAnsi" w:hAnsiTheme="minorHAnsi"/>
                <w:sz w:val="18"/>
                <w:lang w:val="sq-AL"/>
              </w:rPr>
              <w:t>2.</w:t>
            </w:r>
          </w:p>
        </w:tc>
        <w:tc>
          <w:tcPr>
            <w:cnfStyle w:val="000010000000" w:firstRow="0" w:lastRow="0" w:firstColumn="0" w:lastColumn="0" w:oddVBand="1" w:evenVBand="0" w:oddHBand="0" w:evenHBand="0" w:firstRowFirstColumn="0" w:firstRowLastColumn="0" w:lastRowFirstColumn="0" w:lastRowLastColumn="0"/>
            <w:tcW w:w="1576" w:type="pct"/>
            <w:gridSpan w:val="2"/>
          </w:tcPr>
          <w:p w:rsidR="00990CDF" w:rsidRPr="006F25E7" w:rsidRDefault="00990CDF" w:rsidP="00E7447D">
            <w:pPr>
              <w:spacing w:line="276" w:lineRule="auto"/>
              <w:rPr>
                <w:rFonts w:asciiTheme="minorHAnsi" w:hAnsiTheme="minorHAnsi"/>
                <w:sz w:val="18"/>
                <w:lang w:val="sq-AL"/>
              </w:rPr>
            </w:pPr>
            <w:r w:rsidRPr="006F25E7">
              <w:rPr>
                <w:rFonts w:asciiTheme="minorHAnsi" w:hAnsiTheme="minorHAnsi"/>
                <w:sz w:val="18"/>
                <w:lang w:val="sq-AL"/>
              </w:rPr>
              <w:t>Arsimi Bazë</w:t>
            </w:r>
          </w:p>
        </w:tc>
        <w:tc>
          <w:tcPr>
            <w:tcW w:w="533" w:type="pct"/>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23,072,767</w:t>
            </w:r>
          </w:p>
        </w:tc>
        <w:tc>
          <w:tcPr>
            <w:cnfStyle w:val="000010000000" w:firstRow="0" w:lastRow="0" w:firstColumn="0" w:lastColumn="0" w:oddVBand="1" w:evenVBand="0" w:oddHBand="0" w:evenHBand="0" w:firstRowFirstColumn="0" w:firstRowLastColumn="0" w:lastRowFirstColumn="0" w:lastRowLastColumn="0"/>
            <w:tcW w:w="53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1,637,000</w:t>
            </w:r>
          </w:p>
        </w:tc>
        <w:tc>
          <w:tcPr>
            <w:tcW w:w="547" w:type="pct"/>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7,558,943</w:t>
            </w:r>
          </w:p>
        </w:tc>
        <w:tc>
          <w:tcPr>
            <w:cnfStyle w:val="000010000000" w:firstRow="0" w:lastRow="0" w:firstColumn="0" w:lastColumn="0" w:oddVBand="1" w:evenVBand="0" w:oddHBand="0" w:evenHBand="0" w:firstRowFirstColumn="0" w:firstRowLastColumn="0" w:lastRowFirstColumn="0" w:lastRowLastColumn="0"/>
            <w:tcW w:w="58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30,000</w:t>
            </w:r>
          </w:p>
        </w:tc>
        <w:tc>
          <w:tcPr>
            <w:tcW w:w="469" w:type="pct"/>
            <w:gridSpan w:val="2"/>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33</w:t>
            </w:r>
          </w:p>
        </w:tc>
        <w:tc>
          <w:tcPr>
            <w:cnfStyle w:val="000100000000" w:firstRow="0" w:lastRow="0" w:firstColumn="0" w:lastColumn="1" w:oddVBand="0" w:evenVBand="0" w:oddHBand="0" w:evenHBand="0" w:firstRowFirstColumn="0" w:firstRowLastColumn="0" w:lastRowFirstColumn="0" w:lastRowLastColumn="0"/>
            <w:tcW w:w="506"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2</w:t>
            </w:r>
          </w:p>
        </w:tc>
      </w:tr>
      <w:tr w:rsidR="00990CDF" w:rsidRPr="006F25E7" w:rsidTr="00201FE1">
        <w:trPr>
          <w:trHeight w:val="318"/>
          <w:jc w:val="center"/>
        </w:trPr>
        <w:tc>
          <w:tcPr>
            <w:cnfStyle w:val="001000000000" w:firstRow="0" w:lastRow="0" w:firstColumn="1" w:lastColumn="0" w:oddVBand="0" w:evenVBand="0" w:oddHBand="0" w:evenHBand="0" w:firstRowFirstColumn="0" w:firstRowLastColumn="0" w:lastRowFirstColumn="0" w:lastRowLastColumn="0"/>
            <w:tcW w:w="251" w:type="pct"/>
          </w:tcPr>
          <w:p w:rsidR="00990CDF" w:rsidRPr="006F25E7" w:rsidRDefault="00990CDF" w:rsidP="00E7447D">
            <w:pPr>
              <w:spacing w:line="276" w:lineRule="auto"/>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1576" w:type="pct"/>
            <w:gridSpan w:val="2"/>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Financim i huaj</w:t>
            </w:r>
          </w:p>
        </w:tc>
        <w:tc>
          <w:tcPr>
            <w:tcW w:w="533" w:type="pct"/>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3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3</w:t>
            </w:r>
          </w:p>
        </w:tc>
        <w:tc>
          <w:tcPr>
            <w:tcW w:w="547" w:type="pct"/>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8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0</w:t>
            </w:r>
          </w:p>
        </w:tc>
        <w:tc>
          <w:tcPr>
            <w:tcW w:w="469" w:type="pct"/>
            <w:gridSpan w:val="2"/>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100000000" w:firstRow="0" w:lastRow="0" w:firstColumn="0" w:lastColumn="1" w:oddVBand="0" w:evenVBand="0" w:oddHBand="0" w:evenHBand="0" w:firstRowFirstColumn="0" w:firstRowLastColumn="0" w:lastRowFirstColumn="0" w:lastRowLastColumn="0"/>
            <w:tcW w:w="506"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0</w:t>
            </w:r>
          </w:p>
        </w:tc>
      </w:tr>
      <w:tr w:rsidR="00990CDF" w:rsidRPr="006F25E7" w:rsidTr="00201FE1">
        <w:trPr>
          <w:cnfStyle w:val="000000100000" w:firstRow="0" w:lastRow="0" w:firstColumn="0" w:lastColumn="0" w:oddVBand="0" w:evenVBand="0" w:oddHBand="1" w:evenHBand="0" w:firstRowFirstColumn="0" w:firstRowLastColumn="0" w:lastRowFirstColumn="0" w:lastRowLastColumn="0"/>
          <w:trHeight w:val="241"/>
          <w:jc w:val="center"/>
        </w:trPr>
        <w:tc>
          <w:tcPr>
            <w:cnfStyle w:val="001000000000" w:firstRow="0" w:lastRow="0" w:firstColumn="1" w:lastColumn="0" w:oddVBand="0" w:evenVBand="0" w:oddHBand="0" w:evenHBand="0" w:firstRowFirstColumn="0" w:firstRowLastColumn="0" w:lastRowFirstColumn="0" w:lastRowLastColumn="0"/>
            <w:tcW w:w="251" w:type="pct"/>
          </w:tcPr>
          <w:p w:rsidR="00990CDF" w:rsidRPr="006F25E7" w:rsidRDefault="00990CDF" w:rsidP="00E7447D">
            <w:pPr>
              <w:spacing w:line="276" w:lineRule="auto"/>
              <w:jc w:val="center"/>
              <w:rPr>
                <w:rFonts w:asciiTheme="minorHAnsi" w:hAnsiTheme="minorHAnsi"/>
                <w:sz w:val="18"/>
                <w:lang w:val="sq-AL"/>
              </w:rPr>
            </w:pPr>
            <w:r w:rsidRPr="006F25E7">
              <w:rPr>
                <w:rFonts w:asciiTheme="minorHAnsi" w:hAnsiTheme="minorHAnsi"/>
                <w:sz w:val="18"/>
                <w:lang w:val="sq-AL"/>
              </w:rPr>
              <w:t>3.</w:t>
            </w:r>
          </w:p>
        </w:tc>
        <w:tc>
          <w:tcPr>
            <w:cnfStyle w:val="000010000000" w:firstRow="0" w:lastRow="0" w:firstColumn="0" w:lastColumn="0" w:oddVBand="1" w:evenVBand="0" w:oddHBand="0" w:evenHBand="0" w:firstRowFirstColumn="0" w:firstRowLastColumn="0" w:lastRowFirstColumn="0" w:lastRowLastColumn="0"/>
            <w:tcW w:w="1576" w:type="pct"/>
            <w:gridSpan w:val="2"/>
          </w:tcPr>
          <w:p w:rsidR="00990CDF" w:rsidRPr="006F25E7" w:rsidRDefault="00990CDF" w:rsidP="00E7447D">
            <w:pPr>
              <w:spacing w:line="276" w:lineRule="auto"/>
              <w:rPr>
                <w:rFonts w:asciiTheme="minorHAnsi" w:hAnsiTheme="minorHAnsi"/>
                <w:sz w:val="18"/>
                <w:lang w:val="sq-AL"/>
              </w:rPr>
            </w:pPr>
            <w:r w:rsidRPr="006F25E7">
              <w:rPr>
                <w:rFonts w:asciiTheme="minorHAnsi" w:hAnsiTheme="minorHAnsi"/>
                <w:sz w:val="18"/>
                <w:lang w:val="sq-AL"/>
              </w:rPr>
              <w:t>Arsimi i Mesëm i Përgjithshëm</w:t>
            </w:r>
          </w:p>
        </w:tc>
        <w:tc>
          <w:tcPr>
            <w:tcW w:w="533" w:type="pct"/>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6,840,417</w:t>
            </w:r>
          </w:p>
        </w:tc>
        <w:tc>
          <w:tcPr>
            <w:cnfStyle w:val="000010000000" w:firstRow="0" w:lastRow="0" w:firstColumn="0" w:lastColumn="0" w:oddVBand="1" w:evenVBand="0" w:oddHBand="0" w:evenHBand="0" w:firstRowFirstColumn="0" w:firstRowLastColumn="0" w:lastRowFirstColumn="0" w:lastRowLastColumn="0"/>
            <w:tcW w:w="53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962,000</w:t>
            </w:r>
          </w:p>
        </w:tc>
        <w:tc>
          <w:tcPr>
            <w:tcW w:w="547" w:type="pct"/>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2,181,720</w:t>
            </w:r>
          </w:p>
        </w:tc>
        <w:tc>
          <w:tcPr>
            <w:cnfStyle w:val="000010000000" w:firstRow="0" w:lastRow="0" w:firstColumn="0" w:lastColumn="0" w:oddVBand="1" w:evenVBand="0" w:oddHBand="0" w:evenHBand="0" w:firstRowFirstColumn="0" w:firstRowLastColumn="0" w:lastRowFirstColumn="0" w:lastRowLastColumn="0"/>
            <w:tcW w:w="58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9,708</w:t>
            </w:r>
          </w:p>
        </w:tc>
        <w:tc>
          <w:tcPr>
            <w:tcW w:w="469" w:type="pct"/>
            <w:gridSpan w:val="2"/>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32</w:t>
            </w:r>
          </w:p>
        </w:tc>
        <w:tc>
          <w:tcPr>
            <w:cnfStyle w:val="000100000000" w:firstRow="0" w:lastRow="0" w:firstColumn="0" w:lastColumn="1" w:oddVBand="0" w:evenVBand="0" w:oddHBand="0" w:evenHBand="0" w:firstRowFirstColumn="0" w:firstRowLastColumn="0" w:lastRowFirstColumn="0" w:lastRowLastColumn="0"/>
            <w:tcW w:w="506"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1</w:t>
            </w:r>
          </w:p>
        </w:tc>
      </w:tr>
      <w:tr w:rsidR="00990CDF" w:rsidRPr="006F25E7" w:rsidTr="00201FE1">
        <w:trPr>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rsidR="00990CDF" w:rsidRPr="006F25E7" w:rsidRDefault="00990CDF" w:rsidP="00E7447D">
            <w:pPr>
              <w:spacing w:line="276" w:lineRule="auto"/>
              <w:jc w:val="center"/>
              <w:rPr>
                <w:rFonts w:asciiTheme="minorHAnsi" w:hAnsiTheme="minorHAnsi"/>
                <w:sz w:val="18"/>
                <w:lang w:val="sq-AL"/>
              </w:rPr>
            </w:pPr>
            <w:r w:rsidRPr="006F25E7">
              <w:rPr>
                <w:rFonts w:asciiTheme="minorHAnsi" w:hAnsiTheme="minorHAnsi"/>
                <w:sz w:val="18"/>
                <w:lang w:val="sq-AL"/>
              </w:rPr>
              <w:t>4.</w:t>
            </w:r>
          </w:p>
        </w:tc>
        <w:tc>
          <w:tcPr>
            <w:cnfStyle w:val="000010000000" w:firstRow="0" w:lastRow="0" w:firstColumn="0" w:lastColumn="0" w:oddVBand="1" w:evenVBand="0" w:oddHBand="0" w:evenHBand="0" w:firstRowFirstColumn="0" w:firstRowLastColumn="0" w:lastRowFirstColumn="0" w:lastRowLastColumn="0"/>
            <w:tcW w:w="1576" w:type="pct"/>
            <w:gridSpan w:val="2"/>
          </w:tcPr>
          <w:p w:rsidR="00990CDF" w:rsidRPr="006F25E7" w:rsidRDefault="00990CDF" w:rsidP="00E7447D">
            <w:pPr>
              <w:spacing w:line="276" w:lineRule="auto"/>
              <w:rPr>
                <w:rFonts w:asciiTheme="minorHAnsi" w:hAnsiTheme="minorHAnsi"/>
                <w:sz w:val="18"/>
                <w:lang w:val="sq-AL"/>
              </w:rPr>
            </w:pPr>
            <w:r w:rsidRPr="006F25E7">
              <w:rPr>
                <w:rFonts w:asciiTheme="minorHAnsi" w:hAnsiTheme="minorHAnsi"/>
                <w:sz w:val="18"/>
                <w:lang w:val="sq-AL"/>
              </w:rPr>
              <w:t>Arsimi i Universitar</w:t>
            </w:r>
          </w:p>
        </w:tc>
        <w:tc>
          <w:tcPr>
            <w:tcW w:w="533" w:type="pct"/>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10,098,748</w:t>
            </w:r>
          </w:p>
        </w:tc>
        <w:tc>
          <w:tcPr>
            <w:cnfStyle w:val="000010000000" w:firstRow="0" w:lastRow="0" w:firstColumn="0" w:lastColumn="0" w:oddVBand="1" w:evenVBand="0" w:oddHBand="0" w:evenHBand="0" w:firstRowFirstColumn="0" w:firstRowLastColumn="0" w:lastRowFirstColumn="0" w:lastRowLastColumn="0"/>
            <w:tcW w:w="53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996,000</w:t>
            </w:r>
          </w:p>
        </w:tc>
        <w:tc>
          <w:tcPr>
            <w:tcW w:w="547" w:type="pct"/>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3,074,468</w:t>
            </w:r>
          </w:p>
        </w:tc>
        <w:tc>
          <w:tcPr>
            <w:cnfStyle w:val="000010000000" w:firstRow="0" w:lastRow="0" w:firstColumn="0" w:lastColumn="0" w:oddVBand="1" w:evenVBand="0" w:oddHBand="0" w:evenHBand="0" w:firstRowFirstColumn="0" w:firstRowLastColumn="0" w:lastRowFirstColumn="0" w:lastRowLastColumn="0"/>
            <w:tcW w:w="58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25,234</w:t>
            </w:r>
          </w:p>
        </w:tc>
        <w:tc>
          <w:tcPr>
            <w:tcW w:w="469" w:type="pct"/>
            <w:gridSpan w:val="2"/>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31</w:t>
            </w:r>
          </w:p>
        </w:tc>
        <w:tc>
          <w:tcPr>
            <w:cnfStyle w:val="000100000000" w:firstRow="0" w:lastRow="0" w:firstColumn="0" w:lastColumn="1" w:oddVBand="0" w:evenVBand="0" w:oddHBand="0" w:evenHBand="0" w:firstRowFirstColumn="0" w:firstRowLastColumn="0" w:lastRowFirstColumn="0" w:lastRowLastColumn="0"/>
            <w:tcW w:w="506"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3</w:t>
            </w:r>
          </w:p>
        </w:tc>
      </w:tr>
      <w:tr w:rsidR="00990CDF" w:rsidRPr="006F25E7" w:rsidTr="00201FE1">
        <w:trPr>
          <w:cnfStyle w:val="000000100000" w:firstRow="0" w:lastRow="0" w:firstColumn="0" w:lastColumn="0" w:oddVBand="0" w:evenVBand="0" w:oddHBand="1" w:evenHBand="0" w:firstRowFirstColumn="0" w:firstRowLastColumn="0" w:lastRowFirstColumn="0" w:lastRowLastColumn="0"/>
          <w:trHeight w:val="181"/>
          <w:jc w:val="center"/>
        </w:trPr>
        <w:tc>
          <w:tcPr>
            <w:cnfStyle w:val="001000000000" w:firstRow="0" w:lastRow="0" w:firstColumn="1" w:lastColumn="0" w:oddVBand="0" w:evenVBand="0" w:oddHBand="0" w:evenHBand="0" w:firstRowFirstColumn="0" w:firstRowLastColumn="0" w:lastRowFirstColumn="0" w:lastRowLastColumn="0"/>
            <w:tcW w:w="251" w:type="pct"/>
          </w:tcPr>
          <w:p w:rsidR="00990CDF" w:rsidRPr="006F25E7" w:rsidRDefault="00990CDF" w:rsidP="00E7447D">
            <w:pPr>
              <w:spacing w:line="276" w:lineRule="auto"/>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1576" w:type="pct"/>
            <w:gridSpan w:val="2"/>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Financimi i huaj</w:t>
            </w:r>
          </w:p>
        </w:tc>
        <w:tc>
          <w:tcPr>
            <w:tcW w:w="533" w:type="pct"/>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3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100,000</w:t>
            </w:r>
          </w:p>
        </w:tc>
        <w:tc>
          <w:tcPr>
            <w:tcW w:w="547" w:type="pct"/>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8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28,825</w:t>
            </w:r>
          </w:p>
        </w:tc>
        <w:tc>
          <w:tcPr>
            <w:tcW w:w="469" w:type="pct"/>
            <w:gridSpan w:val="2"/>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p>
        </w:tc>
        <w:tc>
          <w:tcPr>
            <w:cnfStyle w:val="000100000000" w:firstRow="0" w:lastRow="0" w:firstColumn="0" w:lastColumn="1" w:oddVBand="0" w:evenVBand="0" w:oddHBand="0" w:evenHBand="0" w:firstRowFirstColumn="0" w:firstRowLastColumn="0" w:lastRowFirstColumn="0" w:lastRowLastColumn="0"/>
            <w:tcW w:w="506"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29</w:t>
            </w:r>
          </w:p>
        </w:tc>
      </w:tr>
      <w:tr w:rsidR="00990CDF" w:rsidRPr="006F25E7" w:rsidTr="00201FE1">
        <w:trPr>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rsidR="00990CDF" w:rsidRPr="006F25E7" w:rsidRDefault="00990CDF" w:rsidP="00E7447D">
            <w:pPr>
              <w:spacing w:line="276" w:lineRule="auto"/>
              <w:jc w:val="center"/>
              <w:rPr>
                <w:rFonts w:asciiTheme="minorHAnsi" w:hAnsiTheme="minorHAnsi"/>
                <w:sz w:val="18"/>
                <w:lang w:val="sq-AL"/>
              </w:rPr>
            </w:pPr>
            <w:r w:rsidRPr="006F25E7">
              <w:rPr>
                <w:rFonts w:asciiTheme="minorHAnsi" w:hAnsiTheme="minorHAnsi"/>
                <w:sz w:val="18"/>
                <w:lang w:val="sq-AL"/>
              </w:rPr>
              <w:t>5.</w:t>
            </w:r>
          </w:p>
        </w:tc>
        <w:tc>
          <w:tcPr>
            <w:cnfStyle w:val="000010000000" w:firstRow="0" w:lastRow="0" w:firstColumn="0" w:lastColumn="0" w:oddVBand="1" w:evenVBand="0" w:oddHBand="0" w:evenHBand="0" w:firstRowFirstColumn="0" w:firstRowLastColumn="0" w:lastRowFirstColumn="0" w:lastRowLastColumn="0"/>
            <w:tcW w:w="1576" w:type="pct"/>
            <w:gridSpan w:val="2"/>
          </w:tcPr>
          <w:p w:rsidR="00990CDF" w:rsidRPr="006F25E7" w:rsidRDefault="00990CDF" w:rsidP="00E7447D">
            <w:pPr>
              <w:spacing w:line="276" w:lineRule="auto"/>
              <w:rPr>
                <w:rFonts w:asciiTheme="minorHAnsi" w:hAnsiTheme="minorHAnsi"/>
                <w:sz w:val="18"/>
                <w:lang w:val="sq-AL"/>
              </w:rPr>
            </w:pPr>
            <w:r w:rsidRPr="006F25E7">
              <w:rPr>
                <w:rFonts w:asciiTheme="minorHAnsi" w:hAnsiTheme="minorHAnsi"/>
                <w:sz w:val="18"/>
                <w:lang w:val="sq-AL"/>
              </w:rPr>
              <w:t>Fonde për Shkencën</w:t>
            </w:r>
          </w:p>
        </w:tc>
        <w:tc>
          <w:tcPr>
            <w:tcW w:w="533" w:type="pct"/>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395,858</w:t>
            </w:r>
          </w:p>
        </w:tc>
        <w:tc>
          <w:tcPr>
            <w:cnfStyle w:val="000010000000" w:firstRow="0" w:lastRow="0" w:firstColumn="0" w:lastColumn="0" w:oddVBand="1" w:evenVBand="0" w:oddHBand="0" w:evenHBand="0" w:firstRowFirstColumn="0" w:firstRowLastColumn="0" w:lastRowFirstColumn="0" w:lastRowLastColumn="0"/>
            <w:tcW w:w="53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200,000</w:t>
            </w:r>
          </w:p>
        </w:tc>
        <w:tc>
          <w:tcPr>
            <w:tcW w:w="547" w:type="pct"/>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11,113</w:t>
            </w:r>
          </w:p>
        </w:tc>
        <w:tc>
          <w:tcPr>
            <w:cnfStyle w:val="000010000000" w:firstRow="0" w:lastRow="0" w:firstColumn="0" w:lastColumn="0" w:oddVBand="1" w:evenVBand="0" w:oddHBand="0" w:evenHBand="0" w:firstRowFirstColumn="0" w:firstRowLastColumn="0" w:lastRowFirstColumn="0" w:lastRowLastColumn="0"/>
            <w:tcW w:w="58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4,274</w:t>
            </w:r>
          </w:p>
        </w:tc>
        <w:tc>
          <w:tcPr>
            <w:tcW w:w="469" w:type="pct"/>
            <w:gridSpan w:val="2"/>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3</w:t>
            </w:r>
          </w:p>
        </w:tc>
        <w:tc>
          <w:tcPr>
            <w:cnfStyle w:val="000100000000" w:firstRow="0" w:lastRow="0" w:firstColumn="0" w:lastColumn="1" w:oddVBand="0" w:evenVBand="0" w:oddHBand="0" w:evenHBand="0" w:firstRowFirstColumn="0" w:firstRowLastColumn="0" w:lastRowFirstColumn="0" w:lastRowLastColumn="0"/>
            <w:tcW w:w="506"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2</w:t>
            </w:r>
          </w:p>
        </w:tc>
      </w:tr>
      <w:tr w:rsidR="00990CDF" w:rsidRPr="006F25E7" w:rsidTr="00201FE1">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rsidR="00990CDF" w:rsidRPr="006F25E7" w:rsidRDefault="00990CDF" w:rsidP="00E7447D">
            <w:pPr>
              <w:spacing w:line="276" w:lineRule="auto"/>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1576" w:type="pct"/>
            <w:gridSpan w:val="2"/>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Financimi i huaj</w:t>
            </w:r>
          </w:p>
        </w:tc>
        <w:tc>
          <w:tcPr>
            <w:tcW w:w="533" w:type="pct"/>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3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100,000</w:t>
            </w:r>
          </w:p>
        </w:tc>
        <w:tc>
          <w:tcPr>
            <w:tcW w:w="547" w:type="pct"/>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58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36,403</w:t>
            </w:r>
          </w:p>
        </w:tc>
        <w:tc>
          <w:tcPr>
            <w:tcW w:w="469" w:type="pct"/>
            <w:gridSpan w:val="2"/>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p>
        </w:tc>
        <w:tc>
          <w:tcPr>
            <w:cnfStyle w:val="000100000000" w:firstRow="0" w:lastRow="0" w:firstColumn="0" w:lastColumn="1" w:oddVBand="0" w:evenVBand="0" w:oddHBand="0" w:evenHBand="0" w:firstRowFirstColumn="0" w:firstRowLastColumn="0" w:lastRowFirstColumn="0" w:lastRowLastColumn="0"/>
            <w:tcW w:w="506"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36</w:t>
            </w:r>
          </w:p>
        </w:tc>
      </w:tr>
      <w:tr w:rsidR="00990CDF" w:rsidRPr="006F25E7" w:rsidTr="00201FE1">
        <w:trPr>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rsidR="00990CDF" w:rsidRPr="006F25E7" w:rsidRDefault="00990CDF" w:rsidP="00E7447D">
            <w:pPr>
              <w:spacing w:line="276" w:lineRule="auto"/>
              <w:jc w:val="center"/>
              <w:rPr>
                <w:rFonts w:asciiTheme="minorHAnsi" w:hAnsiTheme="minorHAnsi"/>
                <w:sz w:val="18"/>
                <w:lang w:val="sq-AL"/>
              </w:rPr>
            </w:pPr>
            <w:r w:rsidRPr="006F25E7">
              <w:rPr>
                <w:rFonts w:asciiTheme="minorHAnsi" w:hAnsiTheme="minorHAnsi"/>
                <w:sz w:val="18"/>
                <w:lang w:val="sq-AL"/>
              </w:rPr>
              <w:t>6.</w:t>
            </w:r>
          </w:p>
        </w:tc>
        <w:tc>
          <w:tcPr>
            <w:cnfStyle w:val="000010000000" w:firstRow="0" w:lastRow="0" w:firstColumn="0" w:lastColumn="0" w:oddVBand="1" w:evenVBand="0" w:oddHBand="0" w:evenHBand="0" w:firstRowFirstColumn="0" w:firstRowLastColumn="0" w:lastRowFirstColumn="0" w:lastRowLastColumn="0"/>
            <w:tcW w:w="1576" w:type="pct"/>
            <w:gridSpan w:val="2"/>
          </w:tcPr>
          <w:p w:rsidR="00990CDF" w:rsidRPr="006F25E7" w:rsidRDefault="00990CDF" w:rsidP="00E7447D">
            <w:pPr>
              <w:spacing w:line="276" w:lineRule="auto"/>
              <w:rPr>
                <w:rFonts w:asciiTheme="minorHAnsi" w:hAnsiTheme="minorHAnsi"/>
                <w:sz w:val="18"/>
                <w:lang w:val="sq-AL"/>
              </w:rPr>
            </w:pPr>
            <w:r w:rsidRPr="006F25E7">
              <w:rPr>
                <w:rFonts w:asciiTheme="minorHAnsi" w:hAnsiTheme="minorHAnsi"/>
                <w:sz w:val="18"/>
                <w:lang w:val="sq-AL"/>
              </w:rPr>
              <w:t>Zhvillimi i Sportit dhe Rinisë</w:t>
            </w:r>
          </w:p>
        </w:tc>
        <w:tc>
          <w:tcPr>
            <w:tcW w:w="533" w:type="pct"/>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325,100</w:t>
            </w:r>
          </w:p>
        </w:tc>
        <w:tc>
          <w:tcPr>
            <w:cnfStyle w:val="000010000000" w:firstRow="0" w:lastRow="0" w:firstColumn="0" w:lastColumn="0" w:oddVBand="1" w:evenVBand="0" w:oddHBand="0" w:evenHBand="0" w:firstRowFirstColumn="0" w:firstRowLastColumn="0" w:lastRowFirstColumn="0" w:lastRowLastColumn="0"/>
            <w:tcW w:w="53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300,000</w:t>
            </w:r>
          </w:p>
        </w:tc>
        <w:tc>
          <w:tcPr>
            <w:tcW w:w="547" w:type="pct"/>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44,182</w:t>
            </w:r>
          </w:p>
        </w:tc>
        <w:tc>
          <w:tcPr>
            <w:cnfStyle w:val="000010000000" w:firstRow="0" w:lastRow="0" w:firstColumn="0" w:lastColumn="0" w:oddVBand="1" w:evenVBand="0" w:oddHBand="0" w:evenHBand="0" w:firstRowFirstColumn="0" w:firstRowLastColumn="0" w:lastRowFirstColumn="0" w:lastRowLastColumn="0"/>
            <w:tcW w:w="584"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293,000</w:t>
            </w:r>
          </w:p>
        </w:tc>
        <w:tc>
          <w:tcPr>
            <w:tcW w:w="469" w:type="pct"/>
            <w:gridSpan w:val="2"/>
          </w:tcPr>
          <w:p w:rsidR="00990CDF" w:rsidRPr="006F25E7" w:rsidRDefault="00990CDF" w:rsidP="00E7447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14</w:t>
            </w:r>
          </w:p>
        </w:tc>
        <w:tc>
          <w:tcPr>
            <w:cnfStyle w:val="000100000000" w:firstRow="0" w:lastRow="0" w:firstColumn="0" w:lastColumn="1" w:oddVBand="0" w:evenVBand="0" w:oddHBand="0" w:evenHBand="0" w:firstRowFirstColumn="0" w:firstRowLastColumn="0" w:lastRowFirstColumn="0" w:lastRowLastColumn="0"/>
            <w:tcW w:w="506"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98</w:t>
            </w:r>
          </w:p>
        </w:tc>
      </w:tr>
      <w:tr w:rsidR="00990CDF" w:rsidRPr="006F25E7" w:rsidTr="00201FE1">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rsidR="00990CDF" w:rsidRPr="006F25E7" w:rsidRDefault="00990CDF" w:rsidP="00E7447D">
            <w:pPr>
              <w:spacing w:line="276" w:lineRule="auto"/>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1576" w:type="pct"/>
            <w:gridSpan w:val="2"/>
          </w:tcPr>
          <w:p w:rsidR="00990CDF" w:rsidRPr="006F25E7" w:rsidRDefault="00990CDF" w:rsidP="00E7447D">
            <w:pPr>
              <w:spacing w:line="276" w:lineRule="auto"/>
              <w:jc w:val="right"/>
              <w:rPr>
                <w:rFonts w:asciiTheme="minorHAnsi" w:hAnsiTheme="minorHAnsi"/>
                <w:b/>
                <w:sz w:val="18"/>
                <w:lang w:val="sq-AL"/>
              </w:rPr>
            </w:pPr>
            <w:r w:rsidRPr="006F25E7">
              <w:rPr>
                <w:rFonts w:asciiTheme="minorHAnsi" w:hAnsiTheme="minorHAnsi"/>
                <w:sz w:val="18"/>
                <w:lang w:val="sq-AL"/>
              </w:rPr>
              <w:t>Financimi i huaj</w:t>
            </w:r>
          </w:p>
        </w:tc>
        <w:tc>
          <w:tcPr>
            <w:tcW w:w="533" w:type="pct"/>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p>
        </w:tc>
        <w:tc>
          <w:tcPr>
            <w:cnfStyle w:val="000010000000" w:firstRow="0" w:lastRow="0" w:firstColumn="0" w:lastColumn="0" w:oddVBand="1" w:evenVBand="0" w:oddHBand="0" w:evenHBand="0" w:firstRowFirstColumn="0" w:firstRowLastColumn="0" w:lastRowFirstColumn="0" w:lastRowLastColumn="0"/>
            <w:tcW w:w="534" w:type="pct"/>
          </w:tcPr>
          <w:p w:rsidR="00990CDF" w:rsidRPr="006F25E7" w:rsidRDefault="00990CDF" w:rsidP="00E7447D">
            <w:pPr>
              <w:spacing w:line="276" w:lineRule="auto"/>
              <w:jc w:val="right"/>
              <w:rPr>
                <w:rFonts w:asciiTheme="minorHAnsi" w:hAnsiTheme="minorHAnsi"/>
                <w:b/>
                <w:sz w:val="18"/>
                <w:lang w:val="sq-AL"/>
              </w:rPr>
            </w:pPr>
            <w:r w:rsidRPr="006F25E7">
              <w:rPr>
                <w:rFonts w:asciiTheme="minorHAnsi" w:hAnsiTheme="minorHAnsi"/>
                <w:sz w:val="18"/>
                <w:lang w:val="sq-AL"/>
              </w:rPr>
              <w:t>100,000</w:t>
            </w:r>
          </w:p>
        </w:tc>
        <w:tc>
          <w:tcPr>
            <w:tcW w:w="547" w:type="pct"/>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p>
        </w:tc>
        <w:tc>
          <w:tcPr>
            <w:cnfStyle w:val="000010000000" w:firstRow="0" w:lastRow="0" w:firstColumn="0" w:lastColumn="0" w:oddVBand="1" w:evenVBand="0" w:oddHBand="0" w:evenHBand="0" w:firstRowFirstColumn="0" w:firstRowLastColumn="0" w:lastRowFirstColumn="0" w:lastRowLastColumn="0"/>
            <w:tcW w:w="584" w:type="pct"/>
          </w:tcPr>
          <w:p w:rsidR="00990CDF" w:rsidRPr="006F25E7" w:rsidRDefault="00990CDF" w:rsidP="00E7447D">
            <w:pPr>
              <w:spacing w:line="276" w:lineRule="auto"/>
              <w:jc w:val="right"/>
              <w:rPr>
                <w:rFonts w:asciiTheme="minorHAnsi" w:hAnsiTheme="minorHAnsi"/>
                <w:b/>
                <w:sz w:val="18"/>
                <w:lang w:val="sq-AL"/>
              </w:rPr>
            </w:pPr>
            <w:r w:rsidRPr="006F25E7">
              <w:rPr>
                <w:rFonts w:asciiTheme="minorHAnsi" w:hAnsiTheme="minorHAnsi"/>
                <w:sz w:val="18"/>
                <w:lang w:val="sq-AL"/>
              </w:rPr>
              <w:t>0</w:t>
            </w:r>
          </w:p>
        </w:tc>
        <w:tc>
          <w:tcPr>
            <w:tcW w:w="469" w:type="pct"/>
            <w:gridSpan w:val="2"/>
          </w:tcPr>
          <w:p w:rsidR="00990CDF" w:rsidRPr="006F25E7" w:rsidRDefault="00990CDF" w:rsidP="00E7447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p>
        </w:tc>
        <w:tc>
          <w:tcPr>
            <w:cnfStyle w:val="000100000000" w:firstRow="0" w:lastRow="0" w:firstColumn="0" w:lastColumn="1" w:oddVBand="0" w:evenVBand="0" w:oddHBand="0" w:evenHBand="0" w:firstRowFirstColumn="0" w:firstRowLastColumn="0" w:lastRowFirstColumn="0" w:lastRowLastColumn="0"/>
            <w:tcW w:w="506"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0</w:t>
            </w:r>
          </w:p>
        </w:tc>
      </w:tr>
      <w:tr w:rsidR="00990CDF" w:rsidRPr="006F25E7" w:rsidTr="00201FE1">
        <w:trPr>
          <w:cnfStyle w:val="010000000000" w:firstRow="0" w:lastRow="1" w:firstColumn="0" w:lastColumn="0" w:oddVBand="0" w:evenVBand="0" w:oddHBand="0" w:evenHBand="0" w:firstRowFirstColumn="0" w:firstRowLastColumn="0" w:lastRowFirstColumn="0" w:lastRowLastColumn="0"/>
          <w:trHeight w:val="276"/>
          <w:jc w:val="center"/>
        </w:trPr>
        <w:tc>
          <w:tcPr>
            <w:cnfStyle w:val="001000000001" w:firstRow="0" w:lastRow="0" w:firstColumn="1" w:lastColumn="0" w:oddVBand="0" w:evenVBand="0" w:oddHBand="0" w:evenHBand="0" w:firstRowFirstColumn="0" w:firstRowLastColumn="0" w:lastRowFirstColumn="1" w:lastRowLastColumn="0"/>
            <w:tcW w:w="1827" w:type="pct"/>
            <w:gridSpan w:val="3"/>
          </w:tcPr>
          <w:p w:rsidR="00990CDF" w:rsidRPr="006F25E7" w:rsidRDefault="00990CDF" w:rsidP="00E7447D">
            <w:pPr>
              <w:spacing w:line="276" w:lineRule="auto"/>
              <w:jc w:val="center"/>
              <w:rPr>
                <w:rFonts w:asciiTheme="minorHAnsi" w:hAnsiTheme="minorHAnsi"/>
                <w:sz w:val="18"/>
                <w:lang w:val="sq-AL"/>
              </w:rPr>
            </w:pPr>
            <w:r w:rsidRPr="006F25E7">
              <w:rPr>
                <w:rFonts w:asciiTheme="minorHAnsi" w:hAnsiTheme="minorHAnsi"/>
                <w:sz w:val="18"/>
                <w:lang w:val="sq-AL"/>
              </w:rPr>
              <w:t>Totali</w:t>
            </w:r>
          </w:p>
        </w:tc>
        <w:tc>
          <w:tcPr>
            <w:cnfStyle w:val="000010000000" w:firstRow="0" w:lastRow="0" w:firstColumn="0" w:lastColumn="0" w:oddVBand="1" w:evenVBand="0" w:oddHBand="0" w:evenHBand="0" w:firstRowFirstColumn="0" w:firstRowLastColumn="0" w:lastRowFirstColumn="0" w:lastRowLastColumn="0"/>
            <w:tcW w:w="533"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41,401,586</w:t>
            </w:r>
          </w:p>
        </w:tc>
        <w:tc>
          <w:tcPr>
            <w:tcW w:w="534" w:type="pct"/>
          </w:tcPr>
          <w:p w:rsidR="00990CDF" w:rsidRPr="006F25E7" w:rsidRDefault="00990CDF" w:rsidP="00E7447D">
            <w:pPr>
              <w:spacing w:line="276" w:lineRule="auto"/>
              <w:jc w:val="right"/>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4,450,003</w:t>
            </w:r>
          </w:p>
        </w:tc>
        <w:tc>
          <w:tcPr>
            <w:cnfStyle w:val="000010000000" w:firstRow="0" w:lastRow="0" w:firstColumn="0" w:lastColumn="0" w:oddVBand="1" w:evenVBand="0" w:oddHBand="0" w:evenHBand="0" w:firstRowFirstColumn="0" w:firstRowLastColumn="0" w:lastRowFirstColumn="0" w:lastRowLastColumn="0"/>
            <w:tcW w:w="547"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13,088,495</w:t>
            </w:r>
          </w:p>
        </w:tc>
        <w:tc>
          <w:tcPr>
            <w:tcW w:w="584" w:type="pct"/>
          </w:tcPr>
          <w:p w:rsidR="00990CDF" w:rsidRPr="006F25E7" w:rsidRDefault="00990CDF" w:rsidP="00E7447D">
            <w:pPr>
              <w:spacing w:line="276" w:lineRule="auto"/>
              <w:jc w:val="right"/>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6F25E7">
              <w:rPr>
                <w:rFonts w:asciiTheme="minorHAnsi" w:hAnsiTheme="minorHAnsi"/>
                <w:sz w:val="18"/>
                <w:lang w:val="sq-AL"/>
              </w:rPr>
              <w:t>430,759</w:t>
            </w:r>
          </w:p>
        </w:tc>
        <w:tc>
          <w:tcPr>
            <w:cnfStyle w:val="000010000000" w:firstRow="0" w:lastRow="0" w:firstColumn="0" w:lastColumn="0" w:oddVBand="1" w:evenVBand="0" w:oddHBand="0" w:evenHBand="0" w:firstRowFirstColumn="0" w:firstRowLastColumn="0" w:lastRowFirstColumn="0" w:lastRowLastColumn="0"/>
            <w:tcW w:w="469" w:type="pct"/>
            <w:gridSpan w:val="2"/>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32</w:t>
            </w:r>
          </w:p>
        </w:tc>
        <w:tc>
          <w:tcPr>
            <w:cnfStyle w:val="000100000010" w:firstRow="0" w:lastRow="0" w:firstColumn="0" w:lastColumn="1" w:oddVBand="0" w:evenVBand="0" w:oddHBand="0" w:evenHBand="0" w:firstRowFirstColumn="0" w:firstRowLastColumn="0" w:lastRowFirstColumn="0" w:lastRowLastColumn="1"/>
            <w:tcW w:w="506" w:type="pct"/>
          </w:tcPr>
          <w:p w:rsidR="00990CDF" w:rsidRPr="006F25E7" w:rsidRDefault="00990CDF" w:rsidP="00E7447D">
            <w:pPr>
              <w:spacing w:line="276" w:lineRule="auto"/>
              <w:jc w:val="right"/>
              <w:rPr>
                <w:rFonts w:asciiTheme="minorHAnsi" w:hAnsiTheme="minorHAnsi"/>
                <w:sz w:val="18"/>
                <w:lang w:val="sq-AL"/>
              </w:rPr>
            </w:pPr>
            <w:r w:rsidRPr="006F25E7">
              <w:rPr>
                <w:rFonts w:asciiTheme="minorHAnsi" w:hAnsiTheme="minorHAnsi"/>
                <w:sz w:val="18"/>
                <w:lang w:val="sq-AL"/>
              </w:rPr>
              <w:t>10</w:t>
            </w:r>
          </w:p>
        </w:tc>
      </w:tr>
    </w:tbl>
    <w:p w:rsidR="00990CDF" w:rsidRPr="00BF005F" w:rsidRDefault="00990CDF" w:rsidP="00990CDF">
      <w:pPr>
        <w:tabs>
          <w:tab w:val="left" w:pos="6619"/>
        </w:tabs>
        <w:spacing w:after="120"/>
        <w:jc w:val="both"/>
        <w:rPr>
          <w:rFonts w:asciiTheme="minorHAnsi" w:hAnsiTheme="minorHAnsi"/>
        </w:rPr>
      </w:pPr>
    </w:p>
    <w:p w:rsidR="00990CDF" w:rsidRPr="00BF005F" w:rsidRDefault="00990CDF" w:rsidP="006F25E7">
      <w:pPr>
        <w:spacing w:after="120" w:line="276" w:lineRule="auto"/>
        <w:jc w:val="both"/>
        <w:rPr>
          <w:rFonts w:asciiTheme="minorHAnsi" w:hAnsiTheme="minorHAnsi"/>
          <w:lang w:val="sq-AL"/>
        </w:rPr>
      </w:pPr>
      <w:r w:rsidRPr="00BF005F">
        <w:rPr>
          <w:rFonts w:asciiTheme="minorHAnsi" w:hAnsiTheme="minorHAnsi"/>
          <w:b/>
          <w:lang w:val="sq-AL"/>
        </w:rPr>
        <w:t>“Arsimi Bazë”,</w:t>
      </w:r>
      <w:r w:rsidRPr="00BF005F">
        <w:rPr>
          <w:rFonts w:asciiTheme="minorHAnsi" w:hAnsiTheme="minorHAnsi"/>
          <w:lang w:val="sq-AL"/>
        </w:rPr>
        <w:t xml:space="preserve"> qëllimi i këtij programi është “Sigurimi i një arsimi cilësor për të gjithë nxënësit duke përmirësuar kushtet e mësimdhënies e mësimnxënies duke siguruar kushte të barabarta për pjesëmarrje në arsimin bazë, për të gjithë fëmijët e grup moshës në arsimin parashkollor dhe atë të detyruar”. Përgjatë 4 mujorit të parë të vitit 2021, për arritjen e qëllimit kanë kontribuar produktet, performanca e të cilave është realizuar, si më poshtë:</w:t>
      </w:r>
    </w:p>
    <w:p w:rsidR="00990CDF" w:rsidRPr="00BF005F" w:rsidRDefault="00990CDF" w:rsidP="007F0B61">
      <w:pPr>
        <w:numPr>
          <w:ilvl w:val="0"/>
          <w:numId w:val="25"/>
        </w:numPr>
        <w:autoSpaceDE w:val="0"/>
        <w:autoSpaceDN w:val="0"/>
        <w:adjustRightInd w:val="0"/>
        <w:spacing w:line="276" w:lineRule="auto"/>
        <w:contextualSpacing/>
        <w:jc w:val="both"/>
        <w:rPr>
          <w:rFonts w:asciiTheme="minorHAnsi" w:hAnsiTheme="minorHAnsi"/>
          <w:lang w:val="sq-AL"/>
        </w:rPr>
      </w:pPr>
      <w:r w:rsidRPr="00BF005F">
        <w:rPr>
          <w:rFonts w:asciiTheme="minorHAnsi" w:hAnsiTheme="minorHAnsi"/>
          <w:lang w:val="sq-AL"/>
        </w:rPr>
        <w:t>Janë rregjistruar rreth 67,785 fëmijë të grup moshës 3-6 vjeç që ndjekin programin parashkollor, ose 93% e numirt të parashkuar për vitin 2021</w:t>
      </w:r>
    </w:p>
    <w:p w:rsidR="00990CDF" w:rsidRPr="00BF005F" w:rsidRDefault="00990CDF" w:rsidP="007F0B61">
      <w:pPr>
        <w:numPr>
          <w:ilvl w:val="0"/>
          <w:numId w:val="25"/>
        </w:numPr>
        <w:autoSpaceDE w:val="0"/>
        <w:autoSpaceDN w:val="0"/>
        <w:adjustRightInd w:val="0"/>
        <w:spacing w:line="276" w:lineRule="auto"/>
        <w:contextualSpacing/>
        <w:jc w:val="both"/>
        <w:rPr>
          <w:rFonts w:asciiTheme="minorHAnsi" w:hAnsiTheme="minorHAnsi"/>
          <w:lang w:val="sq-AL"/>
        </w:rPr>
      </w:pPr>
      <w:r w:rsidRPr="00BF005F">
        <w:rPr>
          <w:rFonts w:asciiTheme="minorHAnsi" w:hAnsiTheme="minorHAnsi"/>
          <w:lang w:val="sq-AL"/>
        </w:rPr>
        <w:lastRenderedPageBreak/>
        <w:t>U ofrua shërbimi i transportit me fonde të buxhetit, për të mbuluar shpenzimet për transportin e rreth 39,000 nxënësve/mësues që kanë vendbanimi mbi 2 km nga shkolla, për transportin për fëmijët që ndjekin arsimin parashkollor dhe edukatorëve të tyre, si dhe transportin e mësuesve që punojnë mbi 5 km nga vendbanimi/qendra e përhershme e punës në shkollë me një kosto prej rreth 175 milion lekë.</w:t>
      </w:r>
    </w:p>
    <w:p w:rsidR="00990CDF" w:rsidRPr="00BF005F" w:rsidRDefault="00990CDF" w:rsidP="007F0B61">
      <w:pPr>
        <w:numPr>
          <w:ilvl w:val="0"/>
          <w:numId w:val="25"/>
        </w:numPr>
        <w:autoSpaceDE w:val="0"/>
        <w:autoSpaceDN w:val="0"/>
        <w:adjustRightInd w:val="0"/>
        <w:spacing w:line="276" w:lineRule="auto"/>
        <w:contextualSpacing/>
        <w:jc w:val="both"/>
        <w:rPr>
          <w:rFonts w:asciiTheme="minorHAnsi" w:hAnsiTheme="minorHAnsi"/>
          <w:lang w:val="sq-AL"/>
        </w:rPr>
      </w:pPr>
      <w:r w:rsidRPr="00BF005F">
        <w:rPr>
          <w:rFonts w:asciiTheme="minorHAnsi" w:hAnsiTheme="minorHAnsi"/>
          <w:lang w:val="sq-AL"/>
        </w:rPr>
        <w:t xml:space="preserve">U ofruan tekstet shkollore falas për përdorim për të gjithë nxënësit nga klasa e parë në klasën e gjashtë, si dhe nxënësve të 16 kategorive sociale nga klasa e shtatë në klasën e nëntë dukë siguruar rreth 231.8 mijë nxënës të arsimit bazë për blerjen e teksteve shkollore </w:t>
      </w:r>
    </w:p>
    <w:p w:rsidR="00990CDF" w:rsidRPr="00BF005F" w:rsidRDefault="00990CDF" w:rsidP="00201FE1">
      <w:pPr>
        <w:autoSpaceDE w:val="0"/>
        <w:autoSpaceDN w:val="0"/>
        <w:adjustRightInd w:val="0"/>
        <w:spacing w:before="240" w:line="276" w:lineRule="auto"/>
        <w:jc w:val="both"/>
        <w:rPr>
          <w:rFonts w:asciiTheme="minorHAnsi" w:hAnsiTheme="minorHAnsi"/>
          <w:lang w:val="sq-AL"/>
        </w:rPr>
      </w:pPr>
      <w:r w:rsidRPr="00BF005F">
        <w:rPr>
          <w:rFonts w:asciiTheme="minorHAnsi" w:hAnsiTheme="minorHAnsi"/>
          <w:lang w:val="sq-AL"/>
        </w:rPr>
        <w:t>Programi</w:t>
      </w:r>
      <w:r w:rsidRPr="00BF005F">
        <w:rPr>
          <w:rFonts w:asciiTheme="minorHAnsi" w:hAnsiTheme="minorHAnsi"/>
          <w:b/>
          <w:lang w:val="sq-AL"/>
        </w:rPr>
        <w:t xml:space="preserve"> “Arsimi Mesëm i Përgjithshëm” </w:t>
      </w:r>
      <w:r w:rsidRPr="00BF005F">
        <w:rPr>
          <w:rFonts w:asciiTheme="minorHAnsi" w:hAnsiTheme="minorHAnsi"/>
          <w:lang w:val="sq-AL"/>
        </w:rPr>
        <w:t>objektivat e të cilit janë:</w:t>
      </w:r>
    </w:p>
    <w:p w:rsidR="00990CDF" w:rsidRPr="00BF005F" w:rsidRDefault="00990CDF" w:rsidP="007F0B61">
      <w:pPr>
        <w:numPr>
          <w:ilvl w:val="0"/>
          <w:numId w:val="25"/>
        </w:numPr>
        <w:autoSpaceDE w:val="0"/>
        <w:autoSpaceDN w:val="0"/>
        <w:adjustRightInd w:val="0"/>
        <w:spacing w:line="276" w:lineRule="auto"/>
        <w:contextualSpacing/>
        <w:jc w:val="both"/>
        <w:rPr>
          <w:rFonts w:asciiTheme="minorHAnsi" w:hAnsiTheme="minorHAnsi"/>
          <w:lang w:val="sq-AL"/>
        </w:rPr>
      </w:pPr>
      <w:r w:rsidRPr="00BF005F">
        <w:rPr>
          <w:rFonts w:asciiTheme="minorHAnsi" w:hAnsiTheme="minorHAnsi"/>
          <w:lang w:val="sq-AL"/>
        </w:rPr>
        <w:t xml:space="preserve">Nxënës që regjistrohen dhe ndjekin arsimin e mesëm të lartë pasi përfundojnë arsimin bazë. </w:t>
      </w:r>
    </w:p>
    <w:p w:rsidR="00990CDF" w:rsidRPr="00BF005F" w:rsidRDefault="00990CDF" w:rsidP="007F0B61">
      <w:pPr>
        <w:numPr>
          <w:ilvl w:val="0"/>
          <w:numId w:val="25"/>
        </w:numPr>
        <w:autoSpaceDE w:val="0"/>
        <w:autoSpaceDN w:val="0"/>
        <w:adjustRightInd w:val="0"/>
        <w:spacing w:line="276" w:lineRule="auto"/>
        <w:contextualSpacing/>
        <w:jc w:val="both"/>
        <w:rPr>
          <w:rFonts w:asciiTheme="minorHAnsi" w:hAnsiTheme="minorHAnsi"/>
          <w:lang w:val="sq-AL"/>
        </w:rPr>
      </w:pPr>
      <w:r w:rsidRPr="00BF005F">
        <w:rPr>
          <w:rFonts w:asciiTheme="minorHAnsi" w:hAnsiTheme="minorHAnsi"/>
          <w:lang w:val="sq-AL"/>
        </w:rPr>
        <w:t xml:space="preserve">Zbatimi i kurrikules së re dhe trajnimi i mësuesve të klasës së 11 në gjimnaze dhe shkollat social-kulturore, si dhe zbatimi i sistemit të ri të zhvillimit profesional. </w:t>
      </w:r>
    </w:p>
    <w:p w:rsidR="00990CDF" w:rsidRPr="00BF005F" w:rsidRDefault="00990CDF" w:rsidP="007F0B61">
      <w:pPr>
        <w:numPr>
          <w:ilvl w:val="0"/>
          <w:numId w:val="25"/>
        </w:numPr>
        <w:autoSpaceDE w:val="0"/>
        <w:autoSpaceDN w:val="0"/>
        <w:adjustRightInd w:val="0"/>
        <w:spacing w:line="276" w:lineRule="auto"/>
        <w:contextualSpacing/>
        <w:jc w:val="both"/>
        <w:rPr>
          <w:rFonts w:asciiTheme="minorHAnsi" w:hAnsiTheme="minorHAnsi"/>
          <w:lang w:val="sq-AL"/>
        </w:rPr>
      </w:pPr>
      <w:r w:rsidRPr="00BF005F">
        <w:rPr>
          <w:rFonts w:asciiTheme="minorHAnsi" w:hAnsiTheme="minorHAnsi"/>
          <w:lang w:val="sq-AL"/>
        </w:rPr>
        <w:t>Realizimi i Maturës Shtetërore 2021, realizimi i testimit "Mësues për Shqipërinë", në formë elektronikë.</w:t>
      </w:r>
    </w:p>
    <w:p w:rsidR="00990CDF" w:rsidRPr="00BF005F" w:rsidRDefault="00990CDF" w:rsidP="007F0B61">
      <w:pPr>
        <w:numPr>
          <w:ilvl w:val="0"/>
          <w:numId w:val="25"/>
        </w:numPr>
        <w:autoSpaceDE w:val="0"/>
        <w:autoSpaceDN w:val="0"/>
        <w:adjustRightInd w:val="0"/>
        <w:spacing w:line="276" w:lineRule="auto"/>
        <w:contextualSpacing/>
        <w:jc w:val="both"/>
        <w:rPr>
          <w:rFonts w:asciiTheme="minorHAnsi" w:hAnsiTheme="minorHAnsi"/>
          <w:lang w:val="sq-AL"/>
        </w:rPr>
      </w:pPr>
      <w:r w:rsidRPr="00BF005F">
        <w:rPr>
          <w:rFonts w:asciiTheme="minorHAnsi" w:hAnsiTheme="minorHAnsi"/>
          <w:lang w:val="sq-AL"/>
        </w:rPr>
        <w:t>Përmirësimi i infrastrukturës ekzistuese në arsimin e mesëm, rehabilitimi i klasave në gjimnaze në zonat urbane, shtimi i klasave të reja në zonat urbane, pajisja me mjete didaktike për Fizikë-Kimi-Biologji të shkollave të mesme, pajisja e shkollave me klasa mësimore inteligjente/ digjitale, si dhe pasurimi i bibliotekave në të gjitha shkollat.</w:t>
      </w:r>
    </w:p>
    <w:p w:rsidR="00990CDF" w:rsidRPr="00BF005F" w:rsidRDefault="00990CDF" w:rsidP="00201FE1">
      <w:pPr>
        <w:autoSpaceDE w:val="0"/>
        <w:autoSpaceDN w:val="0"/>
        <w:adjustRightInd w:val="0"/>
        <w:spacing w:before="240" w:line="276" w:lineRule="auto"/>
        <w:jc w:val="both"/>
        <w:rPr>
          <w:rFonts w:asciiTheme="minorHAnsi" w:hAnsiTheme="minorHAnsi"/>
          <w:lang w:val="sq-AL"/>
        </w:rPr>
      </w:pPr>
      <w:r w:rsidRPr="00BF005F">
        <w:rPr>
          <w:rFonts w:asciiTheme="minorHAnsi" w:hAnsiTheme="minorHAnsi"/>
          <w:lang w:val="sq-AL"/>
        </w:rPr>
        <w:t>Këto objektiva janë realizuar nëpërmjet produkteve, performanca e të cilave për 4 mujorin e parë të vitit 2021, është realizuar, si më poshtë:</w:t>
      </w:r>
    </w:p>
    <w:p w:rsidR="00990CDF" w:rsidRPr="00BF005F" w:rsidRDefault="00990CDF" w:rsidP="007F0B61">
      <w:pPr>
        <w:numPr>
          <w:ilvl w:val="0"/>
          <w:numId w:val="25"/>
        </w:numPr>
        <w:autoSpaceDE w:val="0"/>
        <w:autoSpaceDN w:val="0"/>
        <w:adjustRightInd w:val="0"/>
        <w:spacing w:line="276" w:lineRule="auto"/>
        <w:contextualSpacing/>
        <w:jc w:val="both"/>
        <w:rPr>
          <w:rFonts w:asciiTheme="minorHAnsi" w:hAnsiTheme="minorHAnsi"/>
          <w:lang w:val="sq-AL"/>
        </w:rPr>
      </w:pPr>
      <w:r w:rsidRPr="00BF005F">
        <w:rPr>
          <w:rFonts w:asciiTheme="minorHAnsi" w:hAnsiTheme="minorHAnsi"/>
          <w:lang w:val="sq-AL"/>
        </w:rPr>
        <w:t>Në vitin shkollor 2020-2021, marrin shërbim arsimor në AML rreth  77,382 nxënës, me një kosto prej rreth 2,159 milion lekë.</w:t>
      </w:r>
    </w:p>
    <w:p w:rsidR="00990CDF" w:rsidRPr="00BF005F" w:rsidRDefault="00990CDF" w:rsidP="007F0B61">
      <w:pPr>
        <w:numPr>
          <w:ilvl w:val="0"/>
          <w:numId w:val="25"/>
        </w:numPr>
        <w:autoSpaceDE w:val="0"/>
        <w:autoSpaceDN w:val="0"/>
        <w:adjustRightInd w:val="0"/>
        <w:spacing w:line="276" w:lineRule="auto"/>
        <w:contextualSpacing/>
        <w:jc w:val="both"/>
        <w:rPr>
          <w:rFonts w:asciiTheme="minorHAnsi" w:hAnsiTheme="minorHAnsi"/>
          <w:lang w:val="sq-AL"/>
        </w:rPr>
      </w:pPr>
      <w:r w:rsidRPr="00BF005F">
        <w:rPr>
          <w:rFonts w:asciiTheme="minorHAnsi" w:hAnsiTheme="minorHAnsi"/>
          <w:lang w:val="sq-AL"/>
        </w:rPr>
        <w:t>Ofrimi i shërbimit të transportit me fonde të buxhetit, për të mbuluar shpenzimet për transportin e rreth 5.300 mijë mësues të AML me një kosto prej rreth 16.4 milion lekë.</w:t>
      </w:r>
    </w:p>
    <w:p w:rsidR="00990CDF" w:rsidRPr="00BF005F" w:rsidRDefault="00990CDF" w:rsidP="006F25E7">
      <w:pPr>
        <w:autoSpaceDE w:val="0"/>
        <w:autoSpaceDN w:val="0"/>
        <w:adjustRightInd w:val="0"/>
        <w:spacing w:after="120" w:line="276" w:lineRule="auto"/>
        <w:ind w:left="720"/>
        <w:contextualSpacing/>
        <w:jc w:val="both"/>
        <w:rPr>
          <w:rFonts w:asciiTheme="minorHAnsi" w:hAnsiTheme="minorHAnsi"/>
          <w:lang w:val="sq-AL"/>
        </w:rPr>
      </w:pPr>
    </w:p>
    <w:p w:rsidR="00990CDF" w:rsidRPr="00BF005F" w:rsidRDefault="00990CDF" w:rsidP="006F25E7">
      <w:pPr>
        <w:autoSpaceDE w:val="0"/>
        <w:autoSpaceDN w:val="0"/>
        <w:adjustRightInd w:val="0"/>
        <w:spacing w:line="276" w:lineRule="auto"/>
        <w:jc w:val="both"/>
        <w:rPr>
          <w:rFonts w:asciiTheme="minorHAnsi" w:hAnsiTheme="minorHAnsi"/>
          <w:lang w:val="sq-AL"/>
        </w:rPr>
      </w:pPr>
      <w:r w:rsidRPr="00BF005F">
        <w:rPr>
          <w:rFonts w:asciiTheme="minorHAnsi" w:hAnsiTheme="minorHAnsi"/>
          <w:lang w:val="sq-AL"/>
        </w:rPr>
        <w:t xml:space="preserve">Në programin </w:t>
      </w:r>
      <w:r w:rsidRPr="00BF005F">
        <w:rPr>
          <w:rFonts w:asciiTheme="minorHAnsi" w:hAnsiTheme="minorHAnsi"/>
          <w:b/>
          <w:lang w:val="sq-AL"/>
        </w:rPr>
        <w:t>“Arsimi Lartë”,</w:t>
      </w:r>
      <w:r w:rsidRPr="00BF005F">
        <w:rPr>
          <w:rFonts w:asciiTheme="minorHAnsi" w:hAnsiTheme="minorHAnsi"/>
          <w:lang w:val="sq-AL"/>
        </w:rPr>
        <w:t xml:space="preserve"> gjatë 4 mujprit të parë të vitit 2021, tashmë me një reformë tërësore të sistemit të arsimit të lartë, që synon rritjen e cilësisë në të gjithë sistemin, pa cenuar aspak mundësitë e të rinjve për t’u arsimuar, objektivat e të cilit janë:</w:t>
      </w:r>
    </w:p>
    <w:p w:rsidR="00990CDF" w:rsidRPr="00BF005F" w:rsidRDefault="00990CDF" w:rsidP="007F0B61">
      <w:pPr>
        <w:numPr>
          <w:ilvl w:val="0"/>
          <w:numId w:val="36"/>
        </w:numPr>
        <w:contextualSpacing/>
        <w:jc w:val="both"/>
        <w:rPr>
          <w:rFonts w:asciiTheme="minorHAnsi" w:hAnsiTheme="minorHAnsi"/>
          <w:lang w:val="sq-AL"/>
        </w:rPr>
      </w:pPr>
      <w:r w:rsidRPr="00BF005F">
        <w:rPr>
          <w:rFonts w:asciiTheme="minorHAnsi" w:hAnsiTheme="minorHAnsi"/>
          <w:lang w:val="sq-AL"/>
        </w:rPr>
        <w:t xml:space="preserve">Rritja e cilësisë së mësimdhënies nëpërmjet rritjes së numrit të pedagogëve me 200-300 në vit, rritjen e numrit të laboratorëve shkencor dhe/ose përmirësimin dhe zgjerimin e tyre. </w:t>
      </w:r>
    </w:p>
    <w:p w:rsidR="00990CDF" w:rsidRPr="00BF005F" w:rsidRDefault="00990CDF" w:rsidP="007F0B61">
      <w:pPr>
        <w:numPr>
          <w:ilvl w:val="0"/>
          <w:numId w:val="36"/>
        </w:numPr>
        <w:contextualSpacing/>
        <w:jc w:val="both"/>
        <w:rPr>
          <w:rFonts w:asciiTheme="minorHAnsi" w:hAnsiTheme="minorHAnsi"/>
          <w:lang w:val="sq-AL"/>
        </w:rPr>
      </w:pPr>
      <w:r w:rsidRPr="00BF005F">
        <w:rPr>
          <w:rFonts w:asciiTheme="minorHAnsi" w:hAnsiTheme="minorHAnsi"/>
          <w:lang w:val="sq-AL"/>
        </w:rPr>
        <w:t xml:space="preserve">Garantimi i aksesit në bazë të meritës dhe rritja e dimensionit social në arsimin e lartë duke mbështetur me bursë financiare individët që duan të ndjekin studimet në arsimin e lartë nga kategoritë sociale në nevojë në masën 16% deri 18% të studentëve të ciklit të parë dhe të dytë dhe në përputhje me parimet e barazisë gjinore. </w:t>
      </w:r>
    </w:p>
    <w:p w:rsidR="00990CDF" w:rsidRPr="00BF005F" w:rsidRDefault="00990CDF" w:rsidP="007F0B61">
      <w:pPr>
        <w:numPr>
          <w:ilvl w:val="0"/>
          <w:numId w:val="36"/>
        </w:numPr>
        <w:contextualSpacing/>
        <w:jc w:val="both"/>
        <w:rPr>
          <w:rFonts w:asciiTheme="minorHAnsi" w:hAnsiTheme="minorHAnsi"/>
          <w:lang w:val="sq-AL"/>
        </w:rPr>
      </w:pPr>
      <w:r w:rsidRPr="00BF005F">
        <w:rPr>
          <w:rFonts w:asciiTheme="minorHAnsi" w:hAnsiTheme="minorHAnsi"/>
          <w:lang w:val="sq-AL"/>
        </w:rPr>
        <w:t>Akreditimi i 47 programeve të studimit nga 905 ose 5,2 % të IAL publike të cilat janë në proces vlerësimi.</w:t>
      </w:r>
    </w:p>
    <w:p w:rsidR="00990CDF" w:rsidRPr="00BF005F" w:rsidRDefault="00990CDF" w:rsidP="007F0B61">
      <w:pPr>
        <w:numPr>
          <w:ilvl w:val="0"/>
          <w:numId w:val="36"/>
        </w:numPr>
        <w:contextualSpacing/>
        <w:jc w:val="both"/>
        <w:rPr>
          <w:rFonts w:asciiTheme="minorHAnsi" w:hAnsiTheme="minorHAnsi"/>
          <w:lang w:val="sq-AL"/>
        </w:rPr>
      </w:pPr>
      <w:r w:rsidRPr="00BF005F">
        <w:rPr>
          <w:rFonts w:asciiTheme="minorHAnsi" w:hAnsiTheme="minorHAnsi"/>
          <w:lang w:val="sq-AL"/>
        </w:rPr>
        <w:t>Përmirësimi i standardeve infrastrukturore duke rritur raportin sipërfaqe/student së paku me 1</w:t>
      </w:r>
      <m:oMath>
        <m:sSup>
          <m:sSupPr>
            <m:ctrlPr>
              <w:rPr>
                <w:rFonts w:ascii="Cambria Math" w:hAnsi="Cambria Math"/>
                <w:lang w:val="sq-AL"/>
              </w:rPr>
            </m:ctrlPr>
          </m:sSupPr>
          <m:e>
            <m:r>
              <m:rPr>
                <m:sty m:val="p"/>
              </m:rPr>
              <w:rPr>
                <w:rFonts w:ascii="Cambria Math" w:hAnsi="Cambria Math"/>
                <w:lang w:val="sq-AL"/>
              </w:rPr>
              <m:t>m</m:t>
            </m:r>
          </m:e>
          <m:sup>
            <m:r>
              <m:rPr>
                <m:sty m:val="p"/>
              </m:rPr>
              <w:rPr>
                <w:rFonts w:ascii="Cambria Math" w:hAnsi="Cambria Math"/>
                <w:lang w:val="sq-AL"/>
              </w:rPr>
              <m:t>2</m:t>
            </m:r>
          </m:sup>
        </m:sSup>
      </m:oMath>
      <w:r w:rsidRPr="00BF005F">
        <w:rPr>
          <w:rFonts w:asciiTheme="minorHAnsi" w:hAnsiTheme="minorHAnsi"/>
          <w:lang w:val="sq-AL"/>
        </w:rPr>
        <w:t xml:space="preserve"> /student dhe vende për punë dhe kërkim në laboratorë e biblioteka.</w:t>
      </w:r>
    </w:p>
    <w:p w:rsidR="00990CDF" w:rsidRPr="00BF005F" w:rsidRDefault="00990CDF" w:rsidP="006F25E7">
      <w:pPr>
        <w:spacing w:line="276" w:lineRule="auto"/>
        <w:ind w:left="720"/>
        <w:contextualSpacing/>
        <w:jc w:val="both"/>
        <w:rPr>
          <w:rFonts w:asciiTheme="minorHAnsi" w:hAnsiTheme="minorHAnsi"/>
          <w:lang w:val="sq-AL"/>
        </w:rPr>
      </w:pPr>
    </w:p>
    <w:p w:rsidR="00990CDF" w:rsidRPr="00BF005F" w:rsidRDefault="00990CDF" w:rsidP="006F25E7">
      <w:pPr>
        <w:spacing w:line="276" w:lineRule="auto"/>
        <w:jc w:val="both"/>
        <w:rPr>
          <w:rFonts w:asciiTheme="minorHAnsi" w:hAnsiTheme="minorHAnsi"/>
          <w:lang w:val="sq-AL"/>
        </w:rPr>
      </w:pPr>
      <w:r w:rsidRPr="00BF005F">
        <w:rPr>
          <w:rFonts w:asciiTheme="minorHAnsi" w:hAnsiTheme="minorHAnsi"/>
          <w:lang w:val="sq-AL"/>
        </w:rPr>
        <w:t>Këto objektiva janë realizuar nëpërmjet produkteve, performanca e të cilave për 4 mujorin e parë të vitit 2021, është realizuar, si më poshtë:</w:t>
      </w:r>
    </w:p>
    <w:p w:rsidR="00990CDF" w:rsidRPr="00BF005F" w:rsidRDefault="00990CDF" w:rsidP="007F0B61">
      <w:pPr>
        <w:numPr>
          <w:ilvl w:val="0"/>
          <w:numId w:val="25"/>
        </w:numPr>
        <w:autoSpaceDE w:val="0"/>
        <w:autoSpaceDN w:val="0"/>
        <w:adjustRightInd w:val="0"/>
        <w:spacing w:line="276" w:lineRule="auto"/>
        <w:contextualSpacing/>
        <w:jc w:val="both"/>
        <w:rPr>
          <w:rFonts w:asciiTheme="minorHAnsi" w:hAnsiTheme="minorHAnsi"/>
          <w:lang w:val="sq-AL"/>
        </w:rPr>
      </w:pPr>
      <w:r w:rsidRPr="00BF005F">
        <w:rPr>
          <w:rFonts w:asciiTheme="minorHAnsi" w:hAnsiTheme="minorHAnsi"/>
          <w:lang w:val="sq-AL"/>
        </w:rPr>
        <w:t xml:space="preserve">Studentë që ndjekin ciklin e parë të studimeve janë rreth 76.023 studentë me një kosto prej rreth 2,472 milionë lekë.   </w:t>
      </w:r>
    </w:p>
    <w:p w:rsidR="00990CDF" w:rsidRPr="00BF005F" w:rsidRDefault="00990CDF" w:rsidP="007F0B61">
      <w:pPr>
        <w:numPr>
          <w:ilvl w:val="0"/>
          <w:numId w:val="25"/>
        </w:numPr>
        <w:autoSpaceDE w:val="0"/>
        <w:autoSpaceDN w:val="0"/>
        <w:adjustRightInd w:val="0"/>
        <w:spacing w:line="276" w:lineRule="auto"/>
        <w:contextualSpacing/>
        <w:jc w:val="both"/>
        <w:rPr>
          <w:rFonts w:asciiTheme="minorHAnsi" w:hAnsiTheme="minorHAnsi"/>
          <w:lang w:val="sq-AL"/>
        </w:rPr>
      </w:pPr>
      <w:r w:rsidRPr="00BF005F">
        <w:rPr>
          <w:rFonts w:asciiTheme="minorHAnsi" w:hAnsiTheme="minorHAnsi"/>
          <w:lang w:val="sq-AL"/>
        </w:rPr>
        <w:lastRenderedPageBreak/>
        <w:t xml:space="preserve">Ndërmarrja e paketës për studentët ku synimi kryesor, ka qenë i fokusuar në financimin me bursa i studentëve me notën mesatare 9 deri në 10-të, i studentëve nga kategorive sociale në nevojë, si dhe përjashtimi 100 % nga tarifa vjetore e shkollimit apo reduktimi në masën 50% nga tarifa vjetore e shkollimit për studentët e ciklit të dytë. Për vitin akademik 2020-2021 kanë përfituar bursa dhe mbështetje financiare, nëpërmjet akomodimit në shtëpitë e trajtimit të studentëve të rreth 18,829 studentëve me një kosto me rreth 711 milionë lekë. </w:t>
      </w:r>
    </w:p>
    <w:p w:rsidR="00990CDF" w:rsidRPr="00BF005F" w:rsidRDefault="00990CDF" w:rsidP="006F25E7">
      <w:pPr>
        <w:spacing w:line="276" w:lineRule="auto"/>
        <w:jc w:val="both"/>
        <w:rPr>
          <w:rFonts w:asciiTheme="minorHAnsi" w:eastAsia="MS Mincho" w:hAnsiTheme="minorHAnsi"/>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bookmarkStart w:id="124" w:name="_Toc11134227"/>
      <w:bookmarkEnd w:id="121"/>
      <w:bookmarkEnd w:id="122"/>
      <w:r w:rsidRPr="00BF005F">
        <w:rPr>
          <w:rFonts w:asciiTheme="minorHAnsi" w:hAnsiTheme="minorHAnsi"/>
          <w:b/>
          <w:noProof/>
          <w:color w:val="0070C0"/>
          <w:lang w:val="sq-AL"/>
        </w:rPr>
        <w:t>BUJQËSIA DHE ZHVILLIMI RURAL</w:t>
      </w:r>
      <w:bookmarkEnd w:id="124"/>
    </w:p>
    <w:p w:rsidR="00990CDF" w:rsidRPr="00BF005F" w:rsidRDefault="00990CDF" w:rsidP="006F25E7">
      <w:pPr>
        <w:spacing w:line="276" w:lineRule="auto"/>
        <w:rPr>
          <w:rFonts w:asciiTheme="minorHAnsi" w:eastAsia="MS Mincho" w:hAnsiTheme="minorHAnsi"/>
          <w:lang w:val="sq-AL"/>
        </w:rPr>
      </w:pPr>
      <w:r w:rsidRPr="00BF005F">
        <w:rPr>
          <w:rFonts w:asciiTheme="minorHAnsi" w:eastAsia="MS Mincho" w:hAnsiTheme="minorHAnsi"/>
          <w:lang w:val="sq-AL"/>
        </w:rPr>
        <w:t>Performanca e treguesve buxhetorë për shtatë programet e Ministrisë së Bujqësisë dhe Zhvillimit Rural, paraqitet si më poshtë:</w:t>
      </w:r>
    </w:p>
    <w:p w:rsidR="00990CDF" w:rsidRPr="00BF005F" w:rsidRDefault="00990CDF" w:rsidP="00201FE1">
      <w:pPr>
        <w:pStyle w:val="Caption"/>
        <w:spacing w:before="240" w:after="0" w:line="276" w:lineRule="auto"/>
        <w:rPr>
          <w:rFonts w:asciiTheme="minorHAnsi" w:hAnsiTheme="minorHAnsi"/>
          <w:b w:val="0"/>
          <w:bCs w:val="0"/>
          <w:i/>
          <w:noProof/>
          <w:color w:val="auto"/>
          <w:sz w:val="24"/>
          <w:szCs w:val="24"/>
          <w:lang w:val="sq-AL"/>
        </w:rPr>
      </w:pPr>
      <w:r w:rsidRPr="00BF005F">
        <w:rPr>
          <w:rFonts w:asciiTheme="minorHAnsi" w:hAnsiTheme="minorHAnsi"/>
          <w:b w:val="0"/>
          <w:bCs w:val="0"/>
          <w:i/>
          <w:noProof/>
          <w:color w:val="auto"/>
          <w:sz w:val="24"/>
          <w:szCs w:val="24"/>
          <w:lang w:val="sq-AL"/>
        </w:rPr>
        <w:t xml:space="preserve">Tabela </w:t>
      </w:r>
      <w:r w:rsidR="000447C4">
        <w:rPr>
          <w:rFonts w:asciiTheme="minorHAnsi" w:hAnsiTheme="minorHAnsi"/>
          <w:b w:val="0"/>
          <w:bCs w:val="0"/>
          <w:i/>
          <w:noProof/>
          <w:color w:val="auto"/>
          <w:sz w:val="24"/>
          <w:szCs w:val="24"/>
          <w:lang w:val="sq-AL"/>
        </w:rPr>
        <w:t>30:</w:t>
      </w:r>
      <w:r w:rsidRPr="00BF005F">
        <w:rPr>
          <w:rFonts w:asciiTheme="minorHAnsi" w:hAnsiTheme="minorHAnsi"/>
          <w:b w:val="0"/>
          <w:bCs w:val="0"/>
          <w:i/>
          <w:noProof/>
          <w:color w:val="auto"/>
          <w:sz w:val="24"/>
          <w:szCs w:val="24"/>
          <w:lang w:val="sq-AL"/>
        </w:rPr>
        <w:t xml:space="preserve"> Bujqësia dhe Zhvillimi Rural</w:t>
      </w:r>
    </w:p>
    <w:p w:rsidR="00990CDF" w:rsidRPr="00BF005F" w:rsidRDefault="00990CDF" w:rsidP="006F25E7">
      <w:pPr>
        <w:spacing w:line="276" w:lineRule="auto"/>
        <w:jc w:val="right"/>
        <w:rPr>
          <w:rFonts w:asciiTheme="minorHAnsi" w:hAnsiTheme="minorHAnsi"/>
          <w:bCs/>
          <w:i/>
          <w:lang w:val="sq-AL"/>
        </w:rPr>
      </w:pPr>
      <w:r w:rsidRPr="00BF005F">
        <w:rPr>
          <w:rFonts w:asciiTheme="minorHAnsi" w:hAnsiTheme="minorHAnsi"/>
          <w:bCs/>
          <w:i/>
          <w:lang w:val="sq-AL"/>
        </w:rPr>
        <w:t>Në mijë lekë</w:t>
      </w:r>
    </w:p>
    <w:tbl>
      <w:tblPr>
        <w:tblStyle w:val="ListTable3-Accent521"/>
        <w:tblW w:w="0" w:type="auto"/>
        <w:jc w:val="center"/>
        <w:tblBorders>
          <w:insideH w:val="single" w:sz="4" w:space="0" w:color="4BACC6"/>
          <w:insideV w:val="single" w:sz="4" w:space="0" w:color="4BACC6"/>
        </w:tblBorders>
        <w:tblLook w:val="0000" w:firstRow="0" w:lastRow="0" w:firstColumn="0" w:lastColumn="0" w:noHBand="0" w:noVBand="0"/>
      </w:tblPr>
      <w:tblGrid>
        <w:gridCol w:w="436"/>
        <w:gridCol w:w="3552"/>
        <w:gridCol w:w="948"/>
        <w:gridCol w:w="952"/>
        <w:gridCol w:w="948"/>
        <w:gridCol w:w="952"/>
        <w:gridCol w:w="880"/>
        <w:gridCol w:w="952"/>
      </w:tblGrid>
      <w:tr w:rsidR="00990CDF" w:rsidRPr="00201FE1" w:rsidTr="00E7447D">
        <w:trPr>
          <w:cnfStyle w:val="000000100000" w:firstRow="0" w:lastRow="0" w:firstColumn="0" w:lastColumn="0" w:oddVBand="0" w:evenVBand="0" w:oddHBand="1" w:evenHBand="0" w:firstRowFirstColumn="0" w:firstRowLastColumn="0" w:lastRowFirstColumn="0" w:lastRowLastColumn="0"/>
          <w:trHeight w:val="202"/>
          <w:jc w:val="center"/>
        </w:trPr>
        <w:tc>
          <w:tcPr>
            <w:cnfStyle w:val="000010000000" w:firstRow="0" w:lastRow="0" w:firstColumn="0" w:lastColumn="0" w:oddVBand="1" w:evenVBand="0" w:oddHBand="0" w:evenHBand="0" w:firstRowFirstColumn="0" w:firstRowLastColumn="0" w:lastRowFirstColumn="0" w:lastRowLastColumn="0"/>
            <w:tcW w:w="0" w:type="auto"/>
            <w:vMerge w:val="restart"/>
            <w:tcBorders>
              <w:top w:val="single" w:sz="4" w:space="0" w:color="4F81BD" w:themeColor="accent1"/>
            </w:tcBorders>
            <w:shd w:val="clear" w:color="auto" w:fill="B6DDE8" w:themeFill="accent5" w:themeFillTint="66"/>
          </w:tcPr>
          <w:p w:rsidR="00990CDF" w:rsidRPr="00201FE1" w:rsidRDefault="00990CDF" w:rsidP="006F25E7">
            <w:pPr>
              <w:spacing w:line="276" w:lineRule="auto"/>
              <w:jc w:val="center"/>
              <w:rPr>
                <w:rFonts w:asciiTheme="minorHAnsi" w:hAnsiTheme="minorHAnsi"/>
                <w:b/>
                <w:bCs/>
                <w:sz w:val="18"/>
                <w:lang w:val="sq-AL"/>
              </w:rPr>
            </w:pPr>
          </w:p>
          <w:p w:rsidR="00990CDF" w:rsidRPr="00201FE1" w:rsidRDefault="00990CDF" w:rsidP="006F25E7">
            <w:pPr>
              <w:spacing w:line="276" w:lineRule="auto"/>
              <w:jc w:val="center"/>
              <w:rPr>
                <w:rFonts w:asciiTheme="minorHAnsi" w:hAnsiTheme="minorHAnsi"/>
                <w:b/>
                <w:bCs/>
                <w:sz w:val="18"/>
                <w:lang w:val="sq-AL"/>
              </w:rPr>
            </w:pPr>
            <w:r w:rsidRPr="00201FE1">
              <w:rPr>
                <w:rFonts w:asciiTheme="minorHAnsi" w:hAnsiTheme="minorHAnsi"/>
                <w:b/>
                <w:bCs/>
                <w:sz w:val="18"/>
                <w:lang w:val="sq-AL"/>
              </w:rPr>
              <w:t>NR</w:t>
            </w:r>
          </w:p>
        </w:tc>
        <w:tc>
          <w:tcPr>
            <w:tcW w:w="0" w:type="auto"/>
            <w:vMerge w:val="restart"/>
            <w:shd w:val="clear" w:color="auto" w:fill="B6DDE8" w:themeFill="accent5" w:themeFillTint="66"/>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p>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201FE1">
              <w:rPr>
                <w:rFonts w:asciiTheme="minorHAnsi" w:hAnsiTheme="minorHAnsi"/>
                <w:b/>
                <w:bCs/>
                <w:sz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hemeFill="accent5" w:themeFillTint="66"/>
          </w:tcPr>
          <w:p w:rsidR="00990CDF" w:rsidRPr="00201FE1" w:rsidRDefault="00990CDF" w:rsidP="006F25E7">
            <w:pPr>
              <w:spacing w:line="276" w:lineRule="auto"/>
              <w:jc w:val="center"/>
              <w:rPr>
                <w:rFonts w:asciiTheme="minorHAnsi" w:hAnsiTheme="minorHAnsi"/>
                <w:b/>
                <w:bCs/>
                <w:sz w:val="18"/>
                <w:lang w:val="sq-AL"/>
              </w:rPr>
            </w:pPr>
            <w:r w:rsidRPr="00201FE1">
              <w:rPr>
                <w:rFonts w:asciiTheme="minorHAnsi" w:hAnsiTheme="minorHAnsi"/>
                <w:b/>
                <w:bCs/>
                <w:sz w:val="18"/>
                <w:lang w:val="sq-AL"/>
              </w:rPr>
              <w:t>Plani 2021</w:t>
            </w:r>
          </w:p>
        </w:tc>
        <w:tc>
          <w:tcPr>
            <w:tcW w:w="0" w:type="auto"/>
            <w:gridSpan w:val="2"/>
            <w:shd w:val="clear" w:color="auto" w:fill="B6DDE8" w:themeFill="accent5" w:themeFillTint="66"/>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MS Mincho" w:hAnsiTheme="minorHAnsi"/>
                <w:b/>
                <w:sz w:val="18"/>
                <w:lang w:val="sq-AL"/>
              </w:rPr>
            </w:pPr>
            <w:r w:rsidRPr="00201FE1">
              <w:rPr>
                <w:rFonts w:asciiTheme="minorHAnsi" w:eastAsia="MS Mincho" w:hAnsiTheme="minorHAnsi"/>
                <w:b/>
                <w:sz w:val="18"/>
                <w:lang w:val="sq-AL"/>
              </w:rPr>
              <w:t>Fakti 4M 2021</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hemeFill="accent5" w:themeFillTint="66"/>
          </w:tcPr>
          <w:p w:rsidR="00990CDF" w:rsidRPr="00201FE1" w:rsidRDefault="00990CDF" w:rsidP="006F25E7">
            <w:pPr>
              <w:spacing w:line="276" w:lineRule="auto"/>
              <w:jc w:val="center"/>
              <w:rPr>
                <w:rFonts w:asciiTheme="minorHAnsi" w:eastAsia="MS Mincho" w:hAnsiTheme="minorHAnsi"/>
                <w:b/>
                <w:sz w:val="18"/>
                <w:lang w:val="sq-AL"/>
              </w:rPr>
            </w:pPr>
            <w:r w:rsidRPr="00201FE1">
              <w:rPr>
                <w:rFonts w:asciiTheme="minorHAnsi" w:eastAsia="MS Mincho" w:hAnsiTheme="minorHAnsi"/>
                <w:b/>
                <w:sz w:val="18"/>
                <w:lang w:val="sq-AL"/>
              </w:rPr>
              <w:t>% e realizimit</w:t>
            </w:r>
          </w:p>
        </w:tc>
      </w:tr>
      <w:tr w:rsidR="00990CDF" w:rsidRPr="00201FE1" w:rsidTr="00E7447D">
        <w:trPr>
          <w:trHeight w:val="188"/>
          <w:jc w:val="center"/>
        </w:trPr>
        <w:tc>
          <w:tcPr>
            <w:cnfStyle w:val="000010000000" w:firstRow="0" w:lastRow="0" w:firstColumn="0" w:lastColumn="0" w:oddVBand="1" w:evenVBand="0" w:oddHBand="0" w:evenHBand="0" w:firstRowFirstColumn="0" w:firstRowLastColumn="0" w:lastRowFirstColumn="0" w:lastRowLastColumn="0"/>
            <w:tcW w:w="0" w:type="auto"/>
            <w:vMerge/>
            <w:shd w:val="clear" w:color="auto" w:fill="B6DDE8" w:themeFill="accent5" w:themeFillTint="66"/>
          </w:tcPr>
          <w:p w:rsidR="00990CDF" w:rsidRPr="00201FE1" w:rsidRDefault="00990CDF" w:rsidP="006F25E7">
            <w:pPr>
              <w:spacing w:line="276" w:lineRule="auto"/>
              <w:jc w:val="both"/>
              <w:rPr>
                <w:rFonts w:asciiTheme="minorHAnsi" w:hAnsiTheme="minorHAnsi"/>
                <w:color w:val="FF0000"/>
                <w:sz w:val="18"/>
                <w:lang w:val="sq-AL"/>
              </w:rPr>
            </w:pPr>
          </w:p>
        </w:tc>
        <w:tc>
          <w:tcPr>
            <w:tcW w:w="0" w:type="auto"/>
            <w:vMerge/>
            <w:shd w:val="clear" w:color="auto" w:fill="B6DDE8" w:themeFill="accent5" w:themeFillTint="66"/>
          </w:tcPr>
          <w:p w:rsidR="00990CDF" w:rsidRPr="00201FE1"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lang w:val="sq-AL"/>
              </w:rPr>
            </w:pP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hemeColor="accent1"/>
            </w:tcBorders>
            <w:shd w:val="clear" w:color="auto" w:fill="B6DDE8" w:themeFill="accent5" w:themeFillTint="66"/>
          </w:tcPr>
          <w:p w:rsidR="00990CDF" w:rsidRPr="00201FE1" w:rsidRDefault="00990CDF" w:rsidP="006F25E7">
            <w:pPr>
              <w:spacing w:line="276" w:lineRule="auto"/>
              <w:jc w:val="both"/>
              <w:rPr>
                <w:rFonts w:asciiTheme="minorHAnsi" w:hAnsiTheme="minorHAnsi"/>
                <w:b/>
                <w:bCs/>
                <w:sz w:val="18"/>
                <w:lang w:val="sq-AL"/>
              </w:rPr>
            </w:pPr>
            <w:r w:rsidRPr="00201FE1">
              <w:rPr>
                <w:rFonts w:asciiTheme="minorHAnsi" w:hAnsiTheme="minorHAnsi"/>
                <w:b/>
                <w:bCs/>
                <w:sz w:val="18"/>
                <w:lang w:val="sq-AL"/>
              </w:rPr>
              <w:t>Korrente</w:t>
            </w:r>
          </w:p>
        </w:tc>
        <w:tc>
          <w:tcPr>
            <w:tcW w:w="0" w:type="auto"/>
            <w:tcBorders>
              <w:bottom w:val="single" w:sz="4" w:space="0" w:color="4F81BD" w:themeColor="accent1"/>
            </w:tcBorders>
            <w:shd w:val="clear" w:color="auto" w:fill="B6DDE8" w:themeFill="accent5" w:themeFillTint="66"/>
          </w:tcPr>
          <w:p w:rsidR="00990CDF" w:rsidRPr="00201FE1"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201FE1">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hemeColor="accent1"/>
            </w:tcBorders>
            <w:shd w:val="clear" w:color="auto" w:fill="B6DDE8" w:themeFill="accent5" w:themeFillTint="66"/>
          </w:tcPr>
          <w:p w:rsidR="00990CDF" w:rsidRPr="00201FE1" w:rsidRDefault="00990CDF" w:rsidP="006F25E7">
            <w:pPr>
              <w:spacing w:line="276" w:lineRule="auto"/>
              <w:jc w:val="both"/>
              <w:rPr>
                <w:rFonts w:asciiTheme="minorHAnsi" w:hAnsiTheme="minorHAnsi"/>
                <w:b/>
                <w:bCs/>
                <w:sz w:val="18"/>
                <w:lang w:val="sq-AL"/>
              </w:rPr>
            </w:pPr>
            <w:r w:rsidRPr="00201FE1">
              <w:rPr>
                <w:rFonts w:asciiTheme="minorHAnsi" w:hAnsiTheme="minorHAnsi"/>
                <w:b/>
                <w:bCs/>
                <w:sz w:val="18"/>
                <w:lang w:val="sq-AL"/>
              </w:rPr>
              <w:t>Korrente</w:t>
            </w:r>
          </w:p>
        </w:tc>
        <w:tc>
          <w:tcPr>
            <w:tcW w:w="0" w:type="auto"/>
            <w:tcBorders>
              <w:bottom w:val="single" w:sz="4" w:space="0" w:color="4F81BD" w:themeColor="accent1"/>
            </w:tcBorders>
            <w:shd w:val="clear" w:color="auto" w:fill="B6DDE8" w:themeFill="accent5" w:themeFillTint="66"/>
          </w:tcPr>
          <w:p w:rsidR="00990CDF" w:rsidRPr="00201FE1"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201FE1">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hemeFill="accent5" w:themeFillTint="66"/>
          </w:tcPr>
          <w:p w:rsidR="00990CDF" w:rsidRPr="00201FE1" w:rsidRDefault="00990CDF" w:rsidP="006F25E7">
            <w:pPr>
              <w:spacing w:line="276" w:lineRule="auto"/>
              <w:jc w:val="both"/>
              <w:rPr>
                <w:rFonts w:asciiTheme="minorHAnsi" w:hAnsiTheme="minorHAnsi"/>
                <w:b/>
                <w:bCs/>
                <w:sz w:val="18"/>
                <w:lang w:val="sq-AL"/>
              </w:rPr>
            </w:pPr>
            <w:r w:rsidRPr="00201FE1">
              <w:rPr>
                <w:rFonts w:asciiTheme="minorHAnsi" w:hAnsiTheme="minorHAnsi"/>
                <w:b/>
                <w:bCs/>
                <w:sz w:val="18"/>
                <w:lang w:val="sq-AL"/>
              </w:rPr>
              <w:t>Korrente</w:t>
            </w:r>
          </w:p>
        </w:tc>
        <w:tc>
          <w:tcPr>
            <w:tcW w:w="0" w:type="auto"/>
            <w:tcBorders>
              <w:bottom w:val="single" w:sz="4" w:space="0" w:color="4F81BD" w:themeColor="accent1"/>
            </w:tcBorders>
            <w:shd w:val="clear" w:color="auto" w:fill="B6DDE8" w:themeFill="accent5" w:themeFillTint="66"/>
          </w:tcPr>
          <w:p w:rsidR="00990CDF" w:rsidRPr="00201FE1"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201FE1">
              <w:rPr>
                <w:rFonts w:asciiTheme="minorHAnsi" w:hAnsiTheme="minorHAnsi"/>
                <w:b/>
                <w:bCs/>
                <w:sz w:val="18"/>
                <w:lang w:val="sq-AL"/>
              </w:rPr>
              <w:t>Investime</w:t>
            </w:r>
          </w:p>
        </w:tc>
      </w:tr>
      <w:tr w:rsidR="00990CDF" w:rsidRPr="00201FE1" w:rsidTr="00E7447D">
        <w:trPr>
          <w:cnfStyle w:val="000000100000" w:firstRow="0" w:lastRow="0" w:firstColumn="0" w:lastColumn="0" w:oddVBand="0" w:evenVBand="0" w:oddHBand="1" w:evenHBand="0" w:firstRowFirstColumn="0" w:firstRowLastColumn="0" w:lastRowFirstColumn="0" w:lastRowLastColumn="0"/>
          <w:trHeight w:val="246"/>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w:t>
            </w:r>
          </w:p>
        </w:tc>
        <w:tc>
          <w:tcPr>
            <w:tcW w:w="0" w:type="auto"/>
            <w:tcBorders>
              <w:right w:val="single" w:sz="4" w:space="0" w:color="4F81BD" w:themeColor="accent1"/>
            </w:tcBorders>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201FE1">
              <w:rPr>
                <w:rFonts w:asciiTheme="minorHAnsi" w:eastAsia="Cambria" w:hAnsiTheme="minorHAnsi"/>
                <w:sz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318,000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10,000</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103,122</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683</w:t>
            </w:r>
          </w:p>
        </w:tc>
        <w:tc>
          <w:tcPr>
            <w:cnfStyle w:val="000010000000" w:firstRow="0" w:lastRow="0" w:firstColumn="0" w:lastColumn="0" w:oddVBand="1" w:evenVBand="0" w:oddHBand="0" w:evenHBand="0" w:firstRowFirstColumn="0" w:firstRowLastColumn="0" w:lastRowFirstColumn="0" w:lastRowLastColumn="0"/>
            <w:tcW w:w="0" w:type="auto"/>
            <w:tcBorders>
              <w:left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32.4</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6.8</w:t>
            </w:r>
          </w:p>
        </w:tc>
      </w:tr>
      <w:tr w:rsidR="00990CDF" w:rsidRPr="00201FE1" w:rsidTr="00E7447D">
        <w:trPr>
          <w:trHeight w:val="231"/>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w:t>
            </w:r>
          </w:p>
        </w:tc>
        <w:tc>
          <w:tcPr>
            <w:tcW w:w="0" w:type="auto"/>
            <w:tcBorders>
              <w:right w:val="single" w:sz="4" w:space="0" w:color="4F81BD" w:themeColor="accent1"/>
            </w:tcBorders>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201FE1">
              <w:rPr>
                <w:rFonts w:asciiTheme="minorHAnsi" w:eastAsia="Cambria" w:hAnsiTheme="minorHAnsi"/>
                <w:sz w:val="18"/>
                <w:lang w:val="sq-AL"/>
              </w:rPr>
              <w:t>Siguria ushqimore dhe mbrojtja e konsumatorit</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1,603,889</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533,110</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400,200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486</w:t>
            </w:r>
          </w:p>
        </w:tc>
        <w:tc>
          <w:tcPr>
            <w:cnfStyle w:val="000010000000" w:firstRow="0" w:lastRow="0" w:firstColumn="0" w:lastColumn="0" w:oddVBand="1" w:evenVBand="0" w:oddHBand="0" w:evenHBand="0" w:firstRowFirstColumn="0" w:firstRowLastColumn="0" w:lastRowFirstColumn="0" w:lastRowLastColumn="0"/>
            <w:tcW w:w="0" w:type="auto"/>
            <w:tcBorders>
              <w:left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25.0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0.1</w:t>
            </w:r>
          </w:p>
        </w:tc>
      </w:tr>
      <w:tr w:rsidR="00990CDF" w:rsidRPr="00201FE1" w:rsidTr="00E7447D">
        <w:trPr>
          <w:cnfStyle w:val="000000100000" w:firstRow="0" w:lastRow="0" w:firstColumn="0" w:lastColumn="0" w:oddVBand="0" w:evenVBand="0" w:oddHBand="1" w:evenHBand="0" w:firstRowFirstColumn="0" w:firstRowLastColumn="0" w:lastRowFirstColumn="0" w:lastRowLastColumn="0"/>
          <w:trHeight w:val="292"/>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3.</w:t>
            </w:r>
          </w:p>
        </w:tc>
        <w:tc>
          <w:tcPr>
            <w:tcW w:w="0" w:type="auto"/>
            <w:tcBorders>
              <w:right w:val="single" w:sz="4" w:space="0" w:color="4F81BD" w:themeColor="accent1"/>
            </w:tcBorders>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201FE1">
              <w:rPr>
                <w:rFonts w:asciiTheme="minorHAnsi" w:eastAsia="Cambria" w:hAnsiTheme="minorHAnsi"/>
                <w:sz w:val="18"/>
                <w:lang w:val="sq-AL"/>
              </w:rPr>
              <w:t>Mbështetje për Peshkimin</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133,100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914,970</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33,650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336,874</w:t>
            </w:r>
          </w:p>
        </w:tc>
        <w:tc>
          <w:tcPr>
            <w:cnfStyle w:val="000010000000" w:firstRow="0" w:lastRow="0" w:firstColumn="0" w:lastColumn="0" w:oddVBand="1" w:evenVBand="0" w:oddHBand="0" w:evenHBand="0" w:firstRowFirstColumn="0" w:firstRowLastColumn="0" w:lastRowFirstColumn="0" w:lastRowLastColumn="0"/>
            <w:tcW w:w="0" w:type="auto"/>
            <w:tcBorders>
              <w:left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25.3</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36.8</w:t>
            </w:r>
          </w:p>
        </w:tc>
      </w:tr>
      <w:tr w:rsidR="00990CDF" w:rsidRPr="00201FE1" w:rsidTr="00E7447D">
        <w:trPr>
          <w:trHeight w:val="353"/>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4.</w:t>
            </w:r>
          </w:p>
        </w:tc>
        <w:tc>
          <w:tcPr>
            <w:tcW w:w="0" w:type="auto"/>
            <w:tcBorders>
              <w:right w:val="single" w:sz="4" w:space="0" w:color="4F81BD" w:themeColor="accent1"/>
            </w:tcBorders>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201FE1">
              <w:rPr>
                <w:rFonts w:asciiTheme="minorHAnsi" w:eastAsia="Cambria" w:hAnsiTheme="minorHAnsi"/>
                <w:sz w:val="18"/>
                <w:lang w:val="sq-AL"/>
              </w:rPr>
              <w:t>Menaxhimi i infrastrukturës se kullimit dhe ujitjes</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661,400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000000" w:fill="FFFFFF"/>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3,233,232</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287,098</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1,011,740</w:t>
            </w:r>
          </w:p>
        </w:tc>
        <w:tc>
          <w:tcPr>
            <w:cnfStyle w:val="000010000000" w:firstRow="0" w:lastRow="0" w:firstColumn="0" w:lastColumn="0" w:oddVBand="1" w:evenVBand="0" w:oddHBand="0" w:evenHBand="0" w:firstRowFirstColumn="0" w:firstRowLastColumn="0" w:lastRowFirstColumn="0" w:lastRowLastColumn="0"/>
            <w:tcW w:w="0" w:type="auto"/>
            <w:tcBorders>
              <w:left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43.4</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31.3</w:t>
            </w:r>
          </w:p>
        </w:tc>
      </w:tr>
      <w:tr w:rsidR="00990CDF" w:rsidRPr="00201FE1" w:rsidTr="00E7447D">
        <w:trPr>
          <w:cnfStyle w:val="000000100000" w:firstRow="0" w:lastRow="0" w:firstColumn="0" w:lastColumn="0" w:oddVBand="0" w:evenVBand="0" w:oddHBand="1" w:evenHBand="0" w:firstRowFirstColumn="0" w:firstRowLastColumn="0" w:lastRowFirstColumn="0" w:lastRowLastColumn="0"/>
          <w:trHeight w:val="285"/>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5.</w:t>
            </w:r>
          </w:p>
        </w:tc>
        <w:tc>
          <w:tcPr>
            <w:tcW w:w="0" w:type="auto"/>
            <w:tcBorders>
              <w:bottom w:val="single" w:sz="4" w:space="0" w:color="4F81BD" w:themeColor="accent1"/>
              <w:right w:val="single" w:sz="4" w:space="0" w:color="4F81BD" w:themeColor="accent1"/>
            </w:tcBorders>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201FE1">
              <w:rPr>
                <w:rFonts w:asciiTheme="minorHAnsi" w:eastAsia="Cambria" w:hAnsiTheme="minorHAnsi"/>
                <w:sz w:val="18"/>
                <w:lang w:val="sq-AL"/>
              </w:rPr>
              <w:t>Zhvillimi Rural duke mbësht. Prodh. Bujq, Blek, Agroind dhe Market.</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2,131,850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000000" w:fill="FFFFFF"/>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2,854,781</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113,518</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000000" w:fill="FFFFFF"/>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1,316,073</w:t>
            </w:r>
          </w:p>
        </w:tc>
        <w:tc>
          <w:tcPr>
            <w:cnfStyle w:val="000010000000" w:firstRow="0" w:lastRow="0" w:firstColumn="0" w:lastColumn="0" w:oddVBand="1" w:evenVBand="0" w:oddHBand="0" w:evenHBand="0" w:firstRowFirstColumn="0" w:firstRowLastColumn="0" w:lastRowFirstColumn="0" w:lastRowLastColumn="0"/>
            <w:tcW w:w="0" w:type="auto"/>
            <w:tcBorders>
              <w:left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5.3</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46.1</w:t>
            </w:r>
          </w:p>
        </w:tc>
      </w:tr>
      <w:tr w:rsidR="00990CDF" w:rsidRPr="00201FE1" w:rsidTr="00E7447D">
        <w:trPr>
          <w:trHeight w:val="231"/>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6.</w:t>
            </w:r>
          </w:p>
        </w:tc>
        <w:tc>
          <w:tcPr>
            <w:tcW w:w="0" w:type="auto"/>
            <w:tcBorders>
              <w:top w:val="single" w:sz="4" w:space="0" w:color="4F81BD" w:themeColor="accent1"/>
              <w:right w:val="single" w:sz="4" w:space="0" w:color="4F81BD" w:themeColor="accent1"/>
            </w:tcBorders>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201FE1">
              <w:rPr>
                <w:rFonts w:asciiTheme="minorHAnsi" w:eastAsia="Cambria" w:hAnsiTheme="minorHAnsi"/>
                <w:sz w:val="18"/>
                <w:lang w:val="sq-AL"/>
              </w:rPr>
              <w:t>Këshillimi dhe Informacioni Bujqësor</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453,700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000000" w:fill="FFFFFF"/>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120,000</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140,867</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000000" w:fill="FFFFFF"/>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1</w:t>
            </w:r>
          </w:p>
        </w:tc>
        <w:tc>
          <w:tcPr>
            <w:cnfStyle w:val="000010000000" w:firstRow="0" w:lastRow="0" w:firstColumn="0" w:lastColumn="0" w:oddVBand="1" w:evenVBand="0" w:oddHBand="0" w:evenHBand="0" w:firstRowFirstColumn="0" w:firstRowLastColumn="0" w:lastRowFirstColumn="0" w:lastRowLastColumn="0"/>
            <w:tcW w:w="0" w:type="auto"/>
            <w:tcBorders>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31.0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0.0</w:t>
            </w:r>
          </w:p>
        </w:tc>
      </w:tr>
      <w:tr w:rsidR="00990CDF" w:rsidRPr="00201FE1" w:rsidTr="00E7447D">
        <w:trPr>
          <w:cnfStyle w:val="000000100000" w:firstRow="0" w:lastRow="0" w:firstColumn="0" w:lastColumn="0" w:oddVBand="0" w:evenVBand="0" w:oddHBand="1" w:evenHBand="0" w:firstRowFirstColumn="0" w:firstRowLastColumn="0" w:lastRowFirstColumn="0" w:lastRowLastColumn="0"/>
          <w:trHeight w:val="261"/>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7.</w:t>
            </w:r>
          </w:p>
        </w:tc>
        <w:tc>
          <w:tcPr>
            <w:tcW w:w="0" w:type="auto"/>
            <w:tcBorders>
              <w:right w:val="single" w:sz="4" w:space="0" w:color="4F81BD" w:themeColor="accent1"/>
            </w:tcBorders>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201FE1">
              <w:rPr>
                <w:rFonts w:asciiTheme="minorHAnsi" w:eastAsia="Cambria" w:hAnsiTheme="minorHAnsi"/>
                <w:sz w:val="18"/>
                <w:lang w:val="sq-AL"/>
              </w:rPr>
              <w:t>Menaxhimi qëndrueshëm i tokës bujqësore</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20,000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000000" w:fill="FFFFFF"/>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000000" w:fill="FFFFFF"/>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0.0</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201FE1">
              <w:rPr>
                <w:rFonts w:asciiTheme="minorHAnsi" w:hAnsiTheme="minorHAnsi"/>
                <w:sz w:val="18"/>
                <w:lang w:val="sq-AL"/>
              </w:rPr>
              <w:t>-</w:t>
            </w:r>
          </w:p>
        </w:tc>
      </w:tr>
      <w:tr w:rsidR="00990CDF" w:rsidRPr="00201FE1" w:rsidTr="00E7447D">
        <w:trPr>
          <w:trHeight w:val="215"/>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201FE1" w:rsidRDefault="00990CDF" w:rsidP="006F25E7">
            <w:pPr>
              <w:spacing w:line="276" w:lineRule="auto"/>
              <w:jc w:val="center"/>
              <w:rPr>
                <w:rFonts w:asciiTheme="minorHAnsi" w:hAnsiTheme="minorHAnsi"/>
                <w:b/>
                <w:sz w:val="18"/>
                <w:lang w:val="sq-AL"/>
              </w:rPr>
            </w:pPr>
          </w:p>
        </w:tc>
        <w:tc>
          <w:tcPr>
            <w:tcW w:w="0" w:type="auto"/>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201FE1">
              <w:rPr>
                <w:rFonts w:asciiTheme="minorHAnsi" w:hAnsiTheme="minorHAnsi"/>
                <w:b/>
                <w:sz w:val="18"/>
                <w:lang w:val="sq-AL"/>
              </w:rPr>
              <w:t>TOTAL</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right w:val="single" w:sz="4" w:space="0" w:color="4F81BD" w:themeColor="accent1"/>
            </w:tcBorders>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5,321,939</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201FE1">
              <w:rPr>
                <w:rFonts w:asciiTheme="minorHAnsi" w:hAnsiTheme="minorHAnsi"/>
                <w:b/>
                <w:sz w:val="18"/>
                <w:lang w:val="sq-AL"/>
              </w:rPr>
              <w:t>7,666,093</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left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1,078,455</w:t>
            </w:r>
          </w:p>
        </w:tc>
        <w:tc>
          <w:tcPr>
            <w:tcW w:w="0" w:type="auto"/>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201FE1">
              <w:rPr>
                <w:rFonts w:asciiTheme="minorHAnsi" w:hAnsiTheme="minorHAnsi"/>
                <w:b/>
                <w:sz w:val="18"/>
                <w:lang w:val="sq-AL"/>
              </w:rPr>
              <w:t>2,665,856</w:t>
            </w:r>
          </w:p>
        </w:tc>
        <w:tc>
          <w:tcPr>
            <w:cnfStyle w:val="000010000000" w:firstRow="0" w:lastRow="0" w:firstColumn="0" w:lastColumn="0" w:oddVBand="1" w:evenVBand="0" w:oddHBand="0" w:evenHBand="0" w:firstRowFirstColumn="0" w:firstRowLastColumn="0" w:lastRowFirstColumn="0" w:lastRowLastColumn="0"/>
            <w:tcW w:w="0" w:type="auto"/>
            <w:tcBorders>
              <w:left w:val="single" w:sz="4" w:space="0" w:color="4F81BD" w:themeColor="accent1"/>
              <w:right w:val="single" w:sz="4" w:space="0" w:color="4F81BD" w:themeColor="accent1"/>
            </w:tcBorders>
            <w:shd w:val="clear" w:color="auto" w:fill="auto"/>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20.3</w:t>
            </w:r>
          </w:p>
        </w:tc>
        <w:tc>
          <w:tcPr>
            <w:tcW w:w="0" w:type="auto"/>
            <w:tcBorders>
              <w:top w:val="single" w:sz="4" w:space="0" w:color="4F81BD" w:themeColor="accent1"/>
              <w:left w:val="single" w:sz="4" w:space="0" w:color="4F81BD" w:themeColor="accent1"/>
              <w:bottom w:val="single" w:sz="4" w:space="0" w:color="auto"/>
              <w:right w:val="single" w:sz="4" w:space="0" w:color="4F81BD" w:themeColor="accent1"/>
            </w:tcBorders>
            <w:shd w:val="clear" w:color="auto" w:fill="auto"/>
          </w:tcPr>
          <w:p w:rsidR="00990CDF" w:rsidRPr="00201FE1"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201FE1">
              <w:rPr>
                <w:rFonts w:asciiTheme="minorHAnsi" w:hAnsiTheme="minorHAnsi"/>
                <w:b/>
                <w:sz w:val="18"/>
                <w:lang w:val="sq-AL"/>
              </w:rPr>
              <w:t>34.8</w:t>
            </w:r>
          </w:p>
        </w:tc>
      </w:tr>
    </w:tbl>
    <w:p w:rsidR="00990CDF" w:rsidRPr="00BF005F" w:rsidRDefault="00990CDF" w:rsidP="006F25E7">
      <w:pPr>
        <w:spacing w:line="276" w:lineRule="auto"/>
        <w:jc w:val="center"/>
        <w:rPr>
          <w:rFonts w:asciiTheme="minorHAnsi" w:hAnsiTheme="minorHAnsi"/>
          <w:color w:val="FF0000"/>
          <w:lang w:val="sq-AL"/>
        </w:rPr>
      </w:pPr>
    </w:p>
    <w:p w:rsidR="00990CDF" w:rsidRPr="00BF005F" w:rsidRDefault="00990CDF" w:rsidP="006F25E7">
      <w:pPr>
        <w:spacing w:line="276" w:lineRule="auto"/>
        <w:jc w:val="both"/>
        <w:rPr>
          <w:rFonts w:asciiTheme="minorHAnsi" w:eastAsia="MS Mincho" w:hAnsiTheme="minorHAnsi"/>
          <w:lang w:val="sq-AL"/>
        </w:rPr>
      </w:pPr>
      <w:r w:rsidRPr="00BF005F">
        <w:rPr>
          <w:rFonts w:asciiTheme="minorHAnsi" w:eastAsia="MS Mincho" w:hAnsiTheme="minorHAnsi"/>
          <w:lang w:val="sq-AL"/>
        </w:rPr>
        <w:t xml:space="preserve">Në programin e </w:t>
      </w:r>
      <w:r w:rsidRPr="00BF005F">
        <w:rPr>
          <w:rFonts w:asciiTheme="minorHAnsi" w:eastAsia="MS Mincho" w:hAnsiTheme="minorHAnsi"/>
          <w:b/>
          <w:u w:val="single"/>
          <w:lang w:val="sq-AL"/>
        </w:rPr>
        <w:t>“Zhvillimit rural duke mbështetur prodhimin Bujqësor, Blegtoral, Agroindustrial dhe Marketingun”</w:t>
      </w:r>
      <w:r w:rsidRPr="00BF005F">
        <w:rPr>
          <w:rFonts w:asciiTheme="minorHAnsi" w:eastAsia="MS Mincho" w:hAnsiTheme="minorHAnsi"/>
          <w:u w:val="single"/>
          <w:lang w:val="sq-AL"/>
        </w:rPr>
        <w:t>,</w:t>
      </w:r>
      <w:r w:rsidRPr="00BF005F">
        <w:rPr>
          <w:rFonts w:asciiTheme="minorHAnsi" w:eastAsia="MS Mincho" w:hAnsiTheme="minorHAnsi"/>
          <w:lang w:val="sq-AL"/>
        </w:rPr>
        <w:t xml:space="preserve"> janë realizuar produkte me një kosto faktike prej 1.43 miliardë lekë, të tilla si:</w:t>
      </w:r>
    </w:p>
    <w:p w:rsidR="00990CDF" w:rsidRPr="00201FE1" w:rsidRDefault="00990CDF" w:rsidP="007F0B61">
      <w:pPr>
        <w:numPr>
          <w:ilvl w:val="0"/>
          <w:numId w:val="21"/>
        </w:numPr>
        <w:spacing w:before="240" w:line="276" w:lineRule="auto"/>
        <w:contextualSpacing/>
        <w:jc w:val="both"/>
        <w:rPr>
          <w:rFonts w:asciiTheme="minorHAnsi" w:eastAsia="MS Mincho" w:hAnsiTheme="minorHAnsi"/>
          <w:i/>
          <w:lang w:val="sq-AL"/>
        </w:rPr>
      </w:pPr>
      <w:r w:rsidRPr="00201FE1">
        <w:rPr>
          <w:rFonts w:asciiTheme="minorHAnsi" w:eastAsia="MS Mincho" w:hAnsiTheme="minorHAnsi"/>
          <w:i/>
          <w:lang w:val="sq-AL"/>
        </w:rPr>
        <w:t>Hartimi i bazës ligjore për masat mbështetëse të Programit të Bujqësisë dhe Zhvillimit Rural për 4 mujorin e parë të vitit 2021 ,</w:t>
      </w:r>
      <w:r w:rsidRPr="00201FE1">
        <w:rPr>
          <w:rFonts w:asciiTheme="minorHAnsi" w:hAnsiTheme="minorHAnsi"/>
          <w:i/>
          <w:lang w:val="sq-AL"/>
        </w:rPr>
        <w:t xml:space="preserve"> </w:t>
      </w:r>
      <w:r w:rsidRPr="00201FE1">
        <w:rPr>
          <w:rFonts w:asciiTheme="minorHAnsi" w:eastAsia="MS Mincho" w:hAnsiTheme="minorHAnsi"/>
          <w:i/>
          <w:lang w:val="sq-AL"/>
        </w:rPr>
        <w:t>VKM “Për përcaktimin e kritereve bazë, të sektorëve që do të mbështeten dhe të masës së përfitimit nga fondi i programit për bujqësinë dhe zhvillimin rural, për vitin 2020” si dhe udhëzimi me bashkë firmosje midis MBZHR dhe MFE “Për kriteret procedurat dhe mënyrën e administrimit te fondit te programit për bujqësinë dhe zhvillimin rural.” Lidhur me masat mbështetëse, ka përfunduar procesi i aplikimit dhe ka filluar puna për vlerësimin e aplikimeve.</w:t>
      </w:r>
    </w:p>
    <w:p w:rsidR="00990CDF" w:rsidRPr="00201FE1" w:rsidRDefault="00990CDF" w:rsidP="007F0B61">
      <w:pPr>
        <w:numPr>
          <w:ilvl w:val="0"/>
          <w:numId w:val="21"/>
        </w:numPr>
        <w:spacing w:before="240" w:line="276" w:lineRule="auto"/>
        <w:contextualSpacing/>
        <w:jc w:val="both"/>
        <w:rPr>
          <w:rFonts w:asciiTheme="minorHAnsi" w:eastAsia="MS Mincho" w:hAnsiTheme="minorHAnsi"/>
          <w:i/>
          <w:lang w:val="sq-AL"/>
        </w:rPr>
      </w:pPr>
      <w:r w:rsidRPr="00201FE1">
        <w:rPr>
          <w:rFonts w:asciiTheme="minorHAnsi" w:eastAsia="MS Mincho" w:hAnsiTheme="minorHAnsi"/>
          <w:i/>
          <w:lang w:val="sq-AL"/>
        </w:rPr>
        <w:t>Kanë aplikuar dhe janë kualifikuar në fazën fillestare rreth 12 097 aplikantë nga të cilët vetëm 4 245 janë mbi vijën e financimit.</w:t>
      </w:r>
    </w:p>
    <w:p w:rsidR="00990CDF" w:rsidRPr="00201FE1" w:rsidRDefault="00990CDF" w:rsidP="007F0B61">
      <w:pPr>
        <w:numPr>
          <w:ilvl w:val="0"/>
          <w:numId w:val="21"/>
        </w:numPr>
        <w:spacing w:before="240" w:line="276" w:lineRule="auto"/>
        <w:contextualSpacing/>
        <w:jc w:val="both"/>
        <w:rPr>
          <w:rFonts w:asciiTheme="minorHAnsi" w:eastAsia="MS Mincho" w:hAnsiTheme="minorHAnsi"/>
          <w:i/>
          <w:lang w:val="sq-AL"/>
        </w:rPr>
      </w:pPr>
      <w:r w:rsidRPr="00201FE1">
        <w:rPr>
          <w:rFonts w:asciiTheme="minorHAnsi" w:eastAsia="MS Mincho" w:hAnsiTheme="minorHAnsi"/>
          <w:i/>
          <w:lang w:val="sq-AL"/>
        </w:rPr>
        <w:t>Për skemën e subvencionimit me naftë për bujqësinë ka përfunduar procesi i aplikimit, nga i cili rezultojnë rreth 17 000 aplikantë si dhe është shpallur lista pjesore, sipas VKM dhe udhëzimit përkatës, ka filluar shpërndarja e kartave të naftës.</w:t>
      </w:r>
    </w:p>
    <w:p w:rsidR="00990CDF" w:rsidRPr="00201FE1" w:rsidRDefault="00990CDF" w:rsidP="007F0B61">
      <w:pPr>
        <w:numPr>
          <w:ilvl w:val="0"/>
          <w:numId w:val="21"/>
        </w:numPr>
        <w:spacing w:before="240" w:line="276" w:lineRule="auto"/>
        <w:contextualSpacing/>
        <w:jc w:val="both"/>
        <w:rPr>
          <w:rFonts w:asciiTheme="minorHAnsi" w:eastAsia="MS Mincho" w:hAnsiTheme="minorHAnsi"/>
          <w:i/>
          <w:lang w:val="sq-AL"/>
        </w:rPr>
      </w:pPr>
      <w:r w:rsidRPr="00201FE1">
        <w:rPr>
          <w:rFonts w:asciiTheme="minorHAnsi" w:eastAsia="MS Mincho" w:hAnsiTheme="minorHAnsi"/>
          <w:i/>
          <w:lang w:val="sq-AL"/>
        </w:rPr>
        <w:t>Përfitues nga programi IPARD II është mbyllur dhe thirrja e tretë e cila është në proces vlerësimi dhe disbursimi të aplikimeve për 118 kontrata nga të cilat 30 femra.</w:t>
      </w:r>
    </w:p>
    <w:p w:rsidR="00990CDF" w:rsidRPr="00201FE1" w:rsidRDefault="00990CDF" w:rsidP="007F0B61">
      <w:pPr>
        <w:numPr>
          <w:ilvl w:val="0"/>
          <w:numId w:val="21"/>
        </w:numPr>
        <w:spacing w:before="240" w:line="276" w:lineRule="auto"/>
        <w:contextualSpacing/>
        <w:jc w:val="both"/>
        <w:rPr>
          <w:rFonts w:asciiTheme="minorHAnsi" w:eastAsia="MS Mincho" w:hAnsiTheme="minorHAnsi"/>
          <w:i/>
          <w:lang w:val="sq-AL"/>
        </w:rPr>
      </w:pPr>
      <w:r w:rsidRPr="00201FE1">
        <w:rPr>
          <w:rFonts w:asciiTheme="minorHAnsi" w:eastAsia="MS Mincho" w:hAnsiTheme="minorHAnsi"/>
          <w:i/>
          <w:lang w:val="sq-AL"/>
        </w:rPr>
        <w:t>Organizimi i 3 aktiviteteve promovuese ;</w:t>
      </w:r>
    </w:p>
    <w:p w:rsidR="00990CDF" w:rsidRPr="00201FE1" w:rsidRDefault="00990CDF" w:rsidP="007F0B61">
      <w:pPr>
        <w:numPr>
          <w:ilvl w:val="0"/>
          <w:numId w:val="21"/>
        </w:numPr>
        <w:spacing w:before="240" w:line="276" w:lineRule="auto"/>
        <w:contextualSpacing/>
        <w:jc w:val="both"/>
        <w:rPr>
          <w:rFonts w:asciiTheme="minorHAnsi" w:eastAsia="MS Mincho" w:hAnsiTheme="minorHAnsi"/>
          <w:i/>
          <w:lang w:val="sq-AL"/>
        </w:rPr>
      </w:pPr>
      <w:r w:rsidRPr="00201FE1">
        <w:rPr>
          <w:rFonts w:asciiTheme="minorHAnsi" w:eastAsia="MS Mincho" w:hAnsiTheme="minorHAnsi"/>
          <w:i/>
          <w:lang w:val="sq-AL"/>
        </w:rPr>
        <w:t>Certifikimi dhe testimi i rreth 1 milion fara dhe fidanë;</w:t>
      </w:r>
    </w:p>
    <w:p w:rsidR="00990CDF" w:rsidRPr="00201FE1" w:rsidRDefault="00990CDF" w:rsidP="007F0B61">
      <w:pPr>
        <w:numPr>
          <w:ilvl w:val="0"/>
          <w:numId w:val="21"/>
        </w:numPr>
        <w:spacing w:before="240" w:line="276" w:lineRule="auto"/>
        <w:contextualSpacing/>
        <w:jc w:val="both"/>
        <w:rPr>
          <w:rFonts w:asciiTheme="minorHAnsi" w:eastAsia="MS Mincho" w:hAnsiTheme="minorHAnsi"/>
          <w:i/>
          <w:lang w:val="sq-AL"/>
        </w:rPr>
      </w:pPr>
      <w:r w:rsidRPr="00201FE1">
        <w:rPr>
          <w:rFonts w:asciiTheme="minorHAnsi" w:eastAsia="MS Mincho" w:hAnsiTheme="minorHAnsi"/>
          <w:i/>
          <w:lang w:val="sq-AL"/>
        </w:rPr>
        <w:lastRenderedPageBreak/>
        <w:t>Degustimi i rreth 73 mostrave të cigareve;</w:t>
      </w:r>
    </w:p>
    <w:p w:rsidR="00990CDF" w:rsidRPr="00201FE1" w:rsidRDefault="00990CDF" w:rsidP="007F0B61">
      <w:pPr>
        <w:numPr>
          <w:ilvl w:val="0"/>
          <w:numId w:val="21"/>
        </w:numPr>
        <w:spacing w:before="240" w:line="276" w:lineRule="auto"/>
        <w:contextualSpacing/>
        <w:jc w:val="both"/>
        <w:rPr>
          <w:rFonts w:asciiTheme="minorHAnsi" w:eastAsia="MS Mincho" w:hAnsiTheme="minorHAnsi"/>
          <w:i/>
          <w:lang w:val="sq-AL"/>
        </w:rPr>
      </w:pPr>
      <w:r w:rsidRPr="00201FE1">
        <w:rPr>
          <w:rFonts w:asciiTheme="minorHAnsi" w:eastAsia="MS Mincho" w:hAnsiTheme="minorHAnsi"/>
          <w:i/>
          <w:lang w:val="sq-AL"/>
        </w:rPr>
        <w:t>Për të gjitha projektet e investimeve të çelura, kanë filluar procedurat tenderuese të fondeve dhe janë në proces.</w:t>
      </w:r>
    </w:p>
    <w:p w:rsidR="00990CDF" w:rsidRPr="00BF005F" w:rsidRDefault="00990CDF" w:rsidP="006F25E7">
      <w:pPr>
        <w:spacing w:before="240" w:line="276" w:lineRule="auto"/>
        <w:jc w:val="both"/>
        <w:rPr>
          <w:rFonts w:asciiTheme="minorHAnsi" w:eastAsia="MS Mincho" w:hAnsiTheme="minorHAnsi"/>
          <w:lang w:val="sq-AL"/>
        </w:rPr>
      </w:pPr>
      <w:r w:rsidRPr="00BF005F">
        <w:rPr>
          <w:rFonts w:asciiTheme="minorHAnsi" w:eastAsia="MS Mincho" w:hAnsiTheme="minorHAnsi"/>
          <w:lang w:val="sq-AL"/>
        </w:rPr>
        <w:t xml:space="preserve">Në programin </w:t>
      </w:r>
      <w:r w:rsidRPr="00BF005F">
        <w:rPr>
          <w:rFonts w:asciiTheme="minorHAnsi" w:eastAsia="MS Mincho" w:hAnsiTheme="minorHAnsi"/>
          <w:b/>
          <w:u w:val="single"/>
          <w:lang w:val="sq-AL"/>
        </w:rPr>
        <w:t>“Siguria ushqimore dhe mbrojtja e konsumatorit”</w:t>
      </w:r>
      <w:r w:rsidRPr="00BF005F">
        <w:rPr>
          <w:rFonts w:asciiTheme="minorHAnsi" w:eastAsia="MS Mincho" w:hAnsiTheme="minorHAnsi"/>
          <w:u w:val="single"/>
          <w:lang w:val="sq-AL"/>
        </w:rPr>
        <w:t>,</w:t>
      </w:r>
      <w:r w:rsidRPr="00BF005F">
        <w:rPr>
          <w:rFonts w:asciiTheme="minorHAnsi" w:eastAsia="MS Mincho" w:hAnsiTheme="minorHAnsi"/>
          <w:lang w:val="sq-AL"/>
        </w:rPr>
        <w:t xml:space="preserve"> janë realizuar për 4 mujorin e parë produkte me një kosto faktike prej 400.6 milionë lekë, ku ndër to përmendim: </w:t>
      </w:r>
    </w:p>
    <w:p w:rsidR="00990CDF" w:rsidRPr="00201FE1" w:rsidRDefault="00990CDF" w:rsidP="007F0B61">
      <w:pPr>
        <w:numPr>
          <w:ilvl w:val="0"/>
          <w:numId w:val="22"/>
        </w:numPr>
        <w:spacing w:before="240" w:line="276" w:lineRule="auto"/>
        <w:contextualSpacing/>
        <w:jc w:val="both"/>
        <w:rPr>
          <w:rFonts w:asciiTheme="minorHAnsi" w:eastAsia="MS Mincho" w:hAnsiTheme="minorHAnsi"/>
          <w:i/>
          <w:lang w:val="sq-AL"/>
        </w:rPr>
      </w:pPr>
      <w:r w:rsidRPr="00201FE1">
        <w:rPr>
          <w:rFonts w:asciiTheme="minorHAnsi" w:eastAsia="MS Mincho" w:hAnsiTheme="minorHAnsi"/>
          <w:i/>
          <w:lang w:val="sq-AL"/>
        </w:rPr>
        <w:t>Ë</w:t>
      </w:r>
      <w:r w:rsidRPr="00201FE1">
        <w:rPr>
          <w:rFonts w:asciiTheme="minorHAnsi" w:hAnsiTheme="minorHAnsi"/>
          <w:i/>
          <w:lang w:val="sq-AL"/>
        </w:rPr>
        <w:t>shtë kryer vaksinimi dhe gjurmimi kundër sëmundjes së plasjes, brucelozës dhe dermatozës nodulare në gjedhë për 76,173 krerë kafshë;</w:t>
      </w:r>
    </w:p>
    <w:p w:rsidR="00990CDF" w:rsidRPr="00201FE1" w:rsidRDefault="00990CDF" w:rsidP="007F0B61">
      <w:pPr>
        <w:numPr>
          <w:ilvl w:val="0"/>
          <w:numId w:val="22"/>
        </w:numPr>
        <w:spacing w:before="240" w:line="276" w:lineRule="auto"/>
        <w:contextualSpacing/>
        <w:jc w:val="both"/>
        <w:rPr>
          <w:rFonts w:asciiTheme="minorHAnsi" w:eastAsia="MS Mincho" w:hAnsiTheme="minorHAnsi"/>
          <w:i/>
          <w:lang w:val="sq-AL"/>
        </w:rPr>
      </w:pPr>
      <w:r w:rsidRPr="00201FE1">
        <w:rPr>
          <w:rFonts w:asciiTheme="minorHAnsi" w:hAnsiTheme="minorHAnsi"/>
          <w:i/>
          <w:lang w:val="sq-AL"/>
        </w:rPr>
        <w:t xml:space="preserve">Janë kryer 688 kontrolle në fermat e kafshëve të gjalla, farmacitë veterinare dhe depot farmaceutike; </w:t>
      </w:r>
    </w:p>
    <w:p w:rsidR="00990CDF" w:rsidRPr="00201FE1" w:rsidRDefault="00990CDF" w:rsidP="007F0B61">
      <w:pPr>
        <w:numPr>
          <w:ilvl w:val="0"/>
          <w:numId w:val="22"/>
        </w:numPr>
        <w:spacing w:before="240" w:line="276" w:lineRule="auto"/>
        <w:contextualSpacing/>
        <w:jc w:val="both"/>
        <w:rPr>
          <w:rFonts w:asciiTheme="minorHAnsi" w:eastAsia="MS Mincho" w:hAnsiTheme="minorHAnsi"/>
          <w:i/>
          <w:lang w:val="sq-AL"/>
        </w:rPr>
      </w:pPr>
      <w:r w:rsidRPr="00201FE1">
        <w:rPr>
          <w:rFonts w:asciiTheme="minorHAnsi" w:hAnsiTheme="minorHAnsi"/>
          <w:i/>
          <w:lang w:val="sq-AL"/>
        </w:rPr>
        <w:t>Janë realizuar 8,358 analiza nga ISUV në kuadër të monitorimit të mbetjeve në kafshët e gjalla dhe molusqet bivale;</w:t>
      </w:r>
    </w:p>
    <w:p w:rsidR="00990CDF" w:rsidRPr="00201FE1" w:rsidRDefault="00990CDF" w:rsidP="007F0B61">
      <w:pPr>
        <w:numPr>
          <w:ilvl w:val="0"/>
          <w:numId w:val="22"/>
        </w:numPr>
        <w:spacing w:before="240" w:line="276" w:lineRule="auto"/>
        <w:contextualSpacing/>
        <w:jc w:val="both"/>
        <w:rPr>
          <w:rFonts w:asciiTheme="minorHAnsi" w:eastAsia="MS Mincho" w:hAnsiTheme="minorHAnsi"/>
          <w:i/>
          <w:lang w:val="sq-AL"/>
        </w:rPr>
      </w:pPr>
      <w:r w:rsidRPr="00201FE1">
        <w:rPr>
          <w:rFonts w:asciiTheme="minorHAnsi" w:hAnsiTheme="minorHAnsi"/>
          <w:i/>
          <w:lang w:val="sq-AL"/>
        </w:rPr>
        <w:t>Nuk janë dëmshpërblyer fermerë për krerë të ngordhur pasi ka përfunduar shpërblimi vetëm për fermerët;</w:t>
      </w:r>
    </w:p>
    <w:p w:rsidR="00990CDF" w:rsidRPr="00201FE1" w:rsidRDefault="00990CDF" w:rsidP="007F0B61">
      <w:pPr>
        <w:numPr>
          <w:ilvl w:val="0"/>
          <w:numId w:val="22"/>
        </w:numPr>
        <w:spacing w:before="240" w:line="276" w:lineRule="auto"/>
        <w:contextualSpacing/>
        <w:jc w:val="both"/>
        <w:rPr>
          <w:rFonts w:asciiTheme="minorHAnsi" w:eastAsia="MS Mincho" w:hAnsiTheme="minorHAnsi"/>
          <w:i/>
          <w:lang w:val="sq-AL"/>
        </w:rPr>
      </w:pPr>
      <w:r w:rsidRPr="00201FE1">
        <w:rPr>
          <w:rFonts w:asciiTheme="minorHAnsi" w:hAnsiTheme="minorHAnsi"/>
          <w:i/>
          <w:lang w:val="sq-AL"/>
        </w:rPr>
        <w:t>Janë kryer gjithashtu 30,719 inspektime në fushën e sigurisë ushqimore;</w:t>
      </w:r>
    </w:p>
    <w:p w:rsidR="00990CDF" w:rsidRPr="00201FE1" w:rsidRDefault="00990CDF" w:rsidP="007F0B61">
      <w:pPr>
        <w:numPr>
          <w:ilvl w:val="0"/>
          <w:numId w:val="22"/>
        </w:numPr>
        <w:spacing w:before="240" w:line="276" w:lineRule="auto"/>
        <w:contextualSpacing/>
        <w:jc w:val="both"/>
        <w:rPr>
          <w:rFonts w:asciiTheme="minorHAnsi" w:eastAsia="MS Mincho" w:hAnsiTheme="minorHAnsi"/>
          <w:i/>
          <w:lang w:val="sq-AL"/>
        </w:rPr>
      </w:pPr>
      <w:r w:rsidRPr="00201FE1">
        <w:rPr>
          <w:rFonts w:asciiTheme="minorHAnsi" w:hAnsiTheme="minorHAnsi"/>
          <w:i/>
          <w:lang w:val="sq-AL"/>
        </w:rPr>
        <w:t>Është hapur procedura e tenderimit për mbrojtjen dhe trajtimin e 6,400 hektar sipërfaqe me gështenjë nga paraziti grerëza galeformuese;</w:t>
      </w:r>
    </w:p>
    <w:p w:rsidR="00990CDF" w:rsidRPr="00201FE1" w:rsidRDefault="00990CDF" w:rsidP="007F0B61">
      <w:pPr>
        <w:numPr>
          <w:ilvl w:val="0"/>
          <w:numId w:val="22"/>
        </w:numPr>
        <w:spacing w:before="240" w:line="276" w:lineRule="auto"/>
        <w:contextualSpacing/>
        <w:jc w:val="both"/>
        <w:rPr>
          <w:rFonts w:asciiTheme="minorHAnsi" w:eastAsia="MS Mincho" w:hAnsiTheme="minorHAnsi"/>
          <w:i/>
          <w:lang w:val="sq-AL"/>
        </w:rPr>
      </w:pPr>
      <w:r w:rsidRPr="00201FE1">
        <w:rPr>
          <w:rFonts w:asciiTheme="minorHAnsi" w:hAnsiTheme="minorHAnsi"/>
          <w:i/>
          <w:lang w:val="sq-AL"/>
        </w:rPr>
        <w:t>Për sa i përket shpenzimeve kapitale të tjera, janë në proces zbatimi 5 projekte në fushën e sigurisë ushqimore dhe veterinarisë me financim të huaj si dhe me bashkëfinancim</w:t>
      </w:r>
      <w:r w:rsidRPr="00201FE1">
        <w:rPr>
          <w:rFonts w:asciiTheme="minorHAnsi" w:eastAsia="MS Mincho" w:hAnsiTheme="minorHAnsi"/>
          <w:i/>
          <w:lang w:val="sq-AL"/>
        </w:rPr>
        <w:t>.</w:t>
      </w:r>
    </w:p>
    <w:p w:rsidR="00990CDF" w:rsidRPr="00BF005F" w:rsidRDefault="00990CDF" w:rsidP="006F25E7">
      <w:pPr>
        <w:spacing w:before="240" w:line="276" w:lineRule="auto"/>
        <w:jc w:val="both"/>
        <w:rPr>
          <w:rFonts w:asciiTheme="minorHAnsi" w:hAnsiTheme="minorHAnsi"/>
          <w:lang w:val="sq-AL"/>
        </w:rPr>
      </w:pPr>
      <w:r w:rsidRPr="00BF005F">
        <w:rPr>
          <w:rFonts w:asciiTheme="minorHAnsi" w:hAnsiTheme="minorHAnsi"/>
          <w:lang w:val="sq-AL"/>
        </w:rPr>
        <w:t>Në programin “</w:t>
      </w:r>
      <w:r w:rsidRPr="00BF005F">
        <w:rPr>
          <w:rFonts w:asciiTheme="minorHAnsi" w:hAnsiTheme="minorHAnsi"/>
          <w:b/>
          <w:lang w:val="sq-AL"/>
        </w:rPr>
        <w:t>Infrastruktura e ujitjes dhe kullimit</w:t>
      </w:r>
      <w:r w:rsidRPr="00BF005F">
        <w:rPr>
          <w:rFonts w:asciiTheme="minorHAnsi" w:hAnsiTheme="minorHAnsi"/>
          <w:lang w:val="sq-AL"/>
        </w:rPr>
        <w:t>”, janë parashikuar disa produkte dhe janë realizuar një pjesë e tyre me një kosto totale prej 1.3 miliardë lekë, ndër to përmendim:</w:t>
      </w:r>
    </w:p>
    <w:p w:rsidR="00990CDF" w:rsidRPr="00201FE1" w:rsidRDefault="00990CDF" w:rsidP="007F0B61">
      <w:pPr>
        <w:numPr>
          <w:ilvl w:val="0"/>
          <w:numId w:val="23"/>
        </w:numPr>
        <w:shd w:val="clear" w:color="auto" w:fill="FFFFFF"/>
        <w:spacing w:line="276" w:lineRule="auto"/>
        <w:contextualSpacing/>
        <w:jc w:val="both"/>
        <w:rPr>
          <w:rFonts w:asciiTheme="minorHAnsi" w:hAnsiTheme="minorHAnsi"/>
          <w:bCs/>
          <w:i/>
          <w:lang w:val="sq-AL" w:eastAsia="en-GB"/>
        </w:rPr>
      </w:pPr>
      <w:r w:rsidRPr="00201FE1">
        <w:rPr>
          <w:rFonts w:asciiTheme="minorHAnsi" w:hAnsiTheme="minorHAnsi"/>
          <w:bCs/>
          <w:i/>
          <w:lang w:val="sq-AL" w:eastAsia="en-GB"/>
        </w:rPr>
        <w:t>Janë punuar rreth 15 000 hektar sipërfaqe kulluese me rrjetin kryesor të pastruar;</w:t>
      </w:r>
    </w:p>
    <w:p w:rsidR="00990CDF" w:rsidRPr="00201FE1" w:rsidRDefault="00990CDF" w:rsidP="007F0B61">
      <w:pPr>
        <w:numPr>
          <w:ilvl w:val="0"/>
          <w:numId w:val="23"/>
        </w:numPr>
        <w:shd w:val="clear" w:color="auto" w:fill="FFFFFF"/>
        <w:spacing w:line="276" w:lineRule="auto"/>
        <w:contextualSpacing/>
        <w:jc w:val="both"/>
        <w:rPr>
          <w:rFonts w:asciiTheme="minorHAnsi" w:hAnsiTheme="minorHAnsi"/>
          <w:bCs/>
          <w:i/>
          <w:lang w:val="sq-AL" w:eastAsia="en-GB"/>
        </w:rPr>
      </w:pPr>
      <w:r w:rsidRPr="00201FE1">
        <w:rPr>
          <w:rFonts w:asciiTheme="minorHAnsi" w:hAnsiTheme="minorHAnsi"/>
          <w:bCs/>
          <w:i/>
          <w:lang w:val="sq-AL" w:eastAsia="en-GB"/>
        </w:rPr>
        <w:t>Rreth 15 000 hektar sipërfaqe ujitëse me rrjet kryesor ujitës te mirëmbajtur;</w:t>
      </w:r>
    </w:p>
    <w:p w:rsidR="00990CDF" w:rsidRPr="00201FE1" w:rsidRDefault="00990CDF" w:rsidP="007F0B61">
      <w:pPr>
        <w:numPr>
          <w:ilvl w:val="0"/>
          <w:numId w:val="23"/>
        </w:numPr>
        <w:shd w:val="clear" w:color="auto" w:fill="FFFFFF"/>
        <w:spacing w:line="276" w:lineRule="auto"/>
        <w:contextualSpacing/>
        <w:jc w:val="both"/>
        <w:rPr>
          <w:rFonts w:asciiTheme="minorHAnsi" w:hAnsiTheme="minorHAnsi"/>
          <w:bCs/>
          <w:i/>
          <w:lang w:val="sq-AL" w:eastAsia="en-GB"/>
        </w:rPr>
      </w:pPr>
      <w:r w:rsidRPr="00201FE1">
        <w:rPr>
          <w:rFonts w:asciiTheme="minorHAnsi" w:hAnsiTheme="minorHAnsi"/>
          <w:bCs/>
          <w:i/>
          <w:lang w:val="sq-AL" w:eastAsia="en-GB"/>
        </w:rPr>
        <w:t>Mirëmbajtje për funksionimin normal të 27 hidroforëve për kullimin e rreth 70 000 hektarëve;</w:t>
      </w:r>
    </w:p>
    <w:p w:rsidR="00990CDF" w:rsidRPr="00201FE1" w:rsidRDefault="00990CDF" w:rsidP="007F0B61">
      <w:pPr>
        <w:numPr>
          <w:ilvl w:val="0"/>
          <w:numId w:val="23"/>
        </w:numPr>
        <w:shd w:val="clear" w:color="auto" w:fill="FFFFFF"/>
        <w:spacing w:line="276" w:lineRule="auto"/>
        <w:contextualSpacing/>
        <w:jc w:val="both"/>
        <w:rPr>
          <w:rFonts w:asciiTheme="minorHAnsi" w:hAnsiTheme="minorHAnsi"/>
          <w:bCs/>
          <w:i/>
          <w:lang w:val="sq-AL" w:eastAsia="en-GB"/>
        </w:rPr>
      </w:pPr>
      <w:r w:rsidRPr="00201FE1">
        <w:rPr>
          <w:rFonts w:asciiTheme="minorHAnsi" w:hAnsiTheme="minorHAnsi"/>
          <w:bCs/>
          <w:i/>
          <w:lang w:val="sq-AL" w:eastAsia="en-GB"/>
        </w:rPr>
        <w:t>Në lidhje me projektet e investimeve për rehabilitimin e infrastrukturës së ujitjes, investimi aktualisht nga 56 objekte, 35 prej tyre janë objekte në vazhdim, me financim për periudhën 2020-2021, ndërsa për 21 objekte të tjerë, në 13 prej tyre nuk kanë filluar akoma procedurat e prokurimit, ndërsa në 7 objekte janë lidhur kontratat dhe për 1 objekt, pritet miratimi i projektit në Komitetin Kombëtar të Digave të Mëdha;</w:t>
      </w:r>
    </w:p>
    <w:p w:rsidR="00990CDF" w:rsidRPr="00201FE1" w:rsidRDefault="00990CDF" w:rsidP="007F0B61">
      <w:pPr>
        <w:numPr>
          <w:ilvl w:val="0"/>
          <w:numId w:val="23"/>
        </w:numPr>
        <w:shd w:val="clear" w:color="auto" w:fill="FFFFFF"/>
        <w:spacing w:line="276" w:lineRule="auto"/>
        <w:contextualSpacing/>
        <w:jc w:val="both"/>
        <w:rPr>
          <w:rFonts w:asciiTheme="minorHAnsi" w:hAnsiTheme="minorHAnsi"/>
          <w:bCs/>
          <w:i/>
          <w:lang w:val="sq-AL" w:eastAsia="en-GB"/>
        </w:rPr>
      </w:pPr>
      <w:r w:rsidRPr="00201FE1">
        <w:rPr>
          <w:rFonts w:asciiTheme="minorHAnsi" w:hAnsiTheme="minorHAnsi"/>
          <w:bCs/>
          <w:i/>
          <w:lang w:val="sq-AL" w:eastAsia="en-GB"/>
        </w:rPr>
        <w:t>Për 4 mujorin e parë vlen të theksohet fakti që me projektin e Menaxhimit të Burimeve Ujore dhe Ujitjes, të financuar nga Banka Botërore, ka përfunduar rehabilitimi edhe i skemës së fundit ujitëse me burim ujor rezervuarin e Janjarit, që mbulon me ujitje rreth 4 500 ha në bashkinë Konispol.</w:t>
      </w:r>
    </w:p>
    <w:p w:rsidR="00990CDF" w:rsidRDefault="00990CDF" w:rsidP="006F25E7">
      <w:pPr>
        <w:shd w:val="clear" w:color="auto" w:fill="FFFFFF"/>
        <w:spacing w:line="276" w:lineRule="auto"/>
        <w:ind w:left="720"/>
        <w:jc w:val="both"/>
        <w:rPr>
          <w:rFonts w:asciiTheme="minorHAnsi" w:hAnsiTheme="minorHAnsi"/>
          <w:bCs/>
          <w:lang w:val="sq-AL" w:eastAsia="en-GB"/>
        </w:rPr>
      </w:pPr>
    </w:p>
    <w:p w:rsidR="00201FE1" w:rsidRDefault="00201FE1" w:rsidP="006F25E7">
      <w:pPr>
        <w:shd w:val="clear" w:color="auto" w:fill="FFFFFF"/>
        <w:spacing w:line="276" w:lineRule="auto"/>
        <w:ind w:left="720"/>
        <w:jc w:val="both"/>
        <w:rPr>
          <w:rFonts w:asciiTheme="minorHAnsi" w:hAnsiTheme="minorHAnsi"/>
          <w:bCs/>
          <w:lang w:val="sq-AL" w:eastAsia="en-GB"/>
        </w:rPr>
      </w:pPr>
    </w:p>
    <w:p w:rsidR="009F2131" w:rsidRDefault="009F2131" w:rsidP="006F25E7">
      <w:pPr>
        <w:shd w:val="clear" w:color="auto" w:fill="FFFFFF"/>
        <w:spacing w:line="276" w:lineRule="auto"/>
        <w:ind w:left="720"/>
        <w:jc w:val="both"/>
        <w:rPr>
          <w:rFonts w:asciiTheme="minorHAnsi" w:hAnsiTheme="minorHAnsi"/>
          <w:bCs/>
          <w:lang w:val="sq-AL" w:eastAsia="en-GB"/>
        </w:rPr>
      </w:pPr>
    </w:p>
    <w:p w:rsidR="009F2131" w:rsidRDefault="009F2131" w:rsidP="006F25E7">
      <w:pPr>
        <w:shd w:val="clear" w:color="auto" w:fill="FFFFFF"/>
        <w:spacing w:line="276" w:lineRule="auto"/>
        <w:ind w:left="720"/>
        <w:jc w:val="both"/>
        <w:rPr>
          <w:rFonts w:asciiTheme="minorHAnsi" w:hAnsiTheme="minorHAnsi"/>
          <w:bCs/>
          <w:lang w:val="sq-AL" w:eastAsia="en-GB"/>
        </w:rPr>
      </w:pPr>
    </w:p>
    <w:p w:rsidR="009F2131" w:rsidRDefault="009F2131" w:rsidP="006F25E7">
      <w:pPr>
        <w:shd w:val="clear" w:color="auto" w:fill="FFFFFF"/>
        <w:spacing w:line="276" w:lineRule="auto"/>
        <w:ind w:left="720"/>
        <w:jc w:val="both"/>
        <w:rPr>
          <w:rFonts w:asciiTheme="minorHAnsi" w:hAnsiTheme="minorHAnsi"/>
          <w:bCs/>
          <w:lang w:val="sq-AL" w:eastAsia="en-GB"/>
        </w:rPr>
      </w:pPr>
    </w:p>
    <w:p w:rsidR="009F2131" w:rsidRDefault="009F2131" w:rsidP="006F25E7">
      <w:pPr>
        <w:shd w:val="clear" w:color="auto" w:fill="FFFFFF"/>
        <w:spacing w:line="276" w:lineRule="auto"/>
        <w:ind w:left="720"/>
        <w:jc w:val="both"/>
        <w:rPr>
          <w:rFonts w:asciiTheme="minorHAnsi" w:hAnsiTheme="minorHAnsi"/>
          <w:bCs/>
          <w:lang w:val="sq-AL" w:eastAsia="en-GB"/>
        </w:rPr>
      </w:pPr>
    </w:p>
    <w:p w:rsidR="009F2131" w:rsidRDefault="009F2131" w:rsidP="006F25E7">
      <w:pPr>
        <w:shd w:val="clear" w:color="auto" w:fill="FFFFFF"/>
        <w:spacing w:line="276" w:lineRule="auto"/>
        <w:ind w:left="720"/>
        <w:jc w:val="both"/>
        <w:rPr>
          <w:rFonts w:asciiTheme="minorHAnsi" w:hAnsiTheme="minorHAnsi"/>
          <w:bCs/>
          <w:lang w:val="sq-AL" w:eastAsia="en-GB"/>
        </w:rPr>
      </w:pPr>
    </w:p>
    <w:p w:rsidR="00201FE1" w:rsidRDefault="00201FE1" w:rsidP="006F25E7">
      <w:pPr>
        <w:shd w:val="clear" w:color="auto" w:fill="FFFFFF"/>
        <w:spacing w:line="276" w:lineRule="auto"/>
        <w:ind w:left="720"/>
        <w:jc w:val="both"/>
        <w:rPr>
          <w:rFonts w:asciiTheme="minorHAnsi" w:hAnsiTheme="minorHAnsi"/>
          <w:bCs/>
          <w:lang w:val="sq-AL" w:eastAsia="en-GB"/>
        </w:rPr>
      </w:pPr>
    </w:p>
    <w:p w:rsidR="00201FE1" w:rsidRPr="00BF005F" w:rsidRDefault="00201FE1" w:rsidP="006F25E7">
      <w:pPr>
        <w:shd w:val="clear" w:color="auto" w:fill="FFFFFF"/>
        <w:spacing w:line="276" w:lineRule="auto"/>
        <w:ind w:left="720"/>
        <w:jc w:val="both"/>
        <w:rPr>
          <w:rFonts w:asciiTheme="minorHAnsi" w:hAnsiTheme="minorHAnsi"/>
          <w:bCs/>
          <w:lang w:val="sq-AL" w:eastAsia="en-GB"/>
        </w:rPr>
      </w:pPr>
    </w:p>
    <w:p w:rsidR="00990CDF" w:rsidRPr="00BF005F" w:rsidRDefault="00990CDF" w:rsidP="006F25E7">
      <w:pPr>
        <w:spacing w:before="120" w:after="120" w:line="276" w:lineRule="auto"/>
        <w:jc w:val="both"/>
        <w:rPr>
          <w:rFonts w:asciiTheme="minorHAnsi" w:hAnsiTheme="minorHAnsi"/>
          <w:b/>
          <w:noProof/>
          <w:lang w:val="sq-AL"/>
        </w:rPr>
      </w:pPr>
      <w:bookmarkStart w:id="125" w:name="_Toc10033297"/>
      <w:bookmarkStart w:id="126" w:name="_Toc10721433"/>
      <w:bookmarkStart w:id="127" w:name="_Toc11134228"/>
      <w:r w:rsidRPr="00BF005F">
        <w:rPr>
          <w:rFonts w:asciiTheme="minorHAnsi" w:hAnsiTheme="minorHAnsi"/>
          <w:b/>
          <w:noProof/>
          <w:lang w:val="sq-AL"/>
        </w:rPr>
        <w:lastRenderedPageBreak/>
        <w:t>INFRASTRUKTURA DHE ENERGJIA</w:t>
      </w:r>
      <w:bookmarkEnd w:id="125"/>
      <w:bookmarkEnd w:id="126"/>
      <w:bookmarkEnd w:id="127"/>
    </w:p>
    <w:p w:rsidR="00990CDF" w:rsidRPr="00BF005F" w:rsidRDefault="00990CDF" w:rsidP="006F25E7">
      <w:pPr>
        <w:spacing w:line="276" w:lineRule="auto"/>
        <w:jc w:val="both"/>
        <w:rPr>
          <w:rFonts w:asciiTheme="minorHAnsi" w:hAnsiTheme="minorHAnsi"/>
          <w:lang w:val="sq-AL"/>
        </w:rPr>
      </w:pPr>
      <w:r w:rsidRPr="00BF005F">
        <w:rPr>
          <w:rFonts w:asciiTheme="minorHAnsi" w:hAnsiTheme="minorHAnsi"/>
          <w:lang w:val="sq-AL"/>
        </w:rPr>
        <w:t>Performanca e treguesve buxhetorë për 12 programet e Ministrisë së Infrastrukturës dhe Energjisë, paraqitet si më poshtë:</w:t>
      </w:r>
    </w:p>
    <w:p w:rsidR="00990CDF" w:rsidRPr="00BF005F" w:rsidRDefault="00990CDF" w:rsidP="00201FE1">
      <w:pPr>
        <w:spacing w:before="240" w:line="276" w:lineRule="auto"/>
        <w:rPr>
          <w:rFonts w:asciiTheme="minorHAnsi" w:hAnsiTheme="minorHAnsi"/>
          <w:i/>
          <w:noProof/>
        </w:rPr>
      </w:pPr>
      <w:bookmarkStart w:id="128" w:name="_Toc76470074"/>
      <w:r w:rsidRPr="00BF005F">
        <w:rPr>
          <w:rFonts w:asciiTheme="minorHAnsi" w:hAnsiTheme="minorHAnsi"/>
          <w:i/>
          <w:noProof/>
        </w:rPr>
        <w:t xml:space="preserve">Tabela </w:t>
      </w:r>
      <w:r w:rsidRPr="00BF005F">
        <w:rPr>
          <w:rFonts w:asciiTheme="minorHAnsi" w:hAnsiTheme="minorHAnsi"/>
          <w:i/>
          <w:noProof/>
        </w:rPr>
        <w:fldChar w:fldCharType="begin"/>
      </w:r>
      <w:r w:rsidRPr="00BF005F">
        <w:rPr>
          <w:rFonts w:asciiTheme="minorHAnsi" w:hAnsiTheme="minorHAnsi"/>
          <w:i/>
          <w:noProof/>
        </w:rPr>
        <w:instrText xml:space="preserve"> SEQ Tabela \* ARABIC </w:instrText>
      </w:r>
      <w:r w:rsidRPr="00BF005F">
        <w:rPr>
          <w:rFonts w:asciiTheme="minorHAnsi" w:hAnsiTheme="minorHAnsi"/>
          <w:i/>
          <w:noProof/>
        </w:rPr>
        <w:fldChar w:fldCharType="separate"/>
      </w:r>
      <w:r w:rsidR="003C5F40">
        <w:rPr>
          <w:rFonts w:asciiTheme="minorHAnsi" w:hAnsiTheme="minorHAnsi"/>
          <w:i/>
          <w:noProof/>
        </w:rPr>
        <w:t>20</w:t>
      </w:r>
      <w:r w:rsidRPr="00BF005F">
        <w:rPr>
          <w:rFonts w:asciiTheme="minorHAnsi" w:hAnsiTheme="minorHAnsi"/>
          <w:i/>
          <w:noProof/>
        </w:rPr>
        <w:fldChar w:fldCharType="end"/>
      </w:r>
      <w:r w:rsidRPr="00BF005F">
        <w:rPr>
          <w:rFonts w:asciiTheme="minorHAnsi" w:hAnsiTheme="minorHAnsi"/>
          <w:i/>
          <w:noProof/>
        </w:rPr>
        <w:t>: Infrastruktura dhe Energjia</w:t>
      </w:r>
      <w:bookmarkEnd w:id="128"/>
    </w:p>
    <w:p w:rsidR="00990CDF" w:rsidRPr="00BF005F" w:rsidRDefault="00990CDF" w:rsidP="006F25E7">
      <w:pPr>
        <w:spacing w:line="276" w:lineRule="auto"/>
        <w:ind w:left="5760" w:firstLine="720"/>
        <w:jc w:val="center"/>
        <w:rPr>
          <w:rFonts w:asciiTheme="minorHAnsi" w:hAnsiTheme="minorHAnsi"/>
          <w:bCs/>
          <w:i/>
          <w:iCs/>
          <w:lang w:val="sq-AL"/>
        </w:rPr>
      </w:pPr>
      <w:r w:rsidRPr="00BF005F">
        <w:rPr>
          <w:rFonts w:asciiTheme="minorHAnsi" w:hAnsiTheme="minorHAnsi"/>
          <w:bCs/>
          <w:i/>
          <w:iCs/>
          <w:lang w:val="sq-AL"/>
        </w:rPr>
        <w:t>Në mijë lekë</w:t>
      </w:r>
    </w:p>
    <w:tbl>
      <w:tblPr>
        <w:tblStyle w:val="TableGridLight112"/>
        <w:tblW w:w="0" w:type="auto"/>
        <w:jc w:val="center"/>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Look w:val="01E0" w:firstRow="1" w:lastRow="1" w:firstColumn="1" w:lastColumn="1" w:noHBand="0" w:noVBand="0"/>
      </w:tblPr>
      <w:tblGrid>
        <w:gridCol w:w="504"/>
        <w:gridCol w:w="2970"/>
        <w:gridCol w:w="990"/>
        <w:gridCol w:w="1080"/>
        <w:gridCol w:w="990"/>
        <w:gridCol w:w="1112"/>
        <w:gridCol w:w="888"/>
        <w:gridCol w:w="961"/>
      </w:tblGrid>
      <w:tr w:rsidR="00990CDF" w:rsidRPr="00201FE1" w:rsidTr="00201FE1">
        <w:trPr>
          <w:trHeight w:val="382"/>
          <w:jc w:val="center"/>
        </w:trPr>
        <w:tc>
          <w:tcPr>
            <w:tcW w:w="504" w:type="dxa"/>
            <w:vMerge w:val="restart"/>
            <w:shd w:val="clear" w:color="auto" w:fill="4BACC6" w:themeFill="accent5"/>
          </w:tcPr>
          <w:p w:rsidR="00990CDF" w:rsidRPr="00201FE1" w:rsidRDefault="00990CDF" w:rsidP="006F25E7">
            <w:pPr>
              <w:spacing w:line="276" w:lineRule="auto"/>
              <w:jc w:val="center"/>
              <w:rPr>
                <w:rFonts w:asciiTheme="minorHAnsi" w:hAnsiTheme="minorHAnsi"/>
                <w:b/>
                <w:sz w:val="18"/>
                <w:lang w:val="sq-AL"/>
              </w:rPr>
            </w:pPr>
          </w:p>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NR</w:t>
            </w:r>
          </w:p>
        </w:tc>
        <w:tc>
          <w:tcPr>
            <w:tcW w:w="2970" w:type="dxa"/>
            <w:vMerge w:val="restart"/>
            <w:shd w:val="clear" w:color="auto" w:fill="4BACC6" w:themeFill="accent5"/>
          </w:tcPr>
          <w:p w:rsidR="00990CDF" w:rsidRPr="00201FE1" w:rsidRDefault="00990CDF" w:rsidP="006F25E7">
            <w:pPr>
              <w:spacing w:line="276" w:lineRule="auto"/>
              <w:jc w:val="center"/>
              <w:rPr>
                <w:rFonts w:asciiTheme="minorHAnsi" w:hAnsiTheme="minorHAnsi"/>
                <w:b/>
                <w:sz w:val="18"/>
                <w:lang w:val="sq-AL"/>
              </w:rPr>
            </w:pPr>
          </w:p>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Emërtimi i Programit</w:t>
            </w:r>
          </w:p>
        </w:tc>
        <w:tc>
          <w:tcPr>
            <w:tcW w:w="2070" w:type="dxa"/>
            <w:gridSpan w:val="2"/>
            <w:tcBorders>
              <w:bottom w:val="nil"/>
            </w:tcBorders>
            <w:shd w:val="clear" w:color="auto" w:fill="4BACC6" w:themeFill="accent5"/>
          </w:tcPr>
          <w:p w:rsidR="00990CDF" w:rsidRPr="00201FE1" w:rsidRDefault="00990CDF" w:rsidP="006F25E7">
            <w:pPr>
              <w:spacing w:line="276" w:lineRule="auto"/>
              <w:ind w:left="80"/>
              <w:jc w:val="center"/>
              <w:rPr>
                <w:rFonts w:asciiTheme="minorHAnsi" w:hAnsiTheme="minorHAnsi"/>
                <w:b/>
                <w:sz w:val="18"/>
                <w:lang w:val="sq-AL"/>
              </w:rPr>
            </w:pPr>
            <w:r w:rsidRPr="00201FE1">
              <w:rPr>
                <w:rFonts w:asciiTheme="minorHAnsi" w:hAnsiTheme="minorHAnsi"/>
                <w:b/>
                <w:sz w:val="18"/>
                <w:lang w:val="sq-AL"/>
              </w:rPr>
              <w:t>Plani 2021</w:t>
            </w:r>
          </w:p>
        </w:tc>
        <w:tc>
          <w:tcPr>
            <w:tcW w:w="2102" w:type="dxa"/>
            <w:gridSpan w:val="2"/>
            <w:shd w:val="clear" w:color="auto" w:fill="4BACC6" w:themeFill="accent5"/>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Fakti 4-mujori 2021</w:t>
            </w:r>
          </w:p>
        </w:tc>
        <w:tc>
          <w:tcPr>
            <w:tcW w:w="1849" w:type="dxa"/>
            <w:gridSpan w:val="2"/>
            <w:shd w:val="clear" w:color="auto" w:fill="4BACC6" w:themeFill="accent5"/>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bCs/>
                <w:sz w:val="18"/>
                <w:lang w:val="sq-AL"/>
              </w:rPr>
              <w:t>Përqindja  e realizimit</w:t>
            </w:r>
          </w:p>
        </w:tc>
      </w:tr>
      <w:tr w:rsidR="00990CDF" w:rsidRPr="00201FE1" w:rsidTr="00201FE1">
        <w:trPr>
          <w:trHeight w:val="304"/>
          <w:jc w:val="center"/>
        </w:trPr>
        <w:tc>
          <w:tcPr>
            <w:tcW w:w="504" w:type="dxa"/>
            <w:vMerge/>
            <w:shd w:val="clear" w:color="auto" w:fill="4BACC6" w:themeFill="accent5"/>
          </w:tcPr>
          <w:p w:rsidR="00990CDF" w:rsidRPr="00201FE1" w:rsidRDefault="00990CDF" w:rsidP="006F25E7">
            <w:pPr>
              <w:spacing w:line="276" w:lineRule="auto"/>
              <w:jc w:val="center"/>
              <w:rPr>
                <w:rFonts w:asciiTheme="minorHAnsi" w:hAnsiTheme="minorHAnsi"/>
                <w:b/>
                <w:sz w:val="18"/>
                <w:lang w:val="sq-AL"/>
              </w:rPr>
            </w:pPr>
          </w:p>
        </w:tc>
        <w:tc>
          <w:tcPr>
            <w:tcW w:w="2970" w:type="dxa"/>
            <w:vMerge/>
            <w:shd w:val="clear" w:color="auto" w:fill="4BACC6" w:themeFill="accent5"/>
          </w:tcPr>
          <w:p w:rsidR="00990CDF" w:rsidRPr="00201FE1" w:rsidRDefault="00990CDF" w:rsidP="006F25E7">
            <w:pPr>
              <w:spacing w:line="276" w:lineRule="auto"/>
              <w:jc w:val="center"/>
              <w:rPr>
                <w:rFonts w:asciiTheme="minorHAnsi" w:hAnsiTheme="minorHAnsi"/>
                <w:b/>
                <w:sz w:val="18"/>
                <w:lang w:val="sq-AL"/>
              </w:rPr>
            </w:pPr>
          </w:p>
        </w:tc>
        <w:tc>
          <w:tcPr>
            <w:tcW w:w="990" w:type="dxa"/>
            <w:shd w:val="clear" w:color="auto" w:fill="4BACC6" w:themeFill="accent5"/>
          </w:tcPr>
          <w:p w:rsidR="00990CDF" w:rsidRPr="00201FE1" w:rsidRDefault="00990CDF" w:rsidP="006F25E7">
            <w:pPr>
              <w:spacing w:line="276" w:lineRule="auto"/>
              <w:ind w:left="80"/>
              <w:jc w:val="center"/>
              <w:rPr>
                <w:rFonts w:asciiTheme="minorHAnsi" w:hAnsiTheme="minorHAnsi"/>
                <w:b/>
                <w:sz w:val="18"/>
                <w:lang w:val="sq-AL"/>
              </w:rPr>
            </w:pPr>
            <w:r w:rsidRPr="00201FE1">
              <w:rPr>
                <w:rFonts w:asciiTheme="minorHAnsi" w:hAnsiTheme="minorHAnsi"/>
                <w:b/>
                <w:sz w:val="18"/>
                <w:lang w:val="sq-AL"/>
              </w:rPr>
              <w:t>Korrente</w:t>
            </w:r>
          </w:p>
        </w:tc>
        <w:tc>
          <w:tcPr>
            <w:tcW w:w="1080" w:type="dxa"/>
            <w:shd w:val="clear" w:color="auto" w:fill="4BACC6" w:themeFill="accent5"/>
          </w:tcPr>
          <w:p w:rsidR="00990CDF" w:rsidRPr="00201FE1" w:rsidRDefault="00990CDF" w:rsidP="006F25E7">
            <w:pPr>
              <w:spacing w:line="276" w:lineRule="auto"/>
              <w:ind w:left="80"/>
              <w:jc w:val="center"/>
              <w:rPr>
                <w:rFonts w:asciiTheme="minorHAnsi" w:hAnsiTheme="minorHAnsi"/>
                <w:b/>
                <w:sz w:val="18"/>
                <w:lang w:val="sq-AL"/>
              </w:rPr>
            </w:pPr>
            <w:r w:rsidRPr="00201FE1">
              <w:rPr>
                <w:rFonts w:asciiTheme="minorHAnsi" w:hAnsiTheme="minorHAnsi"/>
                <w:b/>
                <w:sz w:val="18"/>
                <w:lang w:val="sq-AL"/>
              </w:rPr>
              <w:t>Investime</w:t>
            </w:r>
          </w:p>
        </w:tc>
        <w:tc>
          <w:tcPr>
            <w:tcW w:w="990" w:type="dxa"/>
            <w:shd w:val="clear" w:color="auto" w:fill="4BACC6" w:themeFill="accent5"/>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Korrente</w:t>
            </w:r>
          </w:p>
        </w:tc>
        <w:tc>
          <w:tcPr>
            <w:tcW w:w="1112" w:type="dxa"/>
            <w:shd w:val="clear" w:color="auto" w:fill="4BACC6" w:themeFill="accent5"/>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Investime</w:t>
            </w:r>
          </w:p>
        </w:tc>
        <w:tc>
          <w:tcPr>
            <w:tcW w:w="888" w:type="dxa"/>
            <w:shd w:val="clear" w:color="auto" w:fill="4BACC6" w:themeFill="accent5"/>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Korrente</w:t>
            </w:r>
          </w:p>
        </w:tc>
        <w:tc>
          <w:tcPr>
            <w:tcW w:w="961" w:type="dxa"/>
            <w:shd w:val="clear" w:color="auto" w:fill="4BACC6" w:themeFill="accent5"/>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Investime</w:t>
            </w:r>
          </w:p>
        </w:tc>
      </w:tr>
      <w:tr w:rsidR="00990CDF" w:rsidRPr="00201FE1" w:rsidTr="00201FE1">
        <w:trPr>
          <w:trHeight w:val="337"/>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Planifikim, Menaxhim, Administrim</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494,670</w:t>
            </w:r>
          </w:p>
        </w:tc>
        <w:tc>
          <w:tcPr>
            <w:tcW w:w="108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13,000</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126,553</w:t>
            </w:r>
          </w:p>
        </w:tc>
        <w:tc>
          <w:tcPr>
            <w:tcW w:w="1112"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0</w:t>
            </w:r>
          </w:p>
        </w:tc>
        <w:tc>
          <w:tcPr>
            <w:tcW w:w="888"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26</w:t>
            </w:r>
          </w:p>
        </w:tc>
        <w:tc>
          <w:tcPr>
            <w:tcW w:w="961"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0</w:t>
            </w:r>
          </w:p>
        </w:tc>
      </w:tr>
      <w:tr w:rsidR="00990CDF" w:rsidRPr="00201FE1" w:rsidTr="00201FE1">
        <w:trPr>
          <w:trHeight w:val="337"/>
          <w:jc w:val="center"/>
        </w:trPr>
        <w:tc>
          <w:tcPr>
            <w:tcW w:w="504" w:type="dxa"/>
          </w:tcPr>
          <w:p w:rsidR="00990CDF" w:rsidRPr="00201FE1" w:rsidRDefault="00990CDF" w:rsidP="006F25E7">
            <w:pPr>
              <w:spacing w:line="276" w:lineRule="auto"/>
              <w:jc w:val="center"/>
              <w:rPr>
                <w:rFonts w:asciiTheme="minorHAnsi" w:hAnsiTheme="minorHAnsi"/>
                <w:sz w:val="18"/>
                <w:lang w:val="sq-AL"/>
              </w:rPr>
            </w:pPr>
          </w:p>
        </w:tc>
        <w:tc>
          <w:tcPr>
            <w:tcW w:w="297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Financimi i huaj</w:t>
            </w:r>
          </w:p>
        </w:tc>
        <w:tc>
          <w:tcPr>
            <w:tcW w:w="990" w:type="dxa"/>
          </w:tcPr>
          <w:p w:rsidR="00990CDF" w:rsidRPr="00201FE1" w:rsidRDefault="00990CDF" w:rsidP="006F25E7">
            <w:pPr>
              <w:spacing w:line="276" w:lineRule="auto"/>
              <w:jc w:val="right"/>
              <w:rPr>
                <w:rFonts w:asciiTheme="minorHAnsi" w:hAnsiTheme="minorHAnsi"/>
                <w:sz w:val="18"/>
                <w:lang w:val="sq-AL"/>
              </w:rPr>
            </w:pPr>
          </w:p>
        </w:tc>
        <w:tc>
          <w:tcPr>
            <w:tcW w:w="1080" w:type="dxa"/>
          </w:tcPr>
          <w:p w:rsidR="00990CDF" w:rsidRPr="00201FE1" w:rsidRDefault="00990CDF" w:rsidP="006F25E7">
            <w:pPr>
              <w:spacing w:line="276" w:lineRule="auto"/>
              <w:jc w:val="right"/>
              <w:rPr>
                <w:rFonts w:asciiTheme="minorHAnsi" w:hAnsiTheme="minorHAnsi"/>
                <w:sz w:val="18"/>
                <w:lang w:val="sq-AL"/>
              </w:rPr>
            </w:pPr>
          </w:p>
        </w:tc>
        <w:tc>
          <w:tcPr>
            <w:tcW w:w="990" w:type="dxa"/>
          </w:tcPr>
          <w:p w:rsidR="00990CDF" w:rsidRPr="00201FE1" w:rsidRDefault="00990CDF" w:rsidP="006F25E7">
            <w:pPr>
              <w:spacing w:line="276" w:lineRule="auto"/>
              <w:jc w:val="right"/>
              <w:rPr>
                <w:rFonts w:asciiTheme="minorHAnsi" w:hAnsiTheme="minorHAnsi"/>
                <w:sz w:val="18"/>
                <w:lang w:val="sq-AL"/>
              </w:rPr>
            </w:pPr>
          </w:p>
        </w:tc>
        <w:tc>
          <w:tcPr>
            <w:tcW w:w="1112"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2,453</w:t>
            </w:r>
          </w:p>
        </w:tc>
        <w:tc>
          <w:tcPr>
            <w:tcW w:w="888" w:type="dxa"/>
          </w:tcPr>
          <w:p w:rsidR="00990CDF" w:rsidRPr="00201FE1" w:rsidRDefault="00990CDF" w:rsidP="006F25E7">
            <w:pPr>
              <w:spacing w:line="276" w:lineRule="auto"/>
              <w:jc w:val="center"/>
              <w:rPr>
                <w:rFonts w:asciiTheme="minorHAnsi" w:hAnsiTheme="minorHAnsi"/>
                <w:sz w:val="18"/>
                <w:lang w:val="sq-AL"/>
              </w:rPr>
            </w:pPr>
          </w:p>
        </w:tc>
        <w:tc>
          <w:tcPr>
            <w:tcW w:w="961"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w:t>
            </w:r>
          </w:p>
        </w:tc>
      </w:tr>
      <w:tr w:rsidR="00990CDF" w:rsidRPr="00201FE1" w:rsidTr="00201FE1">
        <w:trPr>
          <w:trHeight w:val="337"/>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Transporti Rrugor</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1,500,431</w:t>
            </w:r>
          </w:p>
        </w:tc>
        <w:tc>
          <w:tcPr>
            <w:tcW w:w="108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17,964,463</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549,160</w:t>
            </w:r>
          </w:p>
        </w:tc>
        <w:tc>
          <w:tcPr>
            <w:tcW w:w="1112"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4,365,276</w:t>
            </w:r>
          </w:p>
        </w:tc>
        <w:tc>
          <w:tcPr>
            <w:tcW w:w="888"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37</w:t>
            </w:r>
          </w:p>
        </w:tc>
        <w:tc>
          <w:tcPr>
            <w:tcW w:w="961"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24</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p>
        </w:tc>
        <w:tc>
          <w:tcPr>
            <w:tcW w:w="2970" w:type="dxa"/>
          </w:tcPr>
          <w:p w:rsidR="00990CDF" w:rsidRPr="00201FE1" w:rsidRDefault="00990CDF" w:rsidP="006F25E7">
            <w:pPr>
              <w:spacing w:line="276" w:lineRule="auto"/>
              <w:contextualSpacing/>
              <w:jc w:val="right"/>
              <w:rPr>
                <w:rFonts w:asciiTheme="minorHAnsi" w:hAnsiTheme="minorHAnsi"/>
                <w:sz w:val="18"/>
                <w:lang w:val="sq-AL"/>
              </w:rPr>
            </w:pPr>
            <w:r w:rsidRPr="00201FE1">
              <w:rPr>
                <w:rFonts w:asciiTheme="minorHAnsi" w:hAnsiTheme="minorHAnsi"/>
                <w:sz w:val="18"/>
                <w:lang w:val="sq-AL"/>
              </w:rPr>
              <w:t xml:space="preserve">                              Financimi i huaj</w:t>
            </w:r>
          </w:p>
        </w:tc>
        <w:tc>
          <w:tcPr>
            <w:tcW w:w="990" w:type="dxa"/>
          </w:tcPr>
          <w:p w:rsidR="00990CDF" w:rsidRPr="00201FE1" w:rsidRDefault="00990CDF" w:rsidP="006F25E7">
            <w:pPr>
              <w:spacing w:line="276" w:lineRule="auto"/>
              <w:jc w:val="right"/>
              <w:rPr>
                <w:rFonts w:asciiTheme="minorHAnsi" w:hAnsiTheme="minorHAnsi"/>
                <w:sz w:val="18"/>
                <w:lang w:val="sq-AL"/>
              </w:rPr>
            </w:pP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6,908,132</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1,573,765</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23</w:t>
            </w:r>
          </w:p>
        </w:tc>
      </w:tr>
      <w:tr w:rsidR="00990CDF" w:rsidRPr="00201FE1" w:rsidTr="00201FE1">
        <w:trPr>
          <w:trHeight w:val="337"/>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3.</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Mbështetje për Energjinë</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106,461</w:t>
            </w: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250,000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5,883</w:t>
            </w: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23,381</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6</w:t>
            </w: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9</w:t>
            </w:r>
          </w:p>
        </w:tc>
      </w:tr>
      <w:tr w:rsidR="00990CDF" w:rsidRPr="00201FE1" w:rsidTr="00201FE1">
        <w:trPr>
          <w:trHeight w:val="245"/>
          <w:jc w:val="center"/>
        </w:trPr>
        <w:tc>
          <w:tcPr>
            <w:tcW w:w="504" w:type="dxa"/>
          </w:tcPr>
          <w:p w:rsidR="00990CDF" w:rsidRPr="00201FE1" w:rsidRDefault="00990CDF" w:rsidP="006F25E7">
            <w:pPr>
              <w:spacing w:line="276" w:lineRule="auto"/>
              <w:jc w:val="center"/>
              <w:rPr>
                <w:rFonts w:asciiTheme="minorHAnsi" w:hAnsiTheme="minorHAnsi"/>
                <w:sz w:val="18"/>
                <w:lang w:val="sq-AL"/>
              </w:rPr>
            </w:pPr>
          </w:p>
        </w:tc>
        <w:tc>
          <w:tcPr>
            <w:tcW w:w="297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 xml:space="preserve">                              Financimi i huaj</w:t>
            </w:r>
          </w:p>
        </w:tc>
        <w:tc>
          <w:tcPr>
            <w:tcW w:w="990" w:type="dxa"/>
          </w:tcPr>
          <w:p w:rsidR="00990CDF" w:rsidRPr="00201FE1" w:rsidRDefault="00990CDF" w:rsidP="006F25E7">
            <w:pPr>
              <w:spacing w:line="276" w:lineRule="auto"/>
              <w:jc w:val="right"/>
              <w:rPr>
                <w:rFonts w:asciiTheme="minorHAnsi" w:hAnsiTheme="minorHAnsi"/>
                <w:sz w:val="18"/>
                <w:lang w:val="sq-AL"/>
              </w:rPr>
            </w:pP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2,890,000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714,539</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25</w:t>
            </w:r>
          </w:p>
        </w:tc>
      </w:tr>
      <w:tr w:rsidR="00990CDF" w:rsidRPr="00201FE1" w:rsidTr="00201FE1">
        <w:trPr>
          <w:trHeight w:val="345"/>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4.</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Furnizimi me ujë dhe Kanalizime</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470,214</w:t>
            </w: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6,508,016</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19,035</w:t>
            </w: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1,535,852</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4</w:t>
            </w: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24</w:t>
            </w:r>
          </w:p>
        </w:tc>
      </w:tr>
      <w:tr w:rsidR="00990CDF" w:rsidRPr="00201FE1" w:rsidTr="00201FE1">
        <w:trPr>
          <w:trHeight w:val="190"/>
          <w:jc w:val="center"/>
        </w:trPr>
        <w:tc>
          <w:tcPr>
            <w:tcW w:w="504" w:type="dxa"/>
          </w:tcPr>
          <w:p w:rsidR="00990CDF" w:rsidRPr="00201FE1" w:rsidRDefault="00990CDF" w:rsidP="006F25E7">
            <w:pPr>
              <w:spacing w:line="276" w:lineRule="auto"/>
              <w:jc w:val="center"/>
              <w:rPr>
                <w:rFonts w:asciiTheme="minorHAnsi" w:hAnsiTheme="minorHAnsi"/>
                <w:b/>
                <w:sz w:val="18"/>
                <w:lang w:val="sq-AL"/>
              </w:rPr>
            </w:pPr>
          </w:p>
        </w:tc>
        <w:tc>
          <w:tcPr>
            <w:tcW w:w="2970" w:type="dxa"/>
          </w:tcPr>
          <w:p w:rsidR="00990CDF" w:rsidRPr="00201FE1" w:rsidRDefault="00990CDF" w:rsidP="006F25E7">
            <w:pPr>
              <w:spacing w:line="276" w:lineRule="auto"/>
              <w:jc w:val="right"/>
              <w:rPr>
                <w:rFonts w:asciiTheme="minorHAnsi" w:hAnsiTheme="minorHAnsi"/>
                <w:b/>
                <w:sz w:val="18"/>
                <w:lang w:val="sq-AL"/>
              </w:rPr>
            </w:pPr>
            <w:r w:rsidRPr="00201FE1">
              <w:rPr>
                <w:rFonts w:asciiTheme="minorHAnsi" w:hAnsiTheme="minorHAnsi"/>
                <w:sz w:val="18"/>
                <w:lang w:val="sq-AL"/>
              </w:rPr>
              <w:t xml:space="preserve">                               Financimi i huaj</w:t>
            </w:r>
          </w:p>
        </w:tc>
        <w:tc>
          <w:tcPr>
            <w:tcW w:w="990" w:type="dxa"/>
          </w:tcPr>
          <w:p w:rsidR="00990CDF" w:rsidRPr="00201FE1" w:rsidRDefault="00990CDF" w:rsidP="006F25E7">
            <w:pPr>
              <w:spacing w:line="276" w:lineRule="auto"/>
              <w:jc w:val="right"/>
              <w:rPr>
                <w:rFonts w:asciiTheme="minorHAnsi" w:hAnsiTheme="minorHAnsi"/>
                <w:b/>
                <w:sz w:val="18"/>
                <w:lang w:val="sq-AL"/>
              </w:rPr>
            </w:pP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5,731,495</w:t>
            </w:r>
          </w:p>
        </w:tc>
        <w:tc>
          <w:tcPr>
            <w:tcW w:w="990" w:type="dxa"/>
            <w:shd w:val="clear" w:color="auto" w:fill="auto"/>
          </w:tcPr>
          <w:p w:rsidR="00990CDF" w:rsidRPr="00201FE1" w:rsidRDefault="00990CDF" w:rsidP="006F25E7">
            <w:pPr>
              <w:spacing w:line="276" w:lineRule="auto"/>
              <w:jc w:val="right"/>
              <w:rPr>
                <w:rFonts w:asciiTheme="minorHAnsi" w:hAnsiTheme="minorHAnsi"/>
                <w:b/>
                <w:sz w:val="18"/>
                <w:lang w:val="sq-AL"/>
              </w:rPr>
            </w:pP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1,045,941</w:t>
            </w:r>
          </w:p>
        </w:tc>
        <w:tc>
          <w:tcPr>
            <w:tcW w:w="888" w:type="dxa"/>
            <w:shd w:val="clear" w:color="auto" w:fill="auto"/>
          </w:tcPr>
          <w:p w:rsidR="00990CDF" w:rsidRPr="00201FE1" w:rsidRDefault="00990CDF" w:rsidP="006F25E7">
            <w:pPr>
              <w:spacing w:line="276" w:lineRule="auto"/>
              <w:jc w:val="center"/>
              <w:rPr>
                <w:rFonts w:asciiTheme="minorHAnsi" w:hAnsiTheme="minorHAnsi"/>
                <w:b/>
                <w:sz w:val="18"/>
                <w:lang w:val="sq-AL"/>
              </w:rPr>
            </w:pP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18</w:t>
            </w:r>
          </w:p>
        </w:tc>
      </w:tr>
      <w:tr w:rsidR="00990CDF" w:rsidRPr="00201FE1" w:rsidTr="00201FE1">
        <w:trPr>
          <w:trHeight w:val="314"/>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5.</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Menaximi i Mbetjeve Urbane</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600,000</w:t>
            </w: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2,064,272</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512,855</w:t>
            </w: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905,715</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85</w:t>
            </w: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44</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p>
        </w:tc>
        <w:tc>
          <w:tcPr>
            <w:tcW w:w="297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 xml:space="preserve">                               Financimi i huaj</w:t>
            </w:r>
          </w:p>
        </w:tc>
        <w:tc>
          <w:tcPr>
            <w:tcW w:w="990" w:type="dxa"/>
          </w:tcPr>
          <w:p w:rsidR="00990CDF" w:rsidRPr="00201FE1" w:rsidRDefault="00990CDF" w:rsidP="006F25E7">
            <w:pPr>
              <w:spacing w:line="276" w:lineRule="auto"/>
              <w:jc w:val="right"/>
              <w:rPr>
                <w:rFonts w:asciiTheme="minorHAnsi" w:hAnsiTheme="minorHAnsi"/>
                <w:sz w:val="18"/>
                <w:lang w:val="sq-AL"/>
              </w:rPr>
            </w:pP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1,050,000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70,714</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7</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6.</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Transporti Hekurudhor</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422,117</w:t>
            </w: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300,000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137,091</w:t>
            </w: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6,763</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32</w:t>
            </w: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p>
        </w:tc>
        <w:tc>
          <w:tcPr>
            <w:tcW w:w="297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 xml:space="preserve">                               Financimi i huaj</w:t>
            </w:r>
          </w:p>
        </w:tc>
        <w:tc>
          <w:tcPr>
            <w:tcW w:w="990" w:type="dxa"/>
          </w:tcPr>
          <w:p w:rsidR="00990CDF" w:rsidRPr="00201FE1" w:rsidRDefault="00990CDF" w:rsidP="006F25E7">
            <w:pPr>
              <w:spacing w:line="276" w:lineRule="auto"/>
              <w:jc w:val="right"/>
              <w:rPr>
                <w:rFonts w:asciiTheme="minorHAnsi" w:hAnsiTheme="minorHAnsi"/>
                <w:sz w:val="18"/>
                <w:lang w:val="sq-AL"/>
              </w:rPr>
            </w:pP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1,400,000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0</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7.</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Transporti Detar</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105,078</w:t>
            </w: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50,000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27,956</w:t>
            </w: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35,502</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27</w:t>
            </w: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71</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8.</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Transporti Ajror</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18,300</w:t>
            </w: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122,000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2,520</w:t>
            </w: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23,387</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14</w:t>
            </w: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19</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9.</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Planifikimi Urban</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29,226</w:t>
            </w: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104,000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7,888</w:t>
            </w: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27</w:t>
            </w: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0</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p>
        </w:tc>
        <w:tc>
          <w:tcPr>
            <w:tcW w:w="297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Financimi i huaj</w:t>
            </w:r>
          </w:p>
        </w:tc>
        <w:tc>
          <w:tcPr>
            <w:tcW w:w="990" w:type="dxa"/>
          </w:tcPr>
          <w:p w:rsidR="00990CDF" w:rsidRPr="00201FE1" w:rsidRDefault="00990CDF" w:rsidP="006F25E7">
            <w:pPr>
              <w:spacing w:line="276" w:lineRule="auto"/>
              <w:jc w:val="right"/>
              <w:rPr>
                <w:rFonts w:asciiTheme="minorHAnsi" w:hAnsiTheme="minorHAnsi"/>
                <w:sz w:val="18"/>
                <w:lang w:val="sq-AL"/>
              </w:rPr>
            </w:pP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220,000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0</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10.</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Mbështetje për Rrjetet e Komunikacionit</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w:t>
            </w: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w:t>
            </w: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w:t>
            </w: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p>
        </w:tc>
        <w:tc>
          <w:tcPr>
            <w:tcW w:w="297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Financimi i huaj</w:t>
            </w:r>
          </w:p>
        </w:tc>
        <w:tc>
          <w:tcPr>
            <w:tcW w:w="990" w:type="dxa"/>
          </w:tcPr>
          <w:p w:rsidR="00990CDF" w:rsidRPr="00201FE1" w:rsidRDefault="00990CDF" w:rsidP="006F25E7">
            <w:pPr>
              <w:spacing w:line="276" w:lineRule="auto"/>
              <w:jc w:val="right"/>
              <w:rPr>
                <w:rFonts w:asciiTheme="minorHAnsi" w:hAnsiTheme="minorHAnsi"/>
                <w:sz w:val="18"/>
                <w:lang w:val="sq-AL"/>
              </w:rPr>
            </w:pP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20,000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0</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11.</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Mbeshtetje per Burimet natyrore</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157,650</w:t>
            </w: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125,000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44,005</w:t>
            </w: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32,085</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28</w:t>
            </w: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26</w:t>
            </w:r>
          </w:p>
        </w:tc>
      </w:tr>
      <w:tr w:rsidR="00990CDF" w:rsidRPr="00201FE1" w:rsidTr="00201FE1">
        <w:trPr>
          <w:trHeight w:val="249"/>
          <w:jc w:val="center"/>
        </w:trPr>
        <w:tc>
          <w:tcPr>
            <w:tcW w:w="504" w:type="dxa"/>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12.</w:t>
            </w:r>
          </w:p>
        </w:tc>
        <w:tc>
          <w:tcPr>
            <w:tcW w:w="2970" w:type="dxa"/>
          </w:tcPr>
          <w:p w:rsidR="00990CDF" w:rsidRPr="00201FE1" w:rsidRDefault="00990CDF" w:rsidP="006F25E7">
            <w:pPr>
              <w:spacing w:line="276" w:lineRule="auto"/>
              <w:rPr>
                <w:rFonts w:asciiTheme="minorHAnsi" w:hAnsiTheme="minorHAnsi"/>
                <w:sz w:val="18"/>
                <w:lang w:val="sq-AL"/>
              </w:rPr>
            </w:pPr>
            <w:r w:rsidRPr="00201FE1">
              <w:rPr>
                <w:rFonts w:asciiTheme="minorHAnsi" w:hAnsiTheme="minorHAnsi"/>
                <w:sz w:val="18"/>
                <w:lang w:val="sq-AL"/>
              </w:rPr>
              <w:t>Mbeshtetje per Industrine</w:t>
            </w:r>
          </w:p>
        </w:tc>
        <w:tc>
          <w:tcPr>
            <w:tcW w:w="990" w:type="dxa"/>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321,854</w:t>
            </w:r>
          </w:p>
        </w:tc>
        <w:tc>
          <w:tcPr>
            <w:tcW w:w="108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85,000</w:t>
            </w:r>
          </w:p>
        </w:tc>
        <w:tc>
          <w:tcPr>
            <w:tcW w:w="990"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104,858</w:t>
            </w:r>
          </w:p>
        </w:tc>
        <w:tc>
          <w:tcPr>
            <w:tcW w:w="1112" w:type="dxa"/>
            <w:shd w:val="clear" w:color="auto" w:fill="auto"/>
          </w:tcPr>
          <w:p w:rsidR="00990CDF" w:rsidRPr="00201FE1" w:rsidRDefault="00990CDF" w:rsidP="006F25E7">
            <w:pPr>
              <w:spacing w:line="276" w:lineRule="auto"/>
              <w:jc w:val="right"/>
              <w:rPr>
                <w:rFonts w:asciiTheme="minorHAnsi" w:hAnsiTheme="minorHAnsi"/>
                <w:sz w:val="18"/>
                <w:lang w:val="sq-AL"/>
              </w:rPr>
            </w:pPr>
            <w:r w:rsidRPr="00201FE1">
              <w:rPr>
                <w:rFonts w:asciiTheme="minorHAnsi" w:hAnsiTheme="minorHAnsi"/>
                <w:sz w:val="18"/>
                <w:lang w:val="sq-AL"/>
              </w:rPr>
              <w:t>18,962</w:t>
            </w:r>
          </w:p>
        </w:tc>
        <w:tc>
          <w:tcPr>
            <w:tcW w:w="888"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33</w:t>
            </w:r>
          </w:p>
        </w:tc>
        <w:tc>
          <w:tcPr>
            <w:tcW w:w="961" w:type="dxa"/>
            <w:shd w:val="clear" w:color="auto" w:fill="auto"/>
          </w:tcPr>
          <w:p w:rsidR="00990CDF" w:rsidRPr="00201FE1" w:rsidRDefault="00990CDF" w:rsidP="006F25E7">
            <w:pPr>
              <w:spacing w:line="276" w:lineRule="auto"/>
              <w:jc w:val="center"/>
              <w:rPr>
                <w:rFonts w:asciiTheme="minorHAnsi" w:hAnsiTheme="minorHAnsi"/>
                <w:sz w:val="18"/>
                <w:lang w:val="sq-AL"/>
              </w:rPr>
            </w:pPr>
            <w:r w:rsidRPr="00201FE1">
              <w:rPr>
                <w:rFonts w:asciiTheme="minorHAnsi" w:hAnsiTheme="minorHAnsi"/>
                <w:sz w:val="18"/>
                <w:lang w:val="sq-AL"/>
              </w:rPr>
              <w:t>22</w:t>
            </w:r>
          </w:p>
        </w:tc>
      </w:tr>
      <w:tr w:rsidR="00990CDF" w:rsidRPr="00201FE1" w:rsidTr="00201FE1">
        <w:trPr>
          <w:trHeight w:val="249"/>
          <w:jc w:val="center"/>
        </w:trPr>
        <w:tc>
          <w:tcPr>
            <w:tcW w:w="3474" w:type="dxa"/>
            <w:gridSpan w:val="2"/>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Totali</w:t>
            </w:r>
          </w:p>
        </w:tc>
        <w:tc>
          <w:tcPr>
            <w:tcW w:w="990" w:type="dxa"/>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4,226,000</w:t>
            </w:r>
          </w:p>
        </w:tc>
        <w:tc>
          <w:tcPr>
            <w:tcW w:w="1080" w:type="dxa"/>
            <w:shd w:val="clear" w:color="auto" w:fill="auto"/>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45,805,378</w:t>
            </w:r>
          </w:p>
        </w:tc>
        <w:tc>
          <w:tcPr>
            <w:tcW w:w="990" w:type="dxa"/>
            <w:shd w:val="clear" w:color="auto" w:fill="auto"/>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1,537,806</w:t>
            </w:r>
          </w:p>
        </w:tc>
        <w:tc>
          <w:tcPr>
            <w:tcW w:w="1112" w:type="dxa"/>
            <w:shd w:val="clear" w:color="auto" w:fill="auto"/>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10,354,333</w:t>
            </w:r>
          </w:p>
        </w:tc>
        <w:tc>
          <w:tcPr>
            <w:tcW w:w="888" w:type="dxa"/>
            <w:shd w:val="clear" w:color="auto" w:fill="auto"/>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36</w:t>
            </w:r>
          </w:p>
        </w:tc>
        <w:tc>
          <w:tcPr>
            <w:tcW w:w="961" w:type="dxa"/>
            <w:shd w:val="clear" w:color="auto" w:fill="auto"/>
          </w:tcPr>
          <w:p w:rsidR="00990CDF" w:rsidRPr="00201FE1" w:rsidRDefault="00990CDF" w:rsidP="006F25E7">
            <w:pPr>
              <w:spacing w:line="276" w:lineRule="auto"/>
              <w:jc w:val="center"/>
              <w:rPr>
                <w:rFonts w:asciiTheme="minorHAnsi" w:hAnsiTheme="minorHAnsi"/>
                <w:b/>
                <w:sz w:val="18"/>
                <w:lang w:val="sq-AL"/>
              </w:rPr>
            </w:pPr>
            <w:r w:rsidRPr="00201FE1">
              <w:rPr>
                <w:rFonts w:asciiTheme="minorHAnsi" w:hAnsiTheme="minorHAnsi"/>
                <w:b/>
                <w:sz w:val="18"/>
                <w:lang w:val="sq-AL"/>
              </w:rPr>
              <w:t>23</w:t>
            </w:r>
          </w:p>
        </w:tc>
      </w:tr>
    </w:tbl>
    <w:p w:rsidR="00990CDF" w:rsidRPr="00BF005F" w:rsidRDefault="00990CDF" w:rsidP="006F25E7">
      <w:pPr>
        <w:spacing w:line="276" w:lineRule="auto"/>
        <w:jc w:val="both"/>
        <w:rPr>
          <w:rFonts w:asciiTheme="minorHAnsi" w:eastAsia="MS Mincho" w:hAnsiTheme="minorHAnsi"/>
          <w:b/>
          <w:lang w:val="sq-AL"/>
        </w:rPr>
      </w:pPr>
    </w:p>
    <w:p w:rsidR="00990CDF" w:rsidRPr="00BF005F" w:rsidRDefault="00990CDF" w:rsidP="001F113C">
      <w:pPr>
        <w:spacing w:line="276" w:lineRule="auto"/>
        <w:contextualSpacing/>
        <w:jc w:val="both"/>
        <w:rPr>
          <w:rFonts w:asciiTheme="minorHAnsi" w:hAnsiTheme="minorHAnsi"/>
          <w:lang w:val="sq-AL"/>
        </w:rPr>
      </w:pPr>
      <w:r w:rsidRPr="00BF005F">
        <w:rPr>
          <w:rFonts w:asciiTheme="minorHAnsi" w:hAnsiTheme="minorHAnsi"/>
          <w:lang w:val="sq-AL"/>
        </w:rPr>
        <w:t>Për programin</w:t>
      </w:r>
      <w:r w:rsidRPr="00BF005F">
        <w:rPr>
          <w:rFonts w:asciiTheme="minorHAnsi" w:hAnsiTheme="minorHAnsi"/>
          <w:b/>
          <w:lang w:val="sq-AL"/>
        </w:rPr>
        <w:t xml:space="preserve"> “Transporti Rrugor</w:t>
      </w:r>
      <w:r w:rsidRPr="00BF005F">
        <w:rPr>
          <w:rFonts w:asciiTheme="minorHAnsi" w:hAnsiTheme="minorHAnsi"/>
          <w:lang w:val="sq-AL"/>
        </w:rPr>
        <w:t>” gjatë 4 mujorit të parë të vitit 2021 janë realizuar fondet në masën 25% kundrejt buxhetit të rrishikuar, duke u realizuar kështu edhe qëllimi i këtij programi, i cili është “</w:t>
      </w:r>
      <w:r w:rsidRPr="00BF005F">
        <w:rPr>
          <w:rFonts w:asciiTheme="minorHAnsi" w:hAnsiTheme="minorHAnsi"/>
          <w:i/>
          <w:lang w:val="sq-AL"/>
        </w:rPr>
        <w:t xml:space="preserve">Forcimi dhe integrimi me rrjetin rajonal dhe TEN-T. Dyfishimin e numrit të lidhjeve ndërkombëtare tokësore me Kosovën, Maqedoninë, Greqinë dhe Malin e Zi, që do të dyfishonte transportin ndërkombëtar të udhëtarëve dhe të mallrave. </w:t>
      </w:r>
      <w:r w:rsidRPr="00BF005F">
        <w:rPr>
          <w:rFonts w:asciiTheme="minorHAnsi" w:hAnsiTheme="minorHAnsi"/>
          <w:lang w:val="sq-AL"/>
        </w:rPr>
        <w:t>Ky qëllim është realizuar nëpërmjet dy objektivave, specifikisht Ndërtim dhe rehabilitim sipas standarteve të projektimit, rrugë të rrjetit kombëtar dhe Sistemim asfaltim e riveshje për rrugë të rrjetit kombëtar. Realizimi i produkteve për secilen nga objektivat paraqitet si më poshtë:</w:t>
      </w:r>
    </w:p>
    <w:p w:rsidR="001F113C" w:rsidRPr="001F113C" w:rsidRDefault="001F113C" w:rsidP="006F25E7">
      <w:pPr>
        <w:spacing w:line="276" w:lineRule="auto"/>
        <w:contextualSpacing/>
        <w:jc w:val="both"/>
        <w:rPr>
          <w:rFonts w:asciiTheme="minorHAnsi" w:hAnsiTheme="minorHAnsi"/>
          <w:sz w:val="8"/>
          <w:szCs w:val="8"/>
          <w:lang w:val="sq-AL"/>
        </w:rPr>
      </w:pPr>
    </w:p>
    <w:p w:rsidR="00990CDF" w:rsidRPr="00BF005F" w:rsidRDefault="00990CDF" w:rsidP="006F25E7">
      <w:pPr>
        <w:spacing w:line="276" w:lineRule="auto"/>
        <w:contextualSpacing/>
        <w:jc w:val="both"/>
        <w:rPr>
          <w:rFonts w:asciiTheme="minorHAnsi" w:hAnsiTheme="minorHAnsi"/>
          <w:lang w:val="sq-AL"/>
        </w:rPr>
      </w:pPr>
      <w:r w:rsidRPr="00BF005F">
        <w:rPr>
          <w:rFonts w:asciiTheme="minorHAnsi" w:hAnsiTheme="minorHAnsi"/>
          <w:lang w:val="sq-AL"/>
        </w:rPr>
        <w:t xml:space="preserve">Për objektivin </w:t>
      </w:r>
      <w:r w:rsidRPr="00BF005F">
        <w:rPr>
          <w:rFonts w:asciiTheme="minorHAnsi" w:hAnsiTheme="minorHAnsi"/>
          <w:b/>
          <w:i/>
          <w:lang w:val="sq-AL"/>
        </w:rPr>
        <w:t>“</w:t>
      </w:r>
      <w:r w:rsidRPr="00BF005F">
        <w:rPr>
          <w:rFonts w:asciiTheme="minorHAnsi" w:hAnsiTheme="minorHAnsi"/>
          <w:b/>
          <w:lang w:val="sq-AL"/>
        </w:rPr>
        <w:t>Ndërtim dhe rehabilitim sipas standarteve të projektimit, rrugë të rrjetit kombëtar</w:t>
      </w:r>
      <w:r w:rsidRPr="00BF005F">
        <w:rPr>
          <w:rFonts w:asciiTheme="minorHAnsi" w:hAnsiTheme="minorHAnsi"/>
          <w:b/>
          <w:i/>
          <w:lang w:val="sq-AL"/>
        </w:rPr>
        <w:t>”</w:t>
      </w:r>
      <w:r w:rsidRPr="00BF005F">
        <w:rPr>
          <w:rFonts w:asciiTheme="minorHAnsi" w:hAnsiTheme="minorHAnsi"/>
          <w:lang w:val="sq-AL"/>
        </w:rPr>
        <w:t xml:space="preserve">, janë realizuar fondet në masën rreth 2.2 miliard lekë ose rreth 44% e fondeve vjetore të planifikuara. Disa nga produktet kryesore të realizuara përgjatë periudhës janë:   </w:t>
      </w:r>
    </w:p>
    <w:p w:rsidR="00990CDF" w:rsidRPr="00201FE1" w:rsidRDefault="00990CDF" w:rsidP="007F0B61">
      <w:pPr>
        <w:numPr>
          <w:ilvl w:val="0"/>
          <w:numId w:val="14"/>
        </w:numPr>
        <w:spacing w:line="276" w:lineRule="auto"/>
        <w:ind w:left="540"/>
        <w:contextualSpacing/>
        <w:jc w:val="both"/>
        <w:rPr>
          <w:rFonts w:asciiTheme="minorHAnsi" w:hAnsiTheme="minorHAnsi"/>
          <w:lang w:val="sq-AL"/>
        </w:rPr>
      </w:pPr>
      <w:r w:rsidRPr="00201FE1">
        <w:rPr>
          <w:rFonts w:asciiTheme="minorHAnsi" w:hAnsiTheme="minorHAnsi"/>
          <w:lang w:val="sq-AL"/>
        </w:rPr>
        <w:t>Tipi i rrugës A2’ 2x2 me trotuar dhe ndriçim, për të cilin fondet e planifikuara për vitin buxhetor paraqiten të realizuar në masën 326 milionë lekë. Disa nga objektet e rëndësishme, që janë në proces paraqiten si më poshtë:</w:t>
      </w:r>
    </w:p>
    <w:p w:rsidR="00990CDF" w:rsidRPr="00BF005F" w:rsidRDefault="00990CDF" w:rsidP="007F0B61">
      <w:pPr>
        <w:numPr>
          <w:ilvl w:val="1"/>
          <w:numId w:val="15"/>
        </w:numPr>
        <w:spacing w:line="276" w:lineRule="auto"/>
        <w:ind w:left="1170"/>
        <w:contextualSpacing/>
        <w:jc w:val="both"/>
        <w:rPr>
          <w:rFonts w:asciiTheme="minorHAnsi" w:hAnsiTheme="minorHAnsi"/>
          <w:i/>
          <w:lang w:val="sq-AL"/>
        </w:rPr>
      </w:pPr>
      <w:r w:rsidRPr="00BF005F">
        <w:rPr>
          <w:rFonts w:asciiTheme="minorHAnsi" w:hAnsiTheme="minorHAnsi"/>
          <w:i/>
          <w:lang w:val="sq-AL"/>
        </w:rPr>
        <w:t>"Përfundim i punimeve të mbetura dhe plotësimi me rrugë dytësore nyja e Milotit";</w:t>
      </w:r>
    </w:p>
    <w:p w:rsidR="00990CDF" w:rsidRPr="00BF005F" w:rsidRDefault="00990CDF" w:rsidP="007F0B61">
      <w:pPr>
        <w:numPr>
          <w:ilvl w:val="1"/>
          <w:numId w:val="15"/>
        </w:numPr>
        <w:spacing w:line="276" w:lineRule="auto"/>
        <w:ind w:left="1170"/>
        <w:contextualSpacing/>
        <w:jc w:val="both"/>
        <w:rPr>
          <w:rFonts w:asciiTheme="minorHAnsi" w:hAnsiTheme="minorHAnsi"/>
          <w:i/>
          <w:lang w:val="sq-AL"/>
        </w:rPr>
      </w:pPr>
      <w:r w:rsidRPr="00BF005F">
        <w:rPr>
          <w:rFonts w:asciiTheme="minorHAnsi" w:hAnsiTheme="minorHAnsi"/>
          <w:i/>
          <w:lang w:val="sq-AL"/>
        </w:rPr>
        <w:lastRenderedPageBreak/>
        <w:t>"Ndërtim i unazës së Jashtme Tiranë pjesa verilindore (seg Kth Saukut-Bregu i lumit) Loti 2, Loti 3";</w:t>
      </w:r>
    </w:p>
    <w:p w:rsidR="00990CDF" w:rsidRPr="00BF005F" w:rsidRDefault="00990CDF" w:rsidP="007F0B61">
      <w:pPr>
        <w:numPr>
          <w:ilvl w:val="1"/>
          <w:numId w:val="15"/>
        </w:numPr>
        <w:spacing w:line="276" w:lineRule="auto"/>
        <w:ind w:left="1170"/>
        <w:contextualSpacing/>
        <w:jc w:val="both"/>
        <w:rPr>
          <w:rFonts w:asciiTheme="minorHAnsi" w:hAnsiTheme="minorHAnsi"/>
          <w:i/>
          <w:lang w:val="sq-AL"/>
        </w:rPr>
      </w:pPr>
      <w:r w:rsidRPr="00BF005F">
        <w:rPr>
          <w:rFonts w:asciiTheme="minorHAnsi" w:hAnsiTheme="minorHAnsi"/>
          <w:i/>
          <w:lang w:val="sq-AL"/>
        </w:rPr>
        <w:t>"Rikualifikim i akseve rrugore Unaza Lindore Loti 2 , Loti 3";</w:t>
      </w:r>
    </w:p>
    <w:p w:rsidR="00990CDF" w:rsidRPr="00BF005F" w:rsidRDefault="00990CDF" w:rsidP="007F0B61">
      <w:pPr>
        <w:numPr>
          <w:ilvl w:val="1"/>
          <w:numId w:val="15"/>
        </w:numPr>
        <w:spacing w:line="276" w:lineRule="auto"/>
        <w:ind w:left="1170"/>
        <w:contextualSpacing/>
        <w:jc w:val="both"/>
        <w:rPr>
          <w:rFonts w:asciiTheme="minorHAnsi" w:hAnsiTheme="minorHAnsi"/>
          <w:i/>
          <w:lang w:val="sq-AL"/>
        </w:rPr>
      </w:pPr>
      <w:r w:rsidRPr="00BF005F">
        <w:rPr>
          <w:rFonts w:asciiTheme="minorHAnsi" w:hAnsiTheme="minorHAnsi"/>
          <w:i/>
          <w:lang w:val="sq-AL"/>
        </w:rPr>
        <w:t>"Ndërtim rruga By Pass Perëndimor Shkodër, Loti 1 + shtesë punimesh dhe Loti 2";</w:t>
      </w:r>
    </w:p>
    <w:p w:rsidR="001F113C" w:rsidRPr="001F113C" w:rsidRDefault="001F113C" w:rsidP="001F113C">
      <w:pPr>
        <w:spacing w:line="276" w:lineRule="auto"/>
        <w:ind w:left="540"/>
        <w:contextualSpacing/>
        <w:jc w:val="both"/>
        <w:rPr>
          <w:rFonts w:asciiTheme="minorHAnsi" w:hAnsiTheme="minorHAnsi"/>
          <w:sz w:val="8"/>
          <w:szCs w:val="8"/>
          <w:lang w:val="sq-AL"/>
        </w:rPr>
      </w:pPr>
    </w:p>
    <w:p w:rsidR="00990CDF" w:rsidRPr="00BF005F" w:rsidRDefault="00990CDF" w:rsidP="007F0B61">
      <w:pPr>
        <w:numPr>
          <w:ilvl w:val="0"/>
          <w:numId w:val="14"/>
        </w:numPr>
        <w:spacing w:line="276" w:lineRule="auto"/>
        <w:ind w:left="540"/>
        <w:contextualSpacing/>
        <w:jc w:val="both"/>
        <w:rPr>
          <w:rFonts w:asciiTheme="minorHAnsi" w:hAnsiTheme="minorHAnsi"/>
          <w:lang w:val="sq-AL"/>
        </w:rPr>
      </w:pPr>
      <w:r w:rsidRPr="00BF005F">
        <w:rPr>
          <w:rFonts w:asciiTheme="minorHAnsi" w:hAnsiTheme="minorHAnsi"/>
          <w:lang w:val="sq-AL"/>
        </w:rPr>
        <w:t>Tipi i rrugës A2 me katër korsi sipas standarteve të reja, për të cilin fondet e planifikuara për vitin buxhetor 2021 paraqiten të realizuar në masën 1 milionë lekë. Disa nga objektet e rëndësishme, që përfshihen në këtë grup rruge, paraqiten si më poshtë:</w:t>
      </w:r>
    </w:p>
    <w:p w:rsidR="00990CDF" w:rsidRPr="00BF005F" w:rsidRDefault="00990CDF" w:rsidP="007F0B61">
      <w:pPr>
        <w:numPr>
          <w:ilvl w:val="1"/>
          <w:numId w:val="15"/>
        </w:numPr>
        <w:spacing w:line="276" w:lineRule="auto"/>
        <w:ind w:left="1170"/>
        <w:contextualSpacing/>
        <w:jc w:val="both"/>
        <w:rPr>
          <w:rFonts w:asciiTheme="minorHAnsi" w:hAnsiTheme="minorHAnsi"/>
          <w:i/>
          <w:lang w:val="sq-AL"/>
        </w:rPr>
      </w:pPr>
      <w:r w:rsidRPr="00BF005F">
        <w:rPr>
          <w:rFonts w:asciiTheme="minorHAnsi" w:hAnsiTheme="minorHAnsi"/>
          <w:i/>
          <w:lang w:val="sq-AL"/>
        </w:rPr>
        <w:t>Rehabilitimi i segmentit rrugor mbikalimi pallati me shigjeta rrethrrotullimi Shqiponja, Loti 1, Loti 2, Loti 3;</w:t>
      </w:r>
    </w:p>
    <w:p w:rsidR="00990CDF" w:rsidRPr="00BF005F" w:rsidRDefault="00990CDF" w:rsidP="007F0B61">
      <w:pPr>
        <w:numPr>
          <w:ilvl w:val="1"/>
          <w:numId w:val="15"/>
        </w:numPr>
        <w:spacing w:line="276" w:lineRule="auto"/>
        <w:ind w:left="1170"/>
        <w:contextualSpacing/>
        <w:jc w:val="both"/>
        <w:rPr>
          <w:rFonts w:asciiTheme="minorHAnsi" w:hAnsiTheme="minorHAnsi"/>
          <w:i/>
          <w:lang w:val="sq-AL"/>
        </w:rPr>
      </w:pPr>
      <w:r w:rsidRPr="00BF005F">
        <w:rPr>
          <w:rFonts w:asciiTheme="minorHAnsi" w:hAnsiTheme="minorHAnsi"/>
          <w:i/>
          <w:lang w:val="sq-AL"/>
        </w:rPr>
        <w:t>Ndërtim rruga mbikalimi TEG dhe rrugët lidhëse të tij;</w:t>
      </w:r>
    </w:p>
    <w:p w:rsidR="00990CDF" w:rsidRPr="00BF005F" w:rsidRDefault="00990CDF" w:rsidP="007F0B61">
      <w:pPr>
        <w:numPr>
          <w:ilvl w:val="1"/>
          <w:numId w:val="15"/>
        </w:numPr>
        <w:spacing w:line="276" w:lineRule="auto"/>
        <w:ind w:left="1170"/>
        <w:contextualSpacing/>
        <w:jc w:val="both"/>
        <w:rPr>
          <w:rFonts w:asciiTheme="minorHAnsi" w:hAnsiTheme="minorHAnsi"/>
          <w:i/>
          <w:lang w:val="sq-AL"/>
        </w:rPr>
      </w:pPr>
      <w:r w:rsidRPr="00BF005F">
        <w:rPr>
          <w:rFonts w:asciiTheme="minorHAnsi" w:hAnsiTheme="minorHAnsi"/>
          <w:i/>
          <w:lang w:val="sq-AL"/>
        </w:rPr>
        <w:t>Studim projektim mbikalimi TEG</w:t>
      </w:r>
    </w:p>
    <w:p w:rsidR="00990CDF" w:rsidRPr="00BF005F" w:rsidRDefault="00990CDF" w:rsidP="007F0B61">
      <w:pPr>
        <w:numPr>
          <w:ilvl w:val="1"/>
          <w:numId w:val="15"/>
        </w:numPr>
        <w:spacing w:line="276" w:lineRule="auto"/>
        <w:ind w:left="1170"/>
        <w:contextualSpacing/>
        <w:jc w:val="both"/>
        <w:rPr>
          <w:rFonts w:asciiTheme="minorHAnsi" w:hAnsiTheme="minorHAnsi"/>
          <w:i/>
          <w:lang w:val="sq-AL"/>
        </w:rPr>
      </w:pPr>
      <w:r w:rsidRPr="00BF005F">
        <w:rPr>
          <w:rFonts w:asciiTheme="minorHAnsi" w:hAnsiTheme="minorHAnsi"/>
          <w:i/>
          <w:lang w:val="sq-AL"/>
        </w:rPr>
        <w:t>Studim-Projektim, rrishikimi i projektit për segmentin rrugor të vazhdimit të unazës së madhe Tiranë nga Sheshi Shqiponja – Bulevardi i ri</w:t>
      </w:r>
    </w:p>
    <w:p w:rsidR="001F113C" w:rsidRPr="001F113C" w:rsidRDefault="001F113C" w:rsidP="001F113C">
      <w:pPr>
        <w:spacing w:line="276" w:lineRule="auto"/>
        <w:ind w:left="540"/>
        <w:contextualSpacing/>
        <w:jc w:val="both"/>
        <w:rPr>
          <w:rFonts w:asciiTheme="minorHAnsi" w:hAnsiTheme="minorHAnsi"/>
          <w:sz w:val="8"/>
          <w:szCs w:val="8"/>
          <w:lang w:val="sq-AL"/>
        </w:rPr>
      </w:pPr>
    </w:p>
    <w:p w:rsidR="00990CDF" w:rsidRPr="00BF005F" w:rsidRDefault="00990CDF" w:rsidP="007F0B61">
      <w:pPr>
        <w:numPr>
          <w:ilvl w:val="0"/>
          <w:numId w:val="14"/>
        </w:numPr>
        <w:spacing w:line="276" w:lineRule="auto"/>
        <w:ind w:left="540"/>
        <w:contextualSpacing/>
        <w:jc w:val="both"/>
        <w:rPr>
          <w:rFonts w:asciiTheme="minorHAnsi" w:hAnsiTheme="minorHAnsi"/>
          <w:lang w:val="sq-AL"/>
        </w:rPr>
      </w:pPr>
      <w:r w:rsidRPr="00BF005F">
        <w:rPr>
          <w:rFonts w:asciiTheme="minorHAnsi" w:hAnsiTheme="minorHAnsi"/>
          <w:lang w:val="sq-AL"/>
        </w:rPr>
        <w:t>Rruga tip B1’ me dy korsi, për të cilën janë realizuar fondet në masën prej 534milionë lekë ose 30.5% ndaj totalit të planifikuar për vitin 2021.  Objekti, në të cilin punohet me ritme të parashikuara është:</w:t>
      </w:r>
    </w:p>
    <w:p w:rsidR="00990CDF" w:rsidRPr="00BF005F" w:rsidRDefault="00990CDF" w:rsidP="007F0B61">
      <w:pPr>
        <w:numPr>
          <w:ilvl w:val="1"/>
          <w:numId w:val="15"/>
        </w:numPr>
        <w:spacing w:line="276" w:lineRule="auto"/>
        <w:ind w:left="1170"/>
        <w:contextualSpacing/>
        <w:jc w:val="both"/>
        <w:rPr>
          <w:rFonts w:asciiTheme="minorHAnsi" w:hAnsiTheme="minorHAnsi"/>
          <w:i/>
          <w:lang w:val="sq-AL"/>
        </w:rPr>
      </w:pPr>
      <w:r w:rsidRPr="00BF005F">
        <w:rPr>
          <w:rFonts w:asciiTheme="minorHAnsi" w:hAnsiTheme="minorHAnsi"/>
          <w:i/>
          <w:lang w:val="sq-AL"/>
        </w:rPr>
        <w:t>"Ndërtim Rruga Kardhiq-Delvinë Loti 4, Loti 5, Loti 6"</w:t>
      </w:r>
    </w:p>
    <w:p w:rsidR="001F113C" w:rsidRPr="001F113C" w:rsidRDefault="001F113C" w:rsidP="001F113C">
      <w:pPr>
        <w:spacing w:line="276" w:lineRule="auto"/>
        <w:ind w:left="540"/>
        <w:contextualSpacing/>
        <w:jc w:val="both"/>
        <w:rPr>
          <w:rFonts w:asciiTheme="minorHAnsi" w:hAnsiTheme="minorHAnsi"/>
          <w:sz w:val="8"/>
          <w:szCs w:val="8"/>
          <w:lang w:val="sq-AL"/>
        </w:rPr>
      </w:pPr>
    </w:p>
    <w:p w:rsidR="00990CDF" w:rsidRPr="00BF005F" w:rsidRDefault="00990CDF" w:rsidP="007F0B61">
      <w:pPr>
        <w:numPr>
          <w:ilvl w:val="0"/>
          <w:numId w:val="14"/>
        </w:numPr>
        <w:spacing w:line="276" w:lineRule="auto"/>
        <w:ind w:left="540"/>
        <w:contextualSpacing/>
        <w:jc w:val="both"/>
        <w:rPr>
          <w:rFonts w:asciiTheme="minorHAnsi" w:hAnsiTheme="minorHAnsi"/>
          <w:lang w:val="sq-AL"/>
        </w:rPr>
      </w:pPr>
      <w:r w:rsidRPr="00BF005F">
        <w:rPr>
          <w:rFonts w:asciiTheme="minorHAnsi" w:hAnsiTheme="minorHAnsi"/>
          <w:lang w:val="sq-AL"/>
        </w:rPr>
        <w:t>Për rrugën tip C2 me dy korsi, janë realizuar fondet përgjatë 4 mujorit të parë të vitit 2021 në masën prej 426 milionë lekë ose 64% e fondeve të planifikuara. Disa nga objektet e rëndësishme, në të cilat punohet normalisht dhe që janë në proces janë:</w:t>
      </w:r>
    </w:p>
    <w:p w:rsidR="00990CDF" w:rsidRPr="00BF005F" w:rsidRDefault="00990CDF" w:rsidP="007F0B61">
      <w:pPr>
        <w:numPr>
          <w:ilvl w:val="1"/>
          <w:numId w:val="15"/>
        </w:numPr>
        <w:ind w:left="1170"/>
        <w:contextualSpacing/>
        <w:jc w:val="both"/>
        <w:rPr>
          <w:rFonts w:asciiTheme="minorHAnsi" w:hAnsiTheme="minorHAnsi"/>
          <w:i/>
          <w:lang w:val="sq-AL"/>
        </w:rPr>
      </w:pPr>
      <w:r w:rsidRPr="00BF005F">
        <w:rPr>
          <w:rFonts w:asciiTheme="minorHAnsi" w:hAnsiTheme="minorHAnsi"/>
          <w:i/>
          <w:lang w:val="sq-AL"/>
        </w:rPr>
        <w:t>Ndërtim By Pass Tepelenë Loti 1+shtesë punimesh;</w:t>
      </w:r>
    </w:p>
    <w:p w:rsidR="00990CDF" w:rsidRPr="00BF005F" w:rsidRDefault="00990CDF" w:rsidP="007F0B61">
      <w:pPr>
        <w:numPr>
          <w:ilvl w:val="1"/>
          <w:numId w:val="15"/>
        </w:numPr>
        <w:ind w:left="1170"/>
        <w:contextualSpacing/>
        <w:jc w:val="both"/>
        <w:rPr>
          <w:rFonts w:asciiTheme="minorHAnsi" w:hAnsiTheme="minorHAnsi"/>
          <w:i/>
          <w:lang w:val="sq-AL"/>
        </w:rPr>
      </w:pPr>
      <w:r w:rsidRPr="00BF005F">
        <w:rPr>
          <w:rFonts w:asciiTheme="minorHAnsi" w:hAnsiTheme="minorHAnsi"/>
          <w:i/>
          <w:lang w:val="sq-AL"/>
        </w:rPr>
        <w:t>Ndërtim rruga Korcë – Ersekë, Loti 2 (pjesa e parë);</w:t>
      </w:r>
    </w:p>
    <w:p w:rsidR="00990CDF" w:rsidRPr="00BF005F" w:rsidRDefault="00990CDF" w:rsidP="007F0B61">
      <w:pPr>
        <w:numPr>
          <w:ilvl w:val="1"/>
          <w:numId w:val="15"/>
        </w:numPr>
        <w:ind w:left="1170"/>
        <w:contextualSpacing/>
        <w:jc w:val="both"/>
        <w:rPr>
          <w:rFonts w:asciiTheme="minorHAnsi" w:hAnsiTheme="minorHAnsi"/>
          <w:i/>
          <w:lang w:val="sq-AL"/>
        </w:rPr>
      </w:pPr>
      <w:r w:rsidRPr="00BF005F">
        <w:rPr>
          <w:rFonts w:asciiTheme="minorHAnsi" w:hAnsiTheme="minorHAnsi"/>
          <w:i/>
          <w:lang w:val="sq-AL"/>
        </w:rPr>
        <w:t>Ndërtim rruga Palas – Dhërmi;</w:t>
      </w:r>
    </w:p>
    <w:p w:rsidR="00990CDF" w:rsidRPr="00BF005F" w:rsidRDefault="00990CDF" w:rsidP="007F0B61">
      <w:pPr>
        <w:numPr>
          <w:ilvl w:val="1"/>
          <w:numId w:val="15"/>
        </w:numPr>
        <w:ind w:left="1170"/>
        <w:contextualSpacing/>
        <w:jc w:val="both"/>
        <w:rPr>
          <w:rFonts w:asciiTheme="minorHAnsi" w:hAnsiTheme="minorHAnsi"/>
          <w:i/>
          <w:lang w:val="sq-AL"/>
        </w:rPr>
      </w:pPr>
      <w:r w:rsidRPr="00BF005F">
        <w:rPr>
          <w:rFonts w:asciiTheme="minorHAnsi" w:hAnsiTheme="minorHAnsi"/>
          <w:i/>
          <w:lang w:val="sq-AL"/>
        </w:rPr>
        <w:t>Rikonstruksion i rrugës Dukaj - Sinanaj, Tepelenë;</w:t>
      </w:r>
    </w:p>
    <w:p w:rsidR="00990CDF" w:rsidRPr="00BF005F" w:rsidRDefault="00990CDF" w:rsidP="007F0B61">
      <w:pPr>
        <w:numPr>
          <w:ilvl w:val="1"/>
          <w:numId w:val="15"/>
        </w:numPr>
        <w:ind w:left="1170"/>
        <w:contextualSpacing/>
        <w:jc w:val="both"/>
        <w:rPr>
          <w:rFonts w:asciiTheme="minorHAnsi" w:hAnsiTheme="minorHAnsi"/>
          <w:i/>
          <w:lang w:val="sq-AL"/>
        </w:rPr>
      </w:pPr>
      <w:r w:rsidRPr="00BF005F">
        <w:rPr>
          <w:rFonts w:asciiTheme="minorHAnsi" w:hAnsiTheme="minorHAnsi"/>
          <w:i/>
          <w:lang w:val="sq-AL"/>
        </w:rPr>
        <w:t>Ndërtim i rrugës, lidhja e Autostradës Milot - Morinë me Aeroportin e Kukësit;</w:t>
      </w:r>
    </w:p>
    <w:p w:rsidR="00990CDF" w:rsidRPr="00BF005F" w:rsidRDefault="00990CDF" w:rsidP="007F0B61">
      <w:pPr>
        <w:numPr>
          <w:ilvl w:val="1"/>
          <w:numId w:val="15"/>
        </w:numPr>
        <w:ind w:left="1170"/>
        <w:contextualSpacing/>
        <w:jc w:val="both"/>
        <w:rPr>
          <w:rFonts w:asciiTheme="minorHAnsi" w:hAnsiTheme="minorHAnsi"/>
          <w:i/>
          <w:lang w:val="sq-AL"/>
        </w:rPr>
      </w:pPr>
      <w:r w:rsidRPr="00BF005F">
        <w:rPr>
          <w:rFonts w:asciiTheme="minorHAnsi" w:hAnsiTheme="minorHAnsi"/>
          <w:i/>
          <w:lang w:val="sq-AL"/>
        </w:rPr>
        <w:t>Ndërtim mure mbajtës dhe pritës në segmentin rrugor Kuben – Vasije;</w:t>
      </w:r>
    </w:p>
    <w:p w:rsidR="00990CDF" w:rsidRPr="00BF005F" w:rsidRDefault="00990CDF" w:rsidP="007F0B61">
      <w:pPr>
        <w:numPr>
          <w:ilvl w:val="1"/>
          <w:numId w:val="15"/>
        </w:numPr>
        <w:ind w:left="1170"/>
        <w:contextualSpacing/>
        <w:jc w:val="both"/>
        <w:rPr>
          <w:rFonts w:asciiTheme="minorHAnsi" w:hAnsiTheme="minorHAnsi"/>
          <w:i/>
          <w:lang w:val="sq-AL"/>
        </w:rPr>
      </w:pPr>
      <w:r w:rsidRPr="00BF005F">
        <w:rPr>
          <w:rFonts w:asciiTheme="minorHAnsi" w:hAnsiTheme="minorHAnsi"/>
          <w:i/>
          <w:lang w:val="sq-AL"/>
        </w:rPr>
        <w:t>Stabilizim i rrëshqitjeve në segmentin rrugor Milot - Rrëshen, rruga e vjetër;</w:t>
      </w:r>
    </w:p>
    <w:p w:rsidR="00990CDF" w:rsidRPr="009E449E" w:rsidRDefault="00990CDF" w:rsidP="007F0B61">
      <w:pPr>
        <w:numPr>
          <w:ilvl w:val="1"/>
          <w:numId w:val="15"/>
        </w:numPr>
        <w:ind w:left="1170"/>
        <w:contextualSpacing/>
        <w:jc w:val="both"/>
        <w:rPr>
          <w:rFonts w:asciiTheme="minorHAnsi" w:hAnsiTheme="minorHAnsi"/>
          <w:i/>
          <w:lang w:val="sq-AL"/>
        </w:rPr>
      </w:pPr>
      <w:r w:rsidRPr="00BF005F">
        <w:rPr>
          <w:rFonts w:asciiTheme="minorHAnsi" w:hAnsiTheme="minorHAnsi"/>
          <w:i/>
          <w:lang w:val="sq-AL"/>
        </w:rPr>
        <w:t>Ndërtim  tombino dhe kanali në aksin rrugor Tiranë - Elbasan (aksi i vjetër) dhe ndërtim</w:t>
      </w:r>
      <w:r w:rsidR="009E449E" w:rsidRPr="009E449E">
        <w:rPr>
          <w:rFonts w:asciiTheme="minorHAnsi" w:hAnsiTheme="minorHAnsi"/>
          <w:i/>
          <w:lang w:val="sq-AL"/>
        </w:rPr>
        <w:t xml:space="preserve"> </w:t>
      </w:r>
      <w:r w:rsidR="009E449E" w:rsidRPr="00BF005F">
        <w:rPr>
          <w:rFonts w:asciiTheme="minorHAnsi" w:hAnsiTheme="minorHAnsi"/>
          <w:i/>
          <w:lang w:val="sq-AL"/>
        </w:rPr>
        <w:t>tombino në aksin rrugor Uzina traktori - Lanabregas</w:t>
      </w:r>
      <w:r w:rsidRPr="009E449E">
        <w:rPr>
          <w:rFonts w:asciiTheme="minorHAnsi" w:hAnsiTheme="minorHAnsi"/>
          <w:i/>
          <w:lang w:val="sq-AL"/>
        </w:rPr>
        <w:t>.</w:t>
      </w:r>
    </w:p>
    <w:p w:rsidR="00990CDF" w:rsidRPr="001F113C" w:rsidRDefault="00990CDF" w:rsidP="006F25E7">
      <w:pPr>
        <w:spacing w:line="276" w:lineRule="auto"/>
        <w:contextualSpacing/>
        <w:jc w:val="both"/>
        <w:rPr>
          <w:rFonts w:asciiTheme="minorHAnsi" w:hAnsiTheme="minorHAnsi"/>
          <w:sz w:val="8"/>
          <w:szCs w:val="8"/>
          <w:lang w:val="sq-AL"/>
        </w:rPr>
      </w:pPr>
    </w:p>
    <w:p w:rsidR="00990CDF" w:rsidRPr="00BF005F" w:rsidRDefault="00990CDF" w:rsidP="006F25E7">
      <w:pPr>
        <w:spacing w:line="276" w:lineRule="auto"/>
        <w:contextualSpacing/>
        <w:jc w:val="both"/>
        <w:rPr>
          <w:rFonts w:asciiTheme="minorHAnsi" w:hAnsiTheme="minorHAnsi"/>
          <w:b/>
          <w:lang w:val="sq-AL"/>
        </w:rPr>
      </w:pPr>
      <w:r w:rsidRPr="00BF005F">
        <w:rPr>
          <w:rFonts w:asciiTheme="minorHAnsi" w:hAnsiTheme="minorHAnsi"/>
          <w:lang w:val="sq-AL"/>
        </w:rPr>
        <w:t>Produkti “</w:t>
      </w:r>
      <w:r w:rsidRPr="00BF005F">
        <w:rPr>
          <w:rFonts w:asciiTheme="minorHAnsi" w:hAnsiTheme="minorHAnsi"/>
          <w:b/>
          <w:lang w:val="sq-AL"/>
        </w:rPr>
        <w:t>Sinjalistikë dhe siguri rrugore ”</w:t>
      </w:r>
      <w:r w:rsidRPr="00BF005F">
        <w:rPr>
          <w:rFonts w:asciiTheme="minorHAnsi" w:hAnsiTheme="minorHAnsi"/>
          <w:lang w:val="sq-AL"/>
        </w:rPr>
        <w:t>, janë realizuar fonde në masën 68 milionë lekë përgjatë 4 mujorit të parë të vitit 2021, apo 31% e fondeve vjetore të planifikuara.</w:t>
      </w:r>
    </w:p>
    <w:p w:rsidR="00990CDF" w:rsidRPr="001F113C" w:rsidRDefault="00990CDF" w:rsidP="006F25E7">
      <w:pPr>
        <w:spacing w:line="276" w:lineRule="auto"/>
        <w:contextualSpacing/>
        <w:jc w:val="both"/>
        <w:rPr>
          <w:rFonts w:asciiTheme="minorHAnsi" w:hAnsiTheme="minorHAnsi"/>
          <w:b/>
          <w:sz w:val="8"/>
          <w:szCs w:val="8"/>
          <w:lang w:val="sq-AL"/>
        </w:rPr>
      </w:pPr>
    </w:p>
    <w:p w:rsidR="00990CDF" w:rsidRPr="00BF005F" w:rsidRDefault="00990CDF" w:rsidP="006F25E7">
      <w:pPr>
        <w:spacing w:line="276" w:lineRule="auto"/>
        <w:contextualSpacing/>
        <w:jc w:val="both"/>
        <w:rPr>
          <w:rFonts w:asciiTheme="minorHAnsi" w:hAnsiTheme="minorHAnsi"/>
          <w:lang w:val="sq-AL"/>
        </w:rPr>
      </w:pPr>
      <w:r w:rsidRPr="00BF005F">
        <w:rPr>
          <w:rFonts w:asciiTheme="minorHAnsi" w:hAnsiTheme="minorHAnsi"/>
          <w:b/>
          <w:lang w:val="sq-AL"/>
        </w:rPr>
        <w:t>Për programin “Furnizimi me Ujë dhe Kanalizime</w:t>
      </w:r>
      <w:r w:rsidRPr="00BF005F">
        <w:rPr>
          <w:rFonts w:asciiTheme="minorHAnsi" w:hAnsiTheme="minorHAnsi"/>
          <w:lang w:val="sq-AL"/>
        </w:rPr>
        <w:t>” qëllimi është: “</w:t>
      </w:r>
      <w:r w:rsidRPr="00BF005F">
        <w:rPr>
          <w:rFonts w:asciiTheme="minorHAnsi" w:hAnsiTheme="minorHAnsi"/>
          <w:i/>
          <w:lang w:val="sq-AL"/>
        </w:rPr>
        <w:t>Shërbimi i furnizimit me ujë dhe kanalizime për të gjithë popullsinë me cilësi dhe sipas standarteve ndërkombëtare</w:t>
      </w:r>
      <w:r w:rsidRPr="00BF005F">
        <w:rPr>
          <w:rFonts w:asciiTheme="minorHAnsi" w:hAnsiTheme="minorHAnsi"/>
          <w:lang w:val="sq-AL"/>
        </w:rPr>
        <w:t>.” Përgjatë periudhës 4 mujore janë realizuar fonde në masën 21% si edhe produktet e paraqitur si më poshtë:</w:t>
      </w:r>
    </w:p>
    <w:p w:rsidR="00990CDF" w:rsidRPr="00BF005F" w:rsidRDefault="00990CDF" w:rsidP="007F0B61">
      <w:pPr>
        <w:numPr>
          <w:ilvl w:val="0"/>
          <w:numId w:val="16"/>
        </w:numPr>
        <w:spacing w:line="276" w:lineRule="auto"/>
        <w:contextualSpacing/>
        <w:jc w:val="both"/>
        <w:rPr>
          <w:rFonts w:asciiTheme="minorHAnsi" w:hAnsiTheme="minorHAnsi"/>
          <w:lang w:val="sq-AL"/>
        </w:rPr>
      </w:pPr>
      <w:r w:rsidRPr="00BF005F">
        <w:rPr>
          <w:rFonts w:asciiTheme="minorHAnsi" w:hAnsiTheme="minorHAnsi"/>
          <w:lang w:val="sq-AL"/>
        </w:rPr>
        <w:t>Realizimi i 82,321 ml linja të reja ujësjellësi për furnizimin me ujë, shoqëruar me një kosto prej 754 milionë lekë.</w:t>
      </w:r>
    </w:p>
    <w:p w:rsidR="00990CDF" w:rsidRPr="00BF005F" w:rsidRDefault="00990CDF" w:rsidP="007F0B61">
      <w:pPr>
        <w:numPr>
          <w:ilvl w:val="0"/>
          <w:numId w:val="16"/>
        </w:numPr>
        <w:spacing w:line="276" w:lineRule="auto"/>
        <w:contextualSpacing/>
        <w:jc w:val="both"/>
        <w:rPr>
          <w:rFonts w:asciiTheme="minorHAnsi" w:hAnsiTheme="minorHAnsi"/>
          <w:lang w:val="sq-AL"/>
        </w:rPr>
      </w:pPr>
      <w:r w:rsidRPr="00BF005F">
        <w:rPr>
          <w:rFonts w:asciiTheme="minorHAnsi" w:hAnsiTheme="minorHAnsi"/>
          <w:lang w:val="sq-AL"/>
        </w:rPr>
        <w:t>U realizua rreth 46,678 ml ose 35% e fondeve të planifikuara për produktin “Rikonstruksion Ujësjellësi”.</w:t>
      </w:r>
    </w:p>
    <w:p w:rsidR="00990CDF" w:rsidRPr="00BF005F" w:rsidRDefault="00990CDF" w:rsidP="007F0B61">
      <w:pPr>
        <w:numPr>
          <w:ilvl w:val="0"/>
          <w:numId w:val="16"/>
        </w:numPr>
        <w:spacing w:line="276" w:lineRule="auto"/>
        <w:contextualSpacing/>
        <w:jc w:val="both"/>
        <w:rPr>
          <w:rFonts w:asciiTheme="minorHAnsi" w:hAnsiTheme="minorHAnsi"/>
          <w:lang w:val="sq-AL"/>
        </w:rPr>
      </w:pPr>
      <w:r w:rsidRPr="00BF005F">
        <w:rPr>
          <w:rFonts w:asciiTheme="minorHAnsi" w:hAnsiTheme="minorHAnsi"/>
          <w:lang w:val="sq-AL"/>
        </w:rPr>
        <w:t>U realizua rreth 29% e fondeve të planifikuara për produktin “Kanalizimi i Ri”.</w:t>
      </w:r>
    </w:p>
    <w:p w:rsidR="00990CDF" w:rsidRPr="00BF005F" w:rsidRDefault="00990CDF" w:rsidP="007F0B61">
      <w:pPr>
        <w:numPr>
          <w:ilvl w:val="0"/>
          <w:numId w:val="16"/>
        </w:numPr>
        <w:spacing w:line="276" w:lineRule="auto"/>
        <w:contextualSpacing/>
        <w:jc w:val="both"/>
        <w:rPr>
          <w:rFonts w:asciiTheme="minorHAnsi" w:hAnsiTheme="minorHAnsi"/>
          <w:lang w:val="sq-AL"/>
        </w:rPr>
      </w:pPr>
      <w:r w:rsidRPr="00BF005F">
        <w:rPr>
          <w:rFonts w:asciiTheme="minorHAnsi" w:hAnsiTheme="minorHAnsi"/>
          <w:lang w:val="sq-AL"/>
        </w:rPr>
        <w:t>U realizua rreth 5,813 ml ose 45% e sasisë së planifikuar të fondeve për produktin “Rikonstruksion KUZ”.</w:t>
      </w:r>
    </w:p>
    <w:p w:rsidR="00990CDF" w:rsidRPr="00BF005F" w:rsidRDefault="00990CDF" w:rsidP="006F25E7">
      <w:pPr>
        <w:spacing w:line="276" w:lineRule="auto"/>
        <w:contextualSpacing/>
        <w:jc w:val="both"/>
        <w:rPr>
          <w:rFonts w:asciiTheme="minorHAnsi" w:hAnsiTheme="minorHAnsi"/>
          <w:lang w:val="sq-AL"/>
        </w:rPr>
      </w:pPr>
      <w:r w:rsidRPr="00BF005F">
        <w:rPr>
          <w:rFonts w:asciiTheme="minorHAnsi" w:hAnsiTheme="minorHAnsi"/>
          <w:b/>
          <w:lang w:val="sq-AL"/>
        </w:rPr>
        <w:lastRenderedPageBreak/>
        <w:t xml:space="preserve">Në programin “Mbështetje për </w:t>
      </w:r>
      <w:r w:rsidRPr="00BF005F">
        <w:rPr>
          <w:rFonts w:asciiTheme="minorHAnsi" w:hAnsiTheme="minorHAnsi"/>
          <w:b/>
          <w:bCs/>
          <w:lang w:val="sq-AL"/>
        </w:rPr>
        <w:t>Burimet Natyrore</w:t>
      </w:r>
      <w:r w:rsidRPr="00BF005F">
        <w:rPr>
          <w:rFonts w:asciiTheme="minorHAnsi" w:hAnsiTheme="minorHAnsi"/>
          <w:b/>
          <w:lang w:val="sq-AL"/>
        </w:rPr>
        <w:t>”</w:t>
      </w:r>
      <w:r w:rsidRPr="00BF005F">
        <w:rPr>
          <w:rFonts w:asciiTheme="minorHAnsi" w:hAnsiTheme="minorHAnsi"/>
          <w:lang w:val="sq-AL"/>
        </w:rPr>
        <w:t xml:space="preserve"> është realizuar qëllimi i programit  lidhur me “</w:t>
      </w:r>
      <w:r w:rsidRPr="00BF005F">
        <w:rPr>
          <w:rFonts w:asciiTheme="minorHAnsi" w:hAnsiTheme="minorHAnsi"/>
          <w:bCs/>
          <w:i/>
          <w:lang w:val="sq-AL"/>
        </w:rPr>
        <w:t>Realizimin e politikave te promovimit, mbikqyrjes, monitorimit dhe transparencës në fushën e gjeologjisë, minierave, ambientit dhe ujërave</w:t>
      </w:r>
      <w:r w:rsidRPr="00BF005F">
        <w:rPr>
          <w:rFonts w:asciiTheme="minorHAnsi" w:hAnsiTheme="minorHAnsi"/>
          <w:lang w:val="sq-AL"/>
        </w:rPr>
        <w:t xml:space="preserve">”. </w:t>
      </w:r>
    </w:p>
    <w:p w:rsidR="001F113C" w:rsidRPr="001F113C" w:rsidRDefault="001F113C" w:rsidP="006F25E7">
      <w:pPr>
        <w:spacing w:line="276" w:lineRule="auto"/>
        <w:contextualSpacing/>
        <w:jc w:val="both"/>
        <w:rPr>
          <w:rFonts w:asciiTheme="minorHAnsi" w:hAnsiTheme="minorHAnsi"/>
          <w:sz w:val="8"/>
          <w:szCs w:val="8"/>
          <w:lang w:val="sq-AL"/>
        </w:rPr>
      </w:pPr>
    </w:p>
    <w:p w:rsidR="00990CDF" w:rsidRPr="00BF005F" w:rsidRDefault="00990CDF" w:rsidP="006F25E7">
      <w:pPr>
        <w:spacing w:line="276" w:lineRule="auto"/>
        <w:contextualSpacing/>
        <w:jc w:val="both"/>
        <w:rPr>
          <w:rFonts w:asciiTheme="minorHAnsi" w:hAnsiTheme="minorHAnsi"/>
          <w:lang w:val="sq-AL"/>
        </w:rPr>
      </w:pPr>
      <w:r w:rsidRPr="00BF005F">
        <w:rPr>
          <w:rFonts w:asciiTheme="minorHAnsi" w:hAnsiTheme="minorHAnsi"/>
          <w:lang w:val="sq-AL"/>
        </w:rPr>
        <w:t xml:space="preserve">Për objektivin </w:t>
      </w:r>
      <w:r w:rsidRPr="00BF005F">
        <w:rPr>
          <w:rFonts w:asciiTheme="minorHAnsi" w:hAnsiTheme="minorHAnsi"/>
          <w:i/>
          <w:lang w:val="sq-AL"/>
        </w:rPr>
        <w:t xml:space="preserve">“Shfrytëzimi me efiçencë i burimeve natyrore minerare nga shoqëritë e licensuara për këtë veprimtari nëppërmjet zbatimit të kushteve tekniko-profesionale dhe mjedisore sipas standarteve europiane” </w:t>
      </w:r>
      <w:r w:rsidRPr="00BF005F">
        <w:rPr>
          <w:rFonts w:asciiTheme="minorHAnsi" w:hAnsiTheme="minorHAnsi"/>
          <w:lang w:val="sq-AL"/>
        </w:rPr>
        <w:t>kanë kontribuar produktet e renditura sa më poshtë:</w:t>
      </w:r>
    </w:p>
    <w:p w:rsidR="00990CDF" w:rsidRPr="00BF005F" w:rsidRDefault="00990CDF" w:rsidP="007F0B61">
      <w:pPr>
        <w:numPr>
          <w:ilvl w:val="0"/>
          <w:numId w:val="16"/>
        </w:numPr>
        <w:spacing w:line="276" w:lineRule="auto"/>
        <w:contextualSpacing/>
        <w:jc w:val="both"/>
        <w:rPr>
          <w:rFonts w:asciiTheme="minorHAnsi" w:hAnsiTheme="minorHAnsi"/>
          <w:lang w:val="sq-AL"/>
        </w:rPr>
      </w:pPr>
      <w:r w:rsidRPr="00BF005F">
        <w:rPr>
          <w:rFonts w:asciiTheme="minorHAnsi" w:hAnsiTheme="minorHAnsi"/>
          <w:lang w:val="sq-AL"/>
        </w:rPr>
        <w:t>Janë përditësuar 725  të dhëna të lejeve minerare gjeohapsinor, me kosto prej 1.3 milionë lekë.</w:t>
      </w:r>
    </w:p>
    <w:p w:rsidR="00990CDF" w:rsidRPr="00BF005F" w:rsidRDefault="00990CDF" w:rsidP="007F0B61">
      <w:pPr>
        <w:numPr>
          <w:ilvl w:val="0"/>
          <w:numId w:val="16"/>
        </w:numPr>
        <w:spacing w:line="276" w:lineRule="auto"/>
        <w:contextualSpacing/>
        <w:jc w:val="both"/>
        <w:rPr>
          <w:rFonts w:asciiTheme="minorHAnsi" w:hAnsiTheme="minorHAnsi"/>
          <w:lang w:val="sq-AL"/>
        </w:rPr>
      </w:pPr>
      <w:r w:rsidRPr="00BF005F">
        <w:rPr>
          <w:rFonts w:asciiTheme="minorHAnsi" w:hAnsiTheme="minorHAnsi"/>
          <w:lang w:val="sq-AL"/>
        </w:rPr>
        <w:t>U realizua mbikqyrja e 360 burimeve të shfrytëzimit minerare, metalore dhe jo metalore, me kosto prej 5.2 milionë lekë.</w:t>
      </w:r>
    </w:p>
    <w:p w:rsidR="00990CDF" w:rsidRPr="00BF005F" w:rsidRDefault="00990CDF" w:rsidP="007F0B61">
      <w:pPr>
        <w:numPr>
          <w:ilvl w:val="0"/>
          <w:numId w:val="16"/>
        </w:numPr>
        <w:spacing w:line="276" w:lineRule="auto"/>
        <w:contextualSpacing/>
        <w:jc w:val="both"/>
        <w:rPr>
          <w:rFonts w:asciiTheme="minorHAnsi" w:hAnsiTheme="minorHAnsi"/>
          <w:lang w:val="sq-AL"/>
        </w:rPr>
      </w:pPr>
      <w:r w:rsidRPr="00BF005F">
        <w:rPr>
          <w:rFonts w:asciiTheme="minorHAnsi" w:hAnsiTheme="minorHAnsi"/>
          <w:lang w:val="sq-AL"/>
        </w:rPr>
        <w:t>Është realizuar promovimi i minerave të rinj dhe kërkimeve teknologjike e mjedisore me një kosto prej 1.1 milionë lekë.</w:t>
      </w:r>
    </w:p>
    <w:p w:rsidR="00990CDF" w:rsidRPr="00BF005F" w:rsidRDefault="00990CDF" w:rsidP="007F0B61">
      <w:pPr>
        <w:numPr>
          <w:ilvl w:val="0"/>
          <w:numId w:val="16"/>
        </w:numPr>
        <w:spacing w:line="276" w:lineRule="auto"/>
        <w:contextualSpacing/>
        <w:jc w:val="both"/>
        <w:rPr>
          <w:rFonts w:asciiTheme="minorHAnsi" w:hAnsiTheme="minorHAnsi"/>
          <w:lang w:val="sq-AL"/>
        </w:rPr>
      </w:pPr>
      <w:r w:rsidRPr="00BF005F">
        <w:rPr>
          <w:rFonts w:asciiTheme="minorHAnsi" w:hAnsiTheme="minorHAnsi"/>
          <w:lang w:val="sq-AL"/>
        </w:rPr>
        <w:t>Është kryer monitorimi i Fenomeneve të post shfrytezimit në minierat e mbyllura me një kosto prej 2.1 milionë lekë.</w:t>
      </w:r>
    </w:p>
    <w:p w:rsidR="00990CDF" w:rsidRPr="00BF005F" w:rsidRDefault="00990CDF" w:rsidP="007F0B61">
      <w:pPr>
        <w:numPr>
          <w:ilvl w:val="0"/>
          <w:numId w:val="16"/>
        </w:numPr>
        <w:spacing w:line="276" w:lineRule="auto"/>
        <w:contextualSpacing/>
        <w:jc w:val="both"/>
        <w:rPr>
          <w:rFonts w:asciiTheme="minorHAnsi" w:hAnsiTheme="minorHAnsi"/>
          <w:lang w:val="sq-AL"/>
        </w:rPr>
      </w:pPr>
      <w:r w:rsidRPr="00BF005F">
        <w:rPr>
          <w:rFonts w:asciiTheme="minorHAnsi" w:hAnsiTheme="minorHAnsi"/>
          <w:lang w:val="sq-AL"/>
        </w:rPr>
        <w:t>Është realizuar projekti i studimit mbi zonimin minerar dhe hartimit të planit vjetor dhe 3-vjecar minerar, me një kosto prej 1.3 milionë lekë.</w:t>
      </w:r>
    </w:p>
    <w:p w:rsidR="00990CDF" w:rsidRPr="00BF005F" w:rsidRDefault="00990CDF" w:rsidP="007F0B61">
      <w:pPr>
        <w:numPr>
          <w:ilvl w:val="0"/>
          <w:numId w:val="16"/>
        </w:numPr>
        <w:spacing w:line="276" w:lineRule="auto"/>
        <w:contextualSpacing/>
        <w:jc w:val="both"/>
        <w:rPr>
          <w:rFonts w:asciiTheme="minorHAnsi" w:hAnsiTheme="minorHAnsi"/>
          <w:lang w:val="sq-AL"/>
        </w:rPr>
      </w:pPr>
      <w:r w:rsidRPr="00BF005F">
        <w:rPr>
          <w:rFonts w:asciiTheme="minorHAnsi" w:hAnsiTheme="minorHAnsi"/>
          <w:lang w:val="sq-AL"/>
        </w:rPr>
        <w:t>U realizua projekti mbi “Raportin vjetor të gjëndjes mjedisore në industrinë minerare dhe metalurgji”, me një kosto prej 1.3 milionë lekë.</w:t>
      </w:r>
    </w:p>
    <w:p w:rsidR="00990CDF" w:rsidRPr="001F113C" w:rsidRDefault="00990CDF" w:rsidP="006F25E7">
      <w:pPr>
        <w:spacing w:line="276" w:lineRule="auto"/>
        <w:contextualSpacing/>
        <w:jc w:val="both"/>
        <w:rPr>
          <w:rFonts w:asciiTheme="minorHAnsi" w:hAnsiTheme="minorHAnsi"/>
          <w:b/>
          <w:sz w:val="8"/>
          <w:szCs w:val="8"/>
          <w:lang w:val="sq-AL"/>
        </w:rPr>
      </w:pPr>
    </w:p>
    <w:p w:rsidR="00990CDF" w:rsidRPr="00BF005F" w:rsidRDefault="00990CDF" w:rsidP="006F25E7">
      <w:pPr>
        <w:spacing w:line="276" w:lineRule="auto"/>
        <w:contextualSpacing/>
        <w:jc w:val="both"/>
        <w:rPr>
          <w:rFonts w:asciiTheme="minorHAnsi" w:hAnsiTheme="minorHAnsi"/>
          <w:lang w:val="sq-AL"/>
        </w:rPr>
      </w:pPr>
      <w:r w:rsidRPr="00BF005F">
        <w:rPr>
          <w:rFonts w:asciiTheme="minorHAnsi" w:hAnsiTheme="minorHAnsi"/>
          <w:b/>
          <w:lang w:val="sq-AL"/>
        </w:rPr>
        <w:t>Me programin “Menaxhimi i Mbetjeve urbane”</w:t>
      </w:r>
      <w:r w:rsidRPr="00BF005F">
        <w:rPr>
          <w:rFonts w:asciiTheme="minorHAnsi" w:hAnsiTheme="minorHAnsi"/>
          <w:lang w:val="sq-AL"/>
        </w:rPr>
        <w:t xml:space="preserve"> është realizuar qëllimi i programit i cili është  “</w:t>
      </w:r>
      <w:r w:rsidRPr="00BF005F">
        <w:rPr>
          <w:rFonts w:asciiTheme="minorHAnsi" w:hAnsiTheme="minorHAnsi"/>
          <w:i/>
          <w:lang w:val="sq-AL"/>
        </w:rPr>
        <w:t xml:space="preserve">Përmirësimi i infrastukurës për trajtimin e mbetjeve të ngurta urbane”. </w:t>
      </w:r>
      <w:r w:rsidRPr="00BF005F">
        <w:rPr>
          <w:rFonts w:asciiTheme="minorHAnsi" w:hAnsiTheme="minorHAnsi"/>
          <w:lang w:val="sq-AL"/>
        </w:rPr>
        <w:t>Qëllimi është arritur nëpërmjet realizimit të dy objektivave të këtij programi.</w:t>
      </w:r>
      <w:r w:rsidRPr="00BF005F">
        <w:rPr>
          <w:rFonts w:asciiTheme="minorHAnsi" w:hAnsiTheme="minorHAnsi"/>
          <w:i/>
          <w:lang w:val="sq-AL"/>
        </w:rPr>
        <w:t xml:space="preserve"> Lidhur me objektivin “Trajtimi i mbetjeve në mënyrë të kontrolluar sanitare,  nëpërmjet  ndërtimit  të  lendfilleve rajonale</w:t>
      </w:r>
      <w:r w:rsidRPr="00BF005F">
        <w:rPr>
          <w:rFonts w:asciiTheme="minorHAnsi" w:hAnsiTheme="minorHAnsi"/>
          <w:lang w:val="sq-AL"/>
        </w:rPr>
        <w:t>”, për të cilin janë realizuar fondet në rreth 85% të fondeve të planifikuara për vitin 2021. Produketet e  realizuara paraqiten si më poshtë:</w:t>
      </w:r>
    </w:p>
    <w:p w:rsidR="00990CDF" w:rsidRPr="00BF005F" w:rsidRDefault="00990CDF" w:rsidP="007F0B61">
      <w:pPr>
        <w:numPr>
          <w:ilvl w:val="0"/>
          <w:numId w:val="14"/>
        </w:numPr>
        <w:spacing w:line="276" w:lineRule="auto"/>
        <w:contextualSpacing/>
        <w:jc w:val="both"/>
        <w:rPr>
          <w:rFonts w:asciiTheme="minorHAnsi" w:hAnsiTheme="minorHAnsi"/>
          <w:lang w:val="sq-AL"/>
        </w:rPr>
      </w:pPr>
      <w:r w:rsidRPr="00BF005F">
        <w:rPr>
          <w:rFonts w:asciiTheme="minorHAnsi" w:hAnsiTheme="minorHAnsi"/>
          <w:lang w:val="sq-AL"/>
        </w:rPr>
        <w:t>Sipërfaqe landfilli  e ndërtuar në Rajonin e Korçës</w:t>
      </w:r>
    </w:p>
    <w:p w:rsidR="00990CDF" w:rsidRPr="00BF005F" w:rsidRDefault="00990CDF" w:rsidP="007F0B61">
      <w:pPr>
        <w:numPr>
          <w:ilvl w:val="0"/>
          <w:numId w:val="14"/>
        </w:numPr>
        <w:spacing w:line="276" w:lineRule="auto"/>
        <w:contextualSpacing/>
        <w:jc w:val="both"/>
        <w:rPr>
          <w:rFonts w:asciiTheme="minorHAnsi" w:hAnsiTheme="minorHAnsi"/>
          <w:lang w:val="sq-AL"/>
        </w:rPr>
      </w:pPr>
      <w:r w:rsidRPr="00BF005F">
        <w:rPr>
          <w:rFonts w:asciiTheme="minorHAnsi" w:hAnsiTheme="minorHAnsi"/>
          <w:lang w:val="sq-AL"/>
        </w:rPr>
        <w:t>Venddepozitimi i Bushatit i ndertuar</w:t>
      </w:r>
    </w:p>
    <w:p w:rsidR="00990CDF" w:rsidRPr="00BF005F" w:rsidRDefault="00990CDF" w:rsidP="007F0B61">
      <w:pPr>
        <w:numPr>
          <w:ilvl w:val="0"/>
          <w:numId w:val="14"/>
        </w:numPr>
        <w:spacing w:line="276" w:lineRule="auto"/>
        <w:contextualSpacing/>
        <w:jc w:val="both"/>
        <w:rPr>
          <w:rFonts w:asciiTheme="minorHAnsi" w:hAnsiTheme="minorHAnsi"/>
          <w:lang w:val="sq-AL"/>
        </w:rPr>
      </w:pPr>
      <w:r w:rsidRPr="00BF005F">
        <w:rPr>
          <w:rFonts w:asciiTheme="minorHAnsi" w:hAnsiTheme="minorHAnsi"/>
          <w:lang w:val="sq-AL"/>
        </w:rPr>
        <w:t>Studim per sistemimin e manxhimit të mbetjeve të ngurta në Qarkun e Beratit</w:t>
      </w:r>
    </w:p>
    <w:p w:rsidR="00990CDF" w:rsidRDefault="00990CDF"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Default="001F113C" w:rsidP="006F25E7">
      <w:pPr>
        <w:spacing w:line="276" w:lineRule="auto"/>
        <w:contextualSpacing/>
        <w:jc w:val="both"/>
        <w:rPr>
          <w:rFonts w:asciiTheme="minorHAnsi" w:eastAsia="Calibri" w:hAnsiTheme="minorHAnsi"/>
          <w:lang w:val="sq-AL"/>
        </w:rPr>
      </w:pPr>
    </w:p>
    <w:p w:rsidR="001F113C" w:rsidRPr="00BF005F" w:rsidRDefault="001F113C" w:rsidP="006F25E7">
      <w:pPr>
        <w:spacing w:line="276" w:lineRule="auto"/>
        <w:contextualSpacing/>
        <w:jc w:val="both"/>
        <w:rPr>
          <w:rFonts w:asciiTheme="minorHAnsi" w:eastAsia="Calibri" w:hAnsiTheme="minorHAnsi"/>
          <w:lang w:val="sq-AL"/>
        </w:rPr>
      </w:pPr>
    </w:p>
    <w:p w:rsidR="00990CDF" w:rsidRPr="00BF005F" w:rsidRDefault="002C0E6D" w:rsidP="006F25E7">
      <w:pPr>
        <w:spacing w:before="120" w:after="120" w:line="276" w:lineRule="auto"/>
        <w:jc w:val="both"/>
        <w:rPr>
          <w:rFonts w:asciiTheme="minorHAnsi" w:hAnsiTheme="minorHAnsi"/>
          <w:b/>
          <w:noProof/>
          <w:color w:val="0070C0"/>
          <w:lang w:val="sq-AL"/>
        </w:rPr>
      </w:pPr>
      <w:bookmarkStart w:id="129" w:name="_Toc10033298"/>
      <w:bookmarkStart w:id="130" w:name="_Toc10721434"/>
      <w:bookmarkStart w:id="131" w:name="_Toc11134229"/>
      <w:r>
        <w:rPr>
          <w:rFonts w:asciiTheme="minorHAnsi" w:hAnsiTheme="minorHAnsi"/>
          <w:b/>
          <w:noProof/>
          <w:color w:val="0070C0"/>
          <w:lang w:val="sq-AL"/>
        </w:rPr>
        <w:lastRenderedPageBreak/>
        <w:t>Turizmi d</w:t>
      </w:r>
      <w:r w:rsidRPr="00BF005F">
        <w:rPr>
          <w:rFonts w:asciiTheme="minorHAnsi" w:hAnsiTheme="minorHAnsi"/>
          <w:b/>
          <w:noProof/>
          <w:color w:val="0070C0"/>
          <w:lang w:val="sq-AL"/>
        </w:rPr>
        <w:t>he Mjedisi</w:t>
      </w:r>
      <w:bookmarkEnd w:id="129"/>
      <w:bookmarkEnd w:id="130"/>
      <w:bookmarkEnd w:id="131"/>
    </w:p>
    <w:p w:rsidR="00990CDF" w:rsidRPr="00BF005F" w:rsidRDefault="00990CDF" w:rsidP="006F25E7">
      <w:pPr>
        <w:spacing w:line="276" w:lineRule="auto"/>
        <w:jc w:val="both"/>
        <w:rPr>
          <w:rFonts w:asciiTheme="minorHAnsi" w:hAnsiTheme="minorHAnsi"/>
          <w:color w:val="000000"/>
          <w:lang w:val="sq-AL"/>
        </w:rPr>
      </w:pPr>
      <w:r w:rsidRPr="00BF005F">
        <w:rPr>
          <w:rFonts w:asciiTheme="minorHAnsi" w:hAnsiTheme="minorHAnsi"/>
          <w:color w:val="000000"/>
          <w:lang w:val="sq-AL"/>
        </w:rPr>
        <w:t>Performanca e treguesve buxhetorë për katër programet kryesore në Ministrinë e Mjedisit dhe Turizmit paraqitet si më poshtë:</w:t>
      </w:r>
      <w:r w:rsidRPr="00BF005F">
        <w:rPr>
          <w:rFonts w:asciiTheme="minorHAnsi" w:hAnsiTheme="minorHAnsi"/>
          <w:color w:val="000000"/>
          <w:lang w:val="sq-AL"/>
        </w:rPr>
        <w:tab/>
      </w:r>
      <w:r w:rsidRPr="00BF005F">
        <w:rPr>
          <w:rFonts w:asciiTheme="minorHAnsi" w:hAnsiTheme="minorHAnsi"/>
          <w:color w:val="000000"/>
          <w:lang w:val="sq-AL"/>
        </w:rPr>
        <w:tab/>
      </w:r>
    </w:p>
    <w:p w:rsidR="00990CDF" w:rsidRPr="001F113C" w:rsidRDefault="00990CDF" w:rsidP="006F25E7">
      <w:pPr>
        <w:spacing w:line="276" w:lineRule="auto"/>
        <w:jc w:val="both"/>
        <w:rPr>
          <w:rFonts w:asciiTheme="minorHAnsi" w:hAnsiTheme="minorHAnsi"/>
          <w:color w:val="000000"/>
          <w:sz w:val="8"/>
          <w:szCs w:val="8"/>
          <w:lang w:val="sq-AL"/>
        </w:rPr>
      </w:pPr>
    </w:p>
    <w:p w:rsidR="00990CDF" w:rsidRPr="001F113C" w:rsidRDefault="00990CDF" w:rsidP="006F25E7">
      <w:pPr>
        <w:spacing w:line="276" w:lineRule="auto"/>
        <w:rPr>
          <w:rFonts w:asciiTheme="minorHAnsi" w:hAnsiTheme="minorHAnsi"/>
          <w:i/>
          <w:iCs/>
          <w:color w:val="4F81BD" w:themeColor="accent1"/>
          <w:sz w:val="22"/>
          <w:lang w:val="sq-AL"/>
        </w:rPr>
      </w:pPr>
      <w:bookmarkStart w:id="132" w:name="_Toc76470075"/>
      <w:r w:rsidRPr="001F113C">
        <w:rPr>
          <w:rFonts w:asciiTheme="minorHAnsi" w:hAnsiTheme="minorHAnsi"/>
          <w:i/>
          <w:noProof/>
          <w:sz w:val="22"/>
          <w:lang w:val="sq-AL"/>
        </w:rPr>
        <w:t xml:space="preserve">Tabela </w:t>
      </w:r>
      <w:r w:rsidRPr="001F113C">
        <w:rPr>
          <w:rFonts w:asciiTheme="minorHAnsi" w:hAnsiTheme="minorHAnsi"/>
          <w:i/>
          <w:noProof/>
          <w:sz w:val="22"/>
        </w:rPr>
        <w:fldChar w:fldCharType="begin"/>
      </w:r>
      <w:r w:rsidRPr="001F113C">
        <w:rPr>
          <w:rFonts w:asciiTheme="minorHAnsi" w:hAnsiTheme="minorHAnsi"/>
          <w:i/>
          <w:noProof/>
          <w:sz w:val="22"/>
          <w:lang w:val="sq-AL"/>
        </w:rPr>
        <w:instrText xml:space="preserve"> SEQ Tabela \* ARABIC </w:instrText>
      </w:r>
      <w:r w:rsidRPr="001F113C">
        <w:rPr>
          <w:rFonts w:asciiTheme="minorHAnsi" w:hAnsiTheme="minorHAnsi"/>
          <w:i/>
          <w:noProof/>
          <w:sz w:val="22"/>
        </w:rPr>
        <w:fldChar w:fldCharType="separate"/>
      </w:r>
      <w:r w:rsidR="003C5F40">
        <w:rPr>
          <w:rFonts w:asciiTheme="minorHAnsi" w:hAnsiTheme="minorHAnsi"/>
          <w:i/>
          <w:noProof/>
          <w:sz w:val="22"/>
          <w:lang w:val="sq-AL"/>
        </w:rPr>
        <w:t>21</w:t>
      </w:r>
      <w:r w:rsidRPr="001F113C">
        <w:rPr>
          <w:rFonts w:asciiTheme="minorHAnsi" w:hAnsiTheme="minorHAnsi"/>
          <w:i/>
          <w:noProof/>
          <w:sz w:val="22"/>
        </w:rPr>
        <w:fldChar w:fldCharType="end"/>
      </w:r>
      <w:r w:rsidRPr="001F113C">
        <w:rPr>
          <w:rFonts w:asciiTheme="minorHAnsi" w:hAnsiTheme="minorHAnsi"/>
          <w:i/>
          <w:noProof/>
          <w:sz w:val="22"/>
          <w:lang w:val="sq-AL"/>
        </w:rPr>
        <w:t>: TURIZMI DHE MJEDISI</w:t>
      </w:r>
      <w:bookmarkEnd w:id="132"/>
      <w:r w:rsidRPr="001F113C">
        <w:rPr>
          <w:rFonts w:asciiTheme="minorHAnsi" w:hAnsiTheme="minorHAnsi"/>
          <w:b/>
          <w:bCs/>
          <w:color w:val="000000"/>
          <w:sz w:val="22"/>
          <w:lang w:val="sq-AL"/>
        </w:rPr>
        <w:tab/>
        <w:t xml:space="preserve"> </w:t>
      </w:r>
      <w:r w:rsidRPr="001F113C">
        <w:rPr>
          <w:rFonts w:asciiTheme="minorHAnsi" w:hAnsiTheme="minorHAnsi"/>
          <w:b/>
          <w:bCs/>
          <w:color w:val="000000"/>
          <w:sz w:val="22"/>
          <w:lang w:val="sq-AL"/>
        </w:rPr>
        <w:tab/>
      </w:r>
      <w:r w:rsidRPr="001F113C">
        <w:rPr>
          <w:rFonts w:asciiTheme="minorHAnsi" w:hAnsiTheme="minorHAnsi"/>
          <w:b/>
          <w:bCs/>
          <w:color w:val="000000"/>
          <w:sz w:val="22"/>
          <w:lang w:val="sq-AL"/>
        </w:rPr>
        <w:tab/>
      </w:r>
      <w:r w:rsidRPr="001F113C">
        <w:rPr>
          <w:rFonts w:asciiTheme="minorHAnsi" w:hAnsiTheme="minorHAnsi"/>
          <w:b/>
          <w:bCs/>
          <w:color w:val="000000"/>
          <w:sz w:val="22"/>
          <w:lang w:val="sq-AL"/>
        </w:rPr>
        <w:tab/>
      </w:r>
      <w:r w:rsidRPr="001F113C">
        <w:rPr>
          <w:rFonts w:asciiTheme="minorHAnsi" w:hAnsiTheme="minorHAnsi"/>
          <w:b/>
          <w:bCs/>
          <w:color w:val="000000"/>
          <w:sz w:val="22"/>
          <w:lang w:val="sq-AL"/>
        </w:rPr>
        <w:tab/>
      </w:r>
      <w:r w:rsidRPr="001F113C">
        <w:rPr>
          <w:rFonts w:asciiTheme="minorHAnsi" w:hAnsiTheme="minorHAnsi"/>
          <w:b/>
          <w:bCs/>
          <w:color w:val="000000"/>
          <w:sz w:val="22"/>
          <w:lang w:val="sq-AL"/>
        </w:rPr>
        <w:tab/>
      </w:r>
      <w:r w:rsidRPr="001F113C">
        <w:rPr>
          <w:rFonts w:asciiTheme="minorHAnsi" w:hAnsiTheme="minorHAnsi"/>
          <w:b/>
          <w:bCs/>
          <w:color w:val="000000"/>
          <w:sz w:val="22"/>
          <w:lang w:val="sq-AL"/>
        </w:rPr>
        <w:tab/>
      </w:r>
      <w:r w:rsidRPr="001F113C">
        <w:rPr>
          <w:rFonts w:asciiTheme="minorHAnsi" w:hAnsiTheme="minorHAnsi"/>
          <w:i/>
          <w:iCs/>
          <w:color w:val="4F81BD" w:themeColor="accent1"/>
          <w:sz w:val="22"/>
          <w:lang w:val="sq-AL"/>
        </w:rPr>
        <w:t xml:space="preserve"> </w:t>
      </w:r>
    </w:p>
    <w:p w:rsidR="00990CDF" w:rsidRPr="001F113C" w:rsidRDefault="00990CDF" w:rsidP="006F25E7">
      <w:pPr>
        <w:spacing w:line="276" w:lineRule="auto"/>
        <w:jc w:val="right"/>
        <w:rPr>
          <w:rFonts w:asciiTheme="minorHAnsi" w:hAnsiTheme="minorHAnsi"/>
          <w:color w:val="000000"/>
          <w:sz w:val="22"/>
          <w:lang w:val="sq-AL"/>
        </w:rPr>
      </w:pPr>
      <w:r w:rsidRPr="001F113C">
        <w:rPr>
          <w:rFonts w:asciiTheme="minorHAnsi" w:hAnsiTheme="minorHAnsi"/>
          <w:bCs/>
          <w:i/>
          <w:iCs/>
          <w:sz w:val="22"/>
          <w:lang w:val="sq-AL"/>
        </w:rPr>
        <w:t>Në mijë lekë</w:t>
      </w:r>
    </w:p>
    <w:tbl>
      <w:tblPr>
        <w:tblW w:w="9651" w:type="dxa"/>
        <w:jc w:val="center"/>
        <w:tblLook w:val="04A0" w:firstRow="1" w:lastRow="0" w:firstColumn="1" w:lastColumn="0" w:noHBand="0" w:noVBand="1"/>
      </w:tblPr>
      <w:tblGrid>
        <w:gridCol w:w="896"/>
        <w:gridCol w:w="2242"/>
        <w:gridCol w:w="1153"/>
        <w:gridCol w:w="1260"/>
        <w:gridCol w:w="1025"/>
        <w:gridCol w:w="1025"/>
        <w:gridCol w:w="1025"/>
        <w:gridCol w:w="1025"/>
      </w:tblGrid>
      <w:tr w:rsidR="00990CDF" w:rsidRPr="001F113C" w:rsidTr="00D25D65">
        <w:trPr>
          <w:trHeight w:val="276"/>
          <w:jc w:val="center"/>
        </w:trPr>
        <w:tc>
          <w:tcPr>
            <w:tcW w:w="896" w:type="dxa"/>
            <w:vMerge w:val="restart"/>
            <w:tcBorders>
              <w:top w:val="single" w:sz="8" w:space="0" w:color="4BACC6"/>
              <w:left w:val="single" w:sz="8" w:space="0" w:color="4BACC6"/>
              <w:bottom w:val="nil"/>
              <w:right w:val="single" w:sz="8" w:space="0" w:color="4BACC6"/>
            </w:tcBorders>
            <w:shd w:val="clear" w:color="000000" w:fill="4BACC6"/>
            <w:vAlign w:val="center"/>
            <w:hideMark/>
          </w:tcPr>
          <w:p w:rsidR="00990CDF" w:rsidRPr="001F113C" w:rsidRDefault="00990CDF" w:rsidP="006F25E7">
            <w:pPr>
              <w:spacing w:line="276" w:lineRule="auto"/>
              <w:jc w:val="center"/>
              <w:rPr>
                <w:rFonts w:asciiTheme="minorHAnsi" w:hAnsiTheme="minorHAnsi"/>
                <w:b/>
                <w:bCs/>
                <w:color w:val="FFFFFF"/>
                <w:sz w:val="18"/>
              </w:rPr>
            </w:pPr>
            <w:r w:rsidRPr="001F113C">
              <w:rPr>
                <w:rFonts w:asciiTheme="minorHAnsi" w:hAnsiTheme="minorHAnsi"/>
                <w:b/>
                <w:bCs/>
                <w:color w:val="FFFFFF"/>
                <w:sz w:val="18"/>
              </w:rPr>
              <w:t>NR</w:t>
            </w:r>
          </w:p>
        </w:tc>
        <w:tc>
          <w:tcPr>
            <w:tcW w:w="2242" w:type="dxa"/>
            <w:vMerge w:val="restart"/>
            <w:tcBorders>
              <w:top w:val="single" w:sz="8" w:space="0" w:color="4BACC6"/>
              <w:left w:val="single" w:sz="8" w:space="0" w:color="4BACC6"/>
              <w:bottom w:val="nil"/>
              <w:right w:val="single" w:sz="8" w:space="0" w:color="4BACC6"/>
            </w:tcBorders>
            <w:shd w:val="clear" w:color="000000" w:fill="4BACC6"/>
            <w:vAlign w:val="center"/>
            <w:hideMark/>
          </w:tcPr>
          <w:p w:rsidR="00990CDF" w:rsidRPr="001F113C" w:rsidRDefault="00990CDF" w:rsidP="006F25E7">
            <w:pPr>
              <w:spacing w:line="276" w:lineRule="auto"/>
              <w:jc w:val="center"/>
              <w:rPr>
                <w:rFonts w:asciiTheme="minorHAnsi" w:hAnsiTheme="minorHAnsi"/>
                <w:b/>
                <w:bCs/>
                <w:color w:val="FFFFFF"/>
                <w:sz w:val="18"/>
              </w:rPr>
            </w:pPr>
            <w:r w:rsidRPr="001F113C">
              <w:rPr>
                <w:rFonts w:asciiTheme="minorHAnsi" w:hAnsiTheme="minorHAnsi"/>
                <w:b/>
                <w:bCs/>
                <w:color w:val="FFFFFF"/>
                <w:sz w:val="18"/>
              </w:rPr>
              <w:t>Emërtimi i Programit</w:t>
            </w:r>
          </w:p>
        </w:tc>
        <w:tc>
          <w:tcPr>
            <w:tcW w:w="2413" w:type="dxa"/>
            <w:gridSpan w:val="2"/>
            <w:tcBorders>
              <w:top w:val="single" w:sz="8" w:space="0" w:color="4BACC6"/>
              <w:left w:val="nil"/>
              <w:bottom w:val="single" w:sz="8" w:space="0" w:color="4BACC6"/>
              <w:right w:val="single" w:sz="8" w:space="0" w:color="4BACC6"/>
            </w:tcBorders>
            <w:shd w:val="clear" w:color="000000" w:fill="4BACC6"/>
            <w:vAlign w:val="center"/>
            <w:hideMark/>
          </w:tcPr>
          <w:p w:rsidR="00990CDF" w:rsidRPr="001F113C" w:rsidRDefault="00990CDF" w:rsidP="006F25E7">
            <w:pPr>
              <w:spacing w:line="276" w:lineRule="auto"/>
              <w:jc w:val="center"/>
              <w:rPr>
                <w:rFonts w:asciiTheme="minorHAnsi" w:hAnsiTheme="minorHAnsi"/>
                <w:b/>
                <w:bCs/>
                <w:color w:val="FFFFFF"/>
                <w:sz w:val="18"/>
              </w:rPr>
            </w:pPr>
            <w:r w:rsidRPr="001F113C">
              <w:rPr>
                <w:rFonts w:asciiTheme="minorHAnsi" w:hAnsiTheme="minorHAnsi"/>
                <w:b/>
                <w:bCs/>
                <w:color w:val="FFFFFF"/>
                <w:sz w:val="18"/>
              </w:rPr>
              <w:t>Plani 2021</w:t>
            </w:r>
          </w:p>
        </w:tc>
        <w:tc>
          <w:tcPr>
            <w:tcW w:w="2050" w:type="dxa"/>
            <w:gridSpan w:val="2"/>
            <w:tcBorders>
              <w:top w:val="single" w:sz="8" w:space="0" w:color="4BACC6"/>
              <w:left w:val="nil"/>
              <w:bottom w:val="single" w:sz="8" w:space="0" w:color="4BACC6"/>
              <w:right w:val="single" w:sz="8" w:space="0" w:color="4BACC6"/>
            </w:tcBorders>
            <w:shd w:val="clear" w:color="000000" w:fill="4BACC6"/>
            <w:vAlign w:val="center"/>
            <w:hideMark/>
          </w:tcPr>
          <w:p w:rsidR="00990CDF" w:rsidRPr="001F113C" w:rsidRDefault="00990CDF" w:rsidP="006F25E7">
            <w:pPr>
              <w:spacing w:line="276" w:lineRule="auto"/>
              <w:jc w:val="center"/>
              <w:rPr>
                <w:rFonts w:asciiTheme="minorHAnsi" w:hAnsiTheme="minorHAnsi"/>
                <w:b/>
                <w:bCs/>
                <w:color w:val="FFFFFF"/>
                <w:sz w:val="18"/>
              </w:rPr>
            </w:pPr>
            <w:r w:rsidRPr="001F113C">
              <w:rPr>
                <w:rFonts w:asciiTheme="minorHAnsi" w:hAnsiTheme="minorHAnsi"/>
                <w:b/>
                <w:bCs/>
                <w:color w:val="FFFFFF"/>
                <w:sz w:val="18"/>
              </w:rPr>
              <w:t>Fakti 4M 2021</w:t>
            </w:r>
          </w:p>
        </w:tc>
        <w:tc>
          <w:tcPr>
            <w:tcW w:w="2050" w:type="dxa"/>
            <w:gridSpan w:val="2"/>
            <w:tcBorders>
              <w:top w:val="single" w:sz="8" w:space="0" w:color="4BACC6"/>
              <w:left w:val="nil"/>
              <w:bottom w:val="single" w:sz="8" w:space="0" w:color="4BACC6"/>
              <w:right w:val="single" w:sz="8" w:space="0" w:color="4BACC6"/>
            </w:tcBorders>
            <w:shd w:val="clear" w:color="000000" w:fill="4BACC6"/>
            <w:vAlign w:val="center"/>
            <w:hideMark/>
          </w:tcPr>
          <w:p w:rsidR="00990CDF" w:rsidRPr="001F113C" w:rsidRDefault="00990CDF" w:rsidP="006F25E7">
            <w:pPr>
              <w:spacing w:line="276" w:lineRule="auto"/>
              <w:jc w:val="center"/>
              <w:rPr>
                <w:rFonts w:asciiTheme="minorHAnsi" w:hAnsiTheme="minorHAnsi"/>
                <w:b/>
                <w:bCs/>
                <w:color w:val="FFFFFF"/>
                <w:sz w:val="18"/>
              </w:rPr>
            </w:pPr>
            <w:r w:rsidRPr="001F113C">
              <w:rPr>
                <w:rFonts w:asciiTheme="minorHAnsi" w:hAnsiTheme="minorHAnsi"/>
                <w:b/>
                <w:bCs/>
                <w:color w:val="FFFFFF"/>
                <w:sz w:val="18"/>
              </w:rPr>
              <w:t>Përqindja  e realizimit</w:t>
            </w:r>
          </w:p>
        </w:tc>
      </w:tr>
      <w:tr w:rsidR="00990CDF" w:rsidRPr="001F113C" w:rsidTr="00D25D65">
        <w:trPr>
          <w:trHeight w:val="276"/>
          <w:jc w:val="center"/>
        </w:trPr>
        <w:tc>
          <w:tcPr>
            <w:tcW w:w="896" w:type="dxa"/>
            <w:vMerge/>
            <w:tcBorders>
              <w:top w:val="single" w:sz="8" w:space="0" w:color="4BACC6"/>
              <w:left w:val="single" w:sz="8" w:space="0" w:color="4BACC6"/>
              <w:bottom w:val="nil"/>
              <w:right w:val="single" w:sz="8" w:space="0" w:color="4BACC6"/>
            </w:tcBorders>
            <w:vAlign w:val="center"/>
            <w:hideMark/>
          </w:tcPr>
          <w:p w:rsidR="00990CDF" w:rsidRPr="001F113C" w:rsidRDefault="00990CDF" w:rsidP="006F25E7">
            <w:pPr>
              <w:spacing w:line="276" w:lineRule="auto"/>
              <w:jc w:val="center"/>
              <w:rPr>
                <w:rFonts w:asciiTheme="minorHAnsi" w:hAnsiTheme="minorHAnsi"/>
                <w:b/>
                <w:bCs/>
                <w:color w:val="FFFFFF"/>
                <w:sz w:val="18"/>
              </w:rPr>
            </w:pPr>
          </w:p>
        </w:tc>
        <w:tc>
          <w:tcPr>
            <w:tcW w:w="2242" w:type="dxa"/>
            <w:vMerge/>
            <w:tcBorders>
              <w:top w:val="single" w:sz="8" w:space="0" w:color="4BACC6"/>
              <w:left w:val="single" w:sz="8" w:space="0" w:color="4BACC6"/>
              <w:bottom w:val="nil"/>
              <w:right w:val="single" w:sz="8" w:space="0" w:color="4BACC6"/>
            </w:tcBorders>
            <w:vAlign w:val="center"/>
            <w:hideMark/>
          </w:tcPr>
          <w:p w:rsidR="00990CDF" w:rsidRPr="001F113C" w:rsidRDefault="00990CDF" w:rsidP="006F25E7">
            <w:pPr>
              <w:spacing w:line="276" w:lineRule="auto"/>
              <w:jc w:val="center"/>
              <w:rPr>
                <w:rFonts w:asciiTheme="minorHAnsi" w:hAnsiTheme="minorHAnsi"/>
                <w:b/>
                <w:bCs/>
                <w:color w:val="FFFFFF"/>
                <w:sz w:val="18"/>
              </w:rPr>
            </w:pPr>
          </w:p>
        </w:tc>
        <w:tc>
          <w:tcPr>
            <w:tcW w:w="1153" w:type="dxa"/>
            <w:tcBorders>
              <w:top w:val="nil"/>
              <w:left w:val="nil"/>
              <w:bottom w:val="nil"/>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Korrente</w:t>
            </w:r>
          </w:p>
        </w:tc>
        <w:tc>
          <w:tcPr>
            <w:tcW w:w="1259" w:type="dxa"/>
            <w:tcBorders>
              <w:top w:val="nil"/>
              <w:left w:val="single" w:sz="8" w:space="0" w:color="4BACC6"/>
              <w:bottom w:val="nil"/>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Investime</w:t>
            </w:r>
          </w:p>
        </w:tc>
        <w:tc>
          <w:tcPr>
            <w:tcW w:w="1025" w:type="dxa"/>
            <w:tcBorders>
              <w:top w:val="nil"/>
              <w:left w:val="nil"/>
              <w:bottom w:val="nil"/>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Korrente</w:t>
            </w:r>
          </w:p>
        </w:tc>
        <w:tc>
          <w:tcPr>
            <w:tcW w:w="1025" w:type="dxa"/>
            <w:tcBorders>
              <w:top w:val="nil"/>
              <w:left w:val="single" w:sz="8" w:space="0" w:color="4BACC6"/>
              <w:bottom w:val="nil"/>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Investime</w:t>
            </w:r>
          </w:p>
        </w:tc>
        <w:tc>
          <w:tcPr>
            <w:tcW w:w="1025" w:type="dxa"/>
            <w:tcBorders>
              <w:top w:val="nil"/>
              <w:left w:val="nil"/>
              <w:bottom w:val="nil"/>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Korrente</w:t>
            </w:r>
          </w:p>
        </w:tc>
        <w:tc>
          <w:tcPr>
            <w:tcW w:w="1025" w:type="dxa"/>
            <w:tcBorders>
              <w:top w:val="nil"/>
              <w:left w:val="nil"/>
              <w:bottom w:val="nil"/>
              <w:right w:val="single" w:sz="8" w:space="0" w:color="4BACC6"/>
            </w:tcBorders>
            <w:shd w:val="clear" w:color="000000" w:fill="FFFFFF"/>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Investime</w:t>
            </w:r>
          </w:p>
        </w:tc>
      </w:tr>
      <w:tr w:rsidR="00990CDF" w:rsidRPr="001F113C" w:rsidTr="00D25D65">
        <w:trPr>
          <w:trHeight w:val="328"/>
          <w:jc w:val="center"/>
        </w:trPr>
        <w:tc>
          <w:tcPr>
            <w:tcW w:w="896" w:type="dxa"/>
            <w:tcBorders>
              <w:top w:val="single" w:sz="8" w:space="0" w:color="4BACC6"/>
              <w:left w:val="single" w:sz="8" w:space="0" w:color="4BACC6"/>
              <w:bottom w:val="single" w:sz="8" w:space="0" w:color="4BACC6"/>
              <w:right w:val="nil"/>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1</w:t>
            </w:r>
          </w:p>
        </w:tc>
        <w:tc>
          <w:tcPr>
            <w:tcW w:w="2242"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Planifikim, Administrim</w:t>
            </w:r>
          </w:p>
        </w:tc>
        <w:tc>
          <w:tcPr>
            <w:tcW w:w="1153" w:type="dxa"/>
            <w:tcBorders>
              <w:top w:val="single" w:sz="8" w:space="0" w:color="4BACC6"/>
              <w:left w:val="nil"/>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192,700</w:t>
            </w:r>
          </w:p>
        </w:tc>
        <w:tc>
          <w:tcPr>
            <w:tcW w:w="1259" w:type="dxa"/>
            <w:tcBorders>
              <w:top w:val="single" w:sz="8" w:space="0" w:color="4BACC6"/>
              <w:left w:val="nil"/>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6,000</w:t>
            </w:r>
          </w:p>
        </w:tc>
        <w:tc>
          <w:tcPr>
            <w:tcW w:w="1025" w:type="dxa"/>
            <w:tcBorders>
              <w:top w:val="single" w:sz="8" w:space="0" w:color="4BACC6"/>
              <w:left w:val="nil"/>
              <w:bottom w:val="single" w:sz="8" w:space="0" w:color="4BACC6"/>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54,486</w:t>
            </w:r>
          </w:p>
        </w:tc>
        <w:tc>
          <w:tcPr>
            <w:tcW w:w="1025"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271</w:t>
            </w:r>
          </w:p>
        </w:tc>
        <w:tc>
          <w:tcPr>
            <w:tcW w:w="1025" w:type="dxa"/>
            <w:tcBorders>
              <w:top w:val="single" w:sz="8" w:space="0" w:color="4BACC6"/>
              <w:left w:val="nil"/>
              <w:bottom w:val="single" w:sz="8" w:space="0" w:color="4BACC6"/>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28.3%</w:t>
            </w:r>
          </w:p>
        </w:tc>
        <w:tc>
          <w:tcPr>
            <w:tcW w:w="1025" w:type="dxa"/>
            <w:tcBorders>
              <w:top w:val="single" w:sz="8" w:space="0" w:color="4BACC6"/>
              <w:left w:val="nil"/>
              <w:bottom w:val="single" w:sz="8" w:space="0" w:color="4BACC6"/>
              <w:right w:val="single" w:sz="8" w:space="0" w:color="4BACC6"/>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4.5%</w:t>
            </w:r>
          </w:p>
        </w:tc>
      </w:tr>
      <w:tr w:rsidR="00990CDF" w:rsidRPr="001F113C" w:rsidTr="00D25D65">
        <w:trPr>
          <w:trHeight w:val="276"/>
          <w:jc w:val="center"/>
        </w:trPr>
        <w:tc>
          <w:tcPr>
            <w:tcW w:w="896" w:type="dxa"/>
            <w:tcBorders>
              <w:top w:val="nil"/>
              <w:left w:val="single" w:sz="8" w:space="0" w:color="4BACC6"/>
              <w:bottom w:val="nil"/>
              <w:right w:val="nil"/>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2</w:t>
            </w:r>
          </w:p>
        </w:tc>
        <w:tc>
          <w:tcPr>
            <w:tcW w:w="2242" w:type="dxa"/>
            <w:tcBorders>
              <w:top w:val="nil"/>
              <w:left w:val="single" w:sz="8" w:space="0" w:color="4BACC6"/>
              <w:bottom w:val="nil"/>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Mbrojtja e Mjedisit</w:t>
            </w:r>
          </w:p>
        </w:tc>
        <w:tc>
          <w:tcPr>
            <w:tcW w:w="1153" w:type="dxa"/>
            <w:tcBorders>
              <w:top w:val="nil"/>
              <w:left w:val="nil"/>
              <w:bottom w:val="nil"/>
              <w:right w:val="nil"/>
            </w:tcBorders>
            <w:shd w:val="clear" w:color="000000" w:fill="FFFFFF"/>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441,237</w:t>
            </w:r>
          </w:p>
        </w:tc>
        <w:tc>
          <w:tcPr>
            <w:tcW w:w="1259" w:type="dxa"/>
            <w:tcBorders>
              <w:top w:val="nil"/>
              <w:left w:val="single" w:sz="8" w:space="0" w:color="4BACC6"/>
              <w:bottom w:val="nil"/>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183,000</w:t>
            </w:r>
          </w:p>
        </w:tc>
        <w:tc>
          <w:tcPr>
            <w:tcW w:w="1025" w:type="dxa"/>
            <w:tcBorders>
              <w:top w:val="nil"/>
              <w:left w:val="nil"/>
              <w:bottom w:val="nil"/>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79,368</w:t>
            </w:r>
          </w:p>
        </w:tc>
        <w:tc>
          <w:tcPr>
            <w:tcW w:w="1025" w:type="dxa"/>
            <w:tcBorders>
              <w:top w:val="nil"/>
              <w:left w:val="single" w:sz="8" w:space="0" w:color="4BACC6"/>
              <w:bottom w:val="nil"/>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20,544</w:t>
            </w:r>
          </w:p>
        </w:tc>
        <w:tc>
          <w:tcPr>
            <w:tcW w:w="1025" w:type="dxa"/>
            <w:tcBorders>
              <w:top w:val="nil"/>
              <w:left w:val="nil"/>
              <w:bottom w:val="nil"/>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18.0%</w:t>
            </w:r>
          </w:p>
        </w:tc>
        <w:tc>
          <w:tcPr>
            <w:tcW w:w="1025" w:type="dxa"/>
            <w:tcBorders>
              <w:top w:val="nil"/>
              <w:left w:val="nil"/>
              <w:bottom w:val="nil"/>
              <w:right w:val="single" w:sz="8" w:space="0" w:color="4BACC6"/>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11.2%</w:t>
            </w:r>
          </w:p>
        </w:tc>
      </w:tr>
      <w:tr w:rsidR="00990CDF" w:rsidRPr="001F113C" w:rsidTr="00D25D65">
        <w:trPr>
          <w:trHeight w:val="263"/>
          <w:jc w:val="center"/>
        </w:trPr>
        <w:tc>
          <w:tcPr>
            <w:tcW w:w="896" w:type="dxa"/>
            <w:tcBorders>
              <w:top w:val="single" w:sz="8" w:space="0" w:color="4BACC6"/>
              <w:left w:val="single" w:sz="8" w:space="0" w:color="4BACC6"/>
              <w:bottom w:val="single" w:sz="8" w:space="0" w:color="4BACC6"/>
              <w:right w:val="nil"/>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p>
        </w:tc>
        <w:tc>
          <w:tcPr>
            <w:tcW w:w="2242"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Financimi i huaj</w:t>
            </w:r>
          </w:p>
        </w:tc>
        <w:tc>
          <w:tcPr>
            <w:tcW w:w="1153" w:type="dxa"/>
            <w:tcBorders>
              <w:top w:val="single" w:sz="8" w:space="0" w:color="4BACC6"/>
              <w:left w:val="nil"/>
              <w:bottom w:val="single" w:sz="8" w:space="0" w:color="4BACC6"/>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p>
        </w:tc>
        <w:tc>
          <w:tcPr>
            <w:tcW w:w="1259"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390,000</w:t>
            </w:r>
          </w:p>
        </w:tc>
        <w:tc>
          <w:tcPr>
            <w:tcW w:w="1025" w:type="dxa"/>
            <w:tcBorders>
              <w:top w:val="single" w:sz="8" w:space="0" w:color="4BACC6"/>
              <w:left w:val="nil"/>
              <w:bottom w:val="single" w:sz="8" w:space="0" w:color="4BACC6"/>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p>
        </w:tc>
        <w:tc>
          <w:tcPr>
            <w:tcW w:w="1025"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82,714</w:t>
            </w:r>
          </w:p>
        </w:tc>
        <w:tc>
          <w:tcPr>
            <w:tcW w:w="1025" w:type="dxa"/>
            <w:tcBorders>
              <w:top w:val="single" w:sz="8" w:space="0" w:color="4BACC6"/>
              <w:left w:val="nil"/>
              <w:bottom w:val="single" w:sz="8" w:space="0" w:color="4BACC6"/>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p>
        </w:tc>
        <w:tc>
          <w:tcPr>
            <w:tcW w:w="1025" w:type="dxa"/>
            <w:tcBorders>
              <w:top w:val="single" w:sz="8" w:space="0" w:color="4BACC6"/>
              <w:left w:val="nil"/>
              <w:bottom w:val="single" w:sz="8" w:space="0" w:color="4BACC6"/>
              <w:right w:val="single" w:sz="8" w:space="0" w:color="4BACC6"/>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21.2%</w:t>
            </w:r>
          </w:p>
        </w:tc>
      </w:tr>
      <w:tr w:rsidR="00990CDF" w:rsidRPr="001F113C" w:rsidTr="00D25D65">
        <w:trPr>
          <w:trHeight w:val="276"/>
          <w:jc w:val="center"/>
        </w:trPr>
        <w:tc>
          <w:tcPr>
            <w:tcW w:w="896" w:type="dxa"/>
            <w:tcBorders>
              <w:top w:val="nil"/>
              <w:left w:val="single" w:sz="8" w:space="0" w:color="4BACC6"/>
              <w:bottom w:val="nil"/>
              <w:right w:val="nil"/>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2</w:t>
            </w:r>
          </w:p>
        </w:tc>
        <w:tc>
          <w:tcPr>
            <w:tcW w:w="2242" w:type="dxa"/>
            <w:tcBorders>
              <w:top w:val="nil"/>
              <w:left w:val="single" w:sz="8" w:space="0" w:color="4BACC6"/>
              <w:bottom w:val="nil"/>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Administrimi i Pyjeve</w:t>
            </w:r>
          </w:p>
        </w:tc>
        <w:tc>
          <w:tcPr>
            <w:tcW w:w="1153" w:type="dxa"/>
            <w:tcBorders>
              <w:top w:val="nil"/>
              <w:left w:val="nil"/>
              <w:bottom w:val="nil"/>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323,500</w:t>
            </w:r>
          </w:p>
        </w:tc>
        <w:tc>
          <w:tcPr>
            <w:tcW w:w="1259" w:type="dxa"/>
            <w:tcBorders>
              <w:top w:val="nil"/>
              <w:left w:val="single" w:sz="8" w:space="0" w:color="4BACC6"/>
              <w:bottom w:val="nil"/>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79,900</w:t>
            </w:r>
          </w:p>
        </w:tc>
        <w:tc>
          <w:tcPr>
            <w:tcW w:w="1025" w:type="dxa"/>
            <w:tcBorders>
              <w:top w:val="nil"/>
              <w:left w:val="nil"/>
              <w:bottom w:val="nil"/>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93,062</w:t>
            </w:r>
          </w:p>
        </w:tc>
        <w:tc>
          <w:tcPr>
            <w:tcW w:w="1025" w:type="dxa"/>
            <w:tcBorders>
              <w:top w:val="nil"/>
              <w:left w:val="single" w:sz="8" w:space="0" w:color="4BACC6"/>
              <w:bottom w:val="nil"/>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w:t>
            </w:r>
          </w:p>
        </w:tc>
        <w:tc>
          <w:tcPr>
            <w:tcW w:w="1025" w:type="dxa"/>
            <w:tcBorders>
              <w:top w:val="nil"/>
              <w:left w:val="nil"/>
              <w:bottom w:val="nil"/>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28.8%</w:t>
            </w:r>
          </w:p>
        </w:tc>
        <w:tc>
          <w:tcPr>
            <w:tcW w:w="1025" w:type="dxa"/>
            <w:tcBorders>
              <w:top w:val="nil"/>
              <w:left w:val="nil"/>
              <w:bottom w:val="nil"/>
              <w:right w:val="single" w:sz="8" w:space="0" w:color="4BACC6"/>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0.0%</w:t>
            </w:r>
          </w:p>
        </w:tc>
      </w:tr>
      <w:tr w:rsidR="00990CDF" w:rsidRPr="001F113C" w:rsidTr="00D25D65">
        <w:trPr>
          <w:trHeight w:val="276"/>
          <w:jc w:val="center"/>
        </w:trPr>
        <w:tc>
          <w:tcPr>
            <w:tcW w:w="896" w:type="dxa"/>
            <w:tcBorders>
              <w:top w:val="single" w:sz="8" w:space="0" w:color="4BACC6"/>
              <w:left w:val="single" w:sz="8" w:space="0" w:color="4BACC6"/>
              <w:bottom w:val="single" w:sz="8" w:space="0" w:color="4BACC6"/>
              <w:right w:val="nil"/>
            </w:tcBorders>
            <w:shd w:val="clear" w:color="000000" w:fill="FFFFFF"/>
            <w:vAlign w:val="center"/>
            <w:hideMark/>
          </w:tcPr>
          <w:p w:rsidR="00990CDF" w:rsidRPr="001F113C" w:rsidRDefault="00990CDF" w:rsidP="006F25E7">
            <w:pPr>
              <w:spacing w:line="276" w:lineRule="auto"/>
              <w:jc w:val="center"/>
              <w:rPr>
                <w:rFonts w:asciiTheme="minorHAnsi" w:hAnsiTheme="minorHAnsi"/>
                <w:color w:val="000000"/>
                <w:sz w:val="18"/>
              </w:rPr>
            </w:pPr>
          </w:p>
        </w:tc>
        <w:tc>
          <w:tcPr>
            <w:tcW w:w="2242"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Financimi i huaj</w:t>
            </w:r>
          </w:p>
        </w:tc>
        <w:tc>
          <w:tcPr>
            <w:tcW w:w="1153" w:type="dxa"/>
            <w:tcBorders>
              <w:top w:val="single" w:sz="8" w:space="0" w:color="4BACC6"/>
              <w:left w:val="nil"/>
              <w:bottom w:val="single" w:sz="8" w:space="0" w:color="4BACC6"/>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p>
        </w:tc>
        <w:tc>
          <w:tcPr>
            <w:tcW w:w="1259"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100,000</w:t>
            </w:r>
          </w:p>
        </w:tc>
        <w:tc>
          <w:tcPr>
            <w:tcW w:w="1025" w:type="dxa"/>
            <w:tcBorders>
              <w:top w:val="single" w:sz="8" w:space="0" w:color="4BACC6"/>
              <w:left w:val="nil"/>
              <w:bottom w:val="single" w:sz="8" w:space="0" w:color="4BACC6"/>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p>
        </w:tc>
        <w:tc>
          <w:tcPr>
            <w:tcW w:w="1025"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82,577</w:t>
            </w:r>
          </w:p>
        </w:tc>
        <w:tc>
          <w:tcPr>
            <w:tcW w:w="1025" w:type="dxa"/>
            <w:tcBorders>
              <w:top w:val="single" w:sz="8" w:space="0" w:color="4BACC6"/>
              <w:left w:val="nil"/>
              <w:bottom w:val="single" w:sz="8" w:space="0" w:color="4BACC6"/>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p>
        </w:tc>
        <w:tc>
          <w:tcPr>
            <w:tcW w:w="1025" w:type="dxa"/>
            <w:tcBorders>
              <w:top w:val="single" w:sz="8" w:space="0" w:color="4BACC6"/>
              <w:left w:val="nil"/>
              <w:bottom w:val="single" w:sz="8" w:space="0" w:color="4BACC6"/>
              <w:right w:val="single" w:sz="8" w:space="0" w:color="4BACC6"/>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82.6%</w:t>
            </w:r>
          </w:p>
        </w:tc>
      </w:tr>
      <w:tr w:rsidR="00990CDF" w:rsidRPr="001F113C" w:rsidTr="00D25D65">
        <w:trPr>
          <w:trHeight w:val="276"/>
          <w:jc w:val="center"/>
        </w:trPr>
        <w:tc>
          <w:tcPr>
            <w:tcW w:w="896" w:type="dxa"/>
            <w:tcBorders>
              <w:top w:val="nil"/>
              <w:left w:val="single" w:sz="8" w:space="0" w:color="4BACC6"/>
              <w:bottom w:val="nil"/>
              <w:right w:val="nil"/>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4</w:t>
            </w:r>
          </w:p>
        </w:tc>
        <w:tc>
          <w:tcPr>
            <w:tcW w:w="2242" w:type="dxa"/>
            <w:tcBorders>
              <w:top w:val="nil"/>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Zhvillimi i Turizmit</w:t>
            </w:r>
          </w:p>
        </w:tc>
        <w:tc>
          <w:tcPr>
            <w:tcW w:w="1153" w:type="dxa"/>
            <w:tcBorders>
              <w:top w:val="nil"/>
              <w:left w:val="nil"/>
              <w:bottom w:val="nil"/>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187,893</w:t>
            </w:r>
          </w:p>
        </w:tc>
        <w:tc>
          <w:tcPr>
            <w:tcW w:w="1259" w:type="dxa"/>
            <w:tcBorders>
              <w:top w:val="nil"/>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265,500</w:t>
            </w:r>
          </w:p>
        </w:tc>
        <w:tc>
          <w:tcPr>
            <w:tcW w:w="1025" w:type="dxa"/>
            <w:tcBorders>
              <w:top w:val="nil"/>
              <w:left w:val="nil"/>
              <w:bottom w:val="nil"/>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38,453</w:t>
            </w:r>
          </w:p>
        </w:tc>
        <w:tc>
          <w:tcPr>
            <w:tcW w:w="1025" w:type="dxa"/>
            <w:tcBorders>
              <w:top w:val="nil"/>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24,294</w:t>
            </w:r>
          </w:p>
        </w:tc>
        <w:tc>
          <w:tcPr>
            <w:tcW w:w="1025" w:type="dxa"/>
            <w:tcBorders>
              <w:top w:val="nil"/>
              <w:left w:val="nil"/>
              <w:bottom w:val="nil"/>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20.5%</w:t>
            </w:r>
          </w:p>
        </w:tc>
        <w:tc>
          <w:tcPr>
            <w:tcW w:w="1025" w:type="dxa"/>
            <w:tcBorders>
              <w:top w:val="nil"/>
              <w:left w:val="nil"/>
              <w:bottom w:val="nil"/>
              <w:right w:val="single" w:sz="8" w:space="0" w:color="4BACC6"/>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9.2%</w:t>
            </w:r>
          </w:p>
        </w:tc>
      </w:tr>
      <w:tr w:rsidR="00990CDF" w:rsidRPr="001F113C" w:rsidTr="00D25D65">
        <w:trPr>
          <w:trHeight w:val="276"/>
          <w:jc w:val="center"/>
        </w:trPr>
        <w:tc>
          <w:tcPr>
            <w:tcW w:w="896"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p>
        </w:tc>
        <w:tc>
          <w:tcPr>
            <w:tcW w:w="2242" w:type="dxa"/>
            <w:tcBorders>
              <w:top w:val="nil"/>
              <w:left w:val="nil"/>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Financimi i huaj</w:t>
            </w:r>
          </w:p>
        </w:tc>
        <w:tc>
          <w:tcPr>
            <w:tcW w:w="1153" w:type="dxa"/>
            <w:tcBorders>
              <w:top w:val="single" w:sz="8" w:space="0" w:color="4BACC6"/>
              <w:left w:val="nil"/>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p>
        </w:tc>
        <w:tc>
          <w:tcPr>
            <w:tcW w:w="1259" w:type="dxa"/>
            <w:tcBorders>
              <w:top w:val="nil"/>
              <w:left w:val="nil"/>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100,000</w:t>
            </w:r>
          </w:p>
        </w:tc>
        <w:tc>
          <w:tcPr>
            <w:tcW w:w="1025" w:type="dxa"/>
            <w:tcBorders>
              <w:top w:val="single" w:sz="8" w:space="0" w:color="4BACC6"/>
              <w:left w:val="nil"/>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p>
        </w:tc>
        <w:tc>
          <w:tcPr>
            <w:tcW w:w="1025" w:type="dxa"/>
            <w:tcBorders>
              <w:top w:val="nil"/>
              <w:left w:val="nil"/>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r w:rsidRPr="001F113C">
              <w:rPr>
                <w:rFonts w:asciiTheme="minorHAnsi" w:hAnsiTheme="minorHAnsi"/>
                <w:color w:val="000000"/>
                <w:sz w:val="18"/>
              </w:rPr>
              <w:t>4,163</w:t>
            </w:r>
          </w:p>
        </w:tc>
        <w:tc>
          <w:tcPr>
            <w:tcW w:w="1025" w:type="dxa"/>
            <w:tcBorders>
              <w:top w:val="single" w:sz="8" w:space="0" w:color="4BACC6"/>
              <w:left w:val="nil"/>
              <w:bottom w:val="single" w:sz="8" w:space="0" w:color="4BACC6"/>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color w:val="000000"/>
                <w:sz w:val="18"/>
              </w:rPr>
            </w:pPr>
          </w:p>
        </w:tc>
        <w:tc>
          <w:tcPr>
            <w:tcW w:w="1025" w:type="dxa"/>
            <w:tcBorders>
              <w:top w:val="single" w:sz="8" w:space="0" w:color="4BACC6"/>
              <w:left w:val="nil"/>
              <w:bottom w:val="single" w:sz="8" w:space="0" w:color="4BACC6"/>
              <w:right w:val="single" w:sz="8" w:space="0" w:color="4BACC6"/>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4.2%</w:t>
            </w:r>
          </w:p>
        </w:tc>
      </w:tr>
      <w:tr w:rsidR="00990CDF" w:rsidRPr="001F113C" w:rsidTr="00D25D65">
        <w:trPr>
          <w:trHeight w:val="289"/>
          <w:jc w:val="center"/>
        </w:trPr>
        <w:tc>
          <w:tcPr>
            <w:tcW w:w="896" w:type="dxa"/>
            <w:tcBorders>
              <w:top w:val="nil"/>
              <w:left w:val="single" w:sz="8" w:space="0" w:color="4BACC6"/>
              <w:bottom w:val="single" w:sz="8" w:space="0" w:color="4BACC6"/>
              <w:right w:val="nil"/>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p>
        </w:tc>
        <w:tc>
          <w:tcPr>
            <w:tcW w:w="2242" w:type="dxa"/>
            <w:tcBorders>
              <w:top w:val="nil"/>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Total</w:t>
            </w:r>
          </w:p>
        </w:tc>
        <w:tc>
          <w:tcPr>
            <w:tcW w:w="1153" w:type="dxa"/>
            <w:tcBorders>
              <w:top w:val="nil"/>
              <w:left w:val="nil"/>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1,145,330</w:t>
            </w:r>
          </w:p>
        </w:tc>
        <w:tc>
          <w:tcPr>
            <w:tcW w:w="1259" w:type="dxa"/>
            <w:tcBorders>
              <w:top w:val="nil"/>
              <w:left w:val="nil"/>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1,124,400</w:t>
            </w:r>
          </w:p>
        </w:tc>
        <w:tc>
          <w:tcPr>
            <w:tcW w:w="1025" w:type="dxa"/>
            <w:tcBorders>
              <w:top w:val="nil"/>
              <w:left w:val="nil"/>
              <w:bottom w:val="single" w:sz="8" w:space="0" w:color="4BACC6"/>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265,369</w:t>
            </w:r>
          </w:p>
        </w:tc>
        <w:tc>
          <w:tcPr>
            <w:tcW w:w="1025" w:type="dxa"/>
            <w:tcBorders>
              <w:top w:val="nil"/>
              <w:left w:val="single" w:sz="8" w:space="0" w:color="4BACC6"/>
              <w:bottom w:val="single" w:sz="8" w:space="0" w:color="4BACC6"/>
              <w:right w:val="single" w:sz="8" w:space="0" w:color="4BACC6"/>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214,563</w:t>
            </w:r>
          </w:p>
        </w:tc>
        <w:tc>
          <w:tcPr>
            <w:tcW w:w="1025" w:type="dxa"/>
            <w:tcBorders>
              <w:top w:val="nil"/>
              <w:left w:val="nil"/>
              <w:bottom w:val="single" w:sz="8" w:space="0" w:color="4BACC6"/>
              <w:right w:val="nil"/>
            </w:tcBorders>
            <w:shd w:val="clear" w:color="auto" w:fill="auto"/>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23.2%</w:t>
            </w:r>
          </w:p>
        </w:tc>
        <w:tc>
          <w:tcPr>
            <w:tcW w:w="1025" w:type="dxa"/>
            <w:tcBorders>
              <w:top w:val="nil"/>
              <w:left w:val="nil"/>
              <w:bottom w:val="single" w:sz="8" w:space="0" w:color="4BACC6"/>
              <w:right w:val="single" w:sz="8" w:space="0" w:color="4BACC6"/>
            </w:tcBorders>
            <w:shd w:val="clear" w:color="000000" w:fill="FFFFFF"/>
            <w:vAlign w:val="center"/>
            <w:hideMark/>
          </w:tcPr>
          <w:p w:rsidR="00990CDF" w:rsidRPr="001F113C" w:rsidRDefault="00990CDF" w:rsidP="006F25E7">
            <w:pPr>
              <w:spacing w:line="276" w:lineRule="auto"/>
              <w:jc w:val="center"/>
              <w:rPr>
                <w:rFonts w:asciiTheme="minorHAnsi" w:hAnsiTheme="minorHAnsi"/>
                <w:b/>
                <w:bCs/>
                <w:color w:val="000000"/>
                <w:sz w:val="18"/>
              </w:rPr>
            </w:pPr>
            <w:r w:rsidRPr="001F113C">
              <w:rPr>
                <w:rFonts w:asciiTheme="minorHAnsi" w:hAnsiTheme="minorHAnsi"/>
                <w:b/>
                <w:bCs/>
                <w:color w:val="000000"/>
                <w:sz w:val="18"/>
              </w:rPr>
              <w:t>19.1%</w:t>
            </w:r>
          </w:p>
        </w:tc>
      </w:tr>
    </w:tbl>
    <w:p w:rsidR="00990CDF" w:rsidRPr="00BF005F" w:rsidRDefault="00990CDF" w:rsidP="006F25E7">
      <w:pPr>
        <w:spacing w:before="240" w:after="120" w:line="276" w:lineRule="auto"/>
        <w:contextualSpacing/>
        <w:jc w:val="both"/>
        <w:rPr>
          <w:rFonts w:asciiTheme="minorHAnsi" w:eastAsia="MS Mincho" w:hAnsiTheme="minorHAnsi"/>
          <w:b/>
          <w:lang w:val="sq-AL"/>
        </w:rPr>
      </w:pPr>
    </w:p>
    <w:p w:rsidR="00990CDF" w:rsidRPr="00BF005F" w:rsidRDefault="00990CDF" w:rsidP="006F25E7">
      <w:pPr>
        <w:spacing w:line="276" w:lineRule="auto"/>
        <w:contextualSpacing/>
        <w:jc w:val="both"/>
        <w:rPr>
          <w:rFonts w:asciiTheme="minorHAnsi" w:eastAsia="MS Mincho" w:hAnsiTheme="minorHAnsi"/>
          <w:lang w:val="sq-AL"/>
        </w:rPr>
      </w:pPr>
      <w:r w:rsidRPr="00BF005F">
        <w:rPr>
          <w:rFonts w:asciiTheme="minorHAnsi" w:eastAsia="MS Mincho" w:hAnsiTheme="minorHAnsi"/>
          <w:b/>
          <w:lang w:val="sq-AL"/>
        </w:rPr>
        <w:t>Në programin “Mbrojtja e Mjedisit</w:t>
      </w:r>
      <w:r w:rsidRPr="00BF005F">
        <w:rPr>
          <w:rFonts w:asciiTheme="minorHAnsi" w:eastAsia="MS Mincho" w:hAnsiTheme="minorHAnsi"/>
          <w:lang w:val="sq-AL"/>
        </w:rPr>
        <w:t xml:space="preserve">” për 4 Mujorin e parë të vitit 2021, fondet janë realizuar në nivelin 18 % kundrejt fondeve vjetore te planifikuara. </w:t>
      </w:r>
    </w:p>
    <w:p w:rsidR="00990CDF" w:rsidRPr="00BF005F" w:rsidRDefault="00990CDF" w:rsidP="007F0B61">
      <w:pPr>
        <w:numPr>
          <w:ilvl w:val="0"/>
          <w:numId w:val="17"/>
        </w:numPr>
        <w:spacing w:after="120" w:line="276" w:lineRule="auto"/>
        <w:contextualSpacing/>
        <w:jc w:val="both"/>
        <w:rPr>
          <w:rFonts w:asciiTheme="minorHAnsi" w:eastAsia="MS Mincho" w:hAnsiTheme="minorHAnsi"/>
          <w:lang w:val="sq-AL"/>
        </w:rPr>
      </w:pPr>
      <w:r w:rsidRPr="00BF005F">
        <w:rPr>
          <w:rFonts w:asciiTheme="minorHAnsi" w:eastAsia="MS Mincho" w:hAnsiTheme="minorHAnsi"/>
          <w:lang w:val="sq-AL"/>
        </w:rPr>
        <w:t xml:space="preserve">Produkti </w:t>
      </w:r>
      <w:r w:rsidRPr="00BF005F">
        <w:rPr>
          <w:rFonts w:asciiTheme="minorHAnsi" w:eastAsia="MS Mincho" w:hAnsiTheme="minorHAnsi"/>
          <w:i/>
          <w:lang w:val="sq-AL"/>
        </w:rPr>
        <w:t>“Inspektime te kryera”,</w:t>
      </w:r>
      <w:r w:rsidRPr="00BF005F">
        <w:rPr>
          <w:rFonts w:asciiTheme="minorHAnsi" w:eastAsia="MS Mincho" w:hAnsiTheme="minorHAnsi"/>
          <w:lang w:val="sq-AL"/>
        </w:rPr>
        <w:t xml:space="preserve"> është realizuar në masën 20% përgjatë 4 mujorit, kundrejt fondeve të planifikuara për vitin 2021. </w:t>
      </w:r>
    </w:p>
    <w:p w:rsidR="00990CDF" w:rsidRPr="00BF005F" w:rsidRDefault="00990CDF" w:rsidP="007F0B61">
      <w:pPr>
        <w:numPr>
          <w:ilvl w:val="0"/>
          <w:numId w:val="17"/>
        </w:numPr>
        <w:spacing w:before="240" w:after="120" w:line="276" w:lineRule="auto"/>
        <w:contextualSpacing/>
        <w:jc w:val="both"/>
        <w:rPr>
          <w:rFonts w:asciiTheme="minorHAnsi" w:eastAsia="MS Mincho" w:hAnsiTheme="minorHAnsi"/>
          <w:lang w:val="sq-AL"/>
        </w:rPr>
      </w:pPr>
      <w:r w:rsidRPr="00BF005F">
        <w:rPr>
          <w:rFonts w:asciiTheme="minorHAnsi" w:eastAsia="MS Mincho" w:hAnsiTheme="minorHAnsi"/>
          <w:lang w:val="sq-AL"/>
        </w:rPr>
        <w:t xml:space="preserve">Produkti </w:t>
      </w:r>
      <w:r w:rsidRPr="00BF005F">
        <w:rPr>
          <w:rFonts w:asciiTheme="minorHAnsi" w:eastAsia="MS Mincho" w:hAnsiTheme="minorHAnsi"/>
          <w:i/>
          <w:lang w:val="sq-AL"/>
        </w:rPr>
        <w:t>“Raporte monitorimi”</w:t>
      </w:r>
      <w:r w:rsidRPr="00BF005F">
        <w:rPr>
          <w:rFonts w:asciiTheme="minorHAnsi" w:eastAsia="MS Mincho" w:hAnsiTheme="minorHAnsi"/>
          <w:lang w:val="sq-AL"/>
        </w:rPr>
        <w:t xml:space="preserve"> është realizuar në masën 31% përgjatë 4 mujorit, kundrejt fondeve të planifikuara për vitin 2021. </w:t>
      </w:r>
    </w:p>
    <w:p w:rsidR="00990CDF" w:rsidRPr="00BF005F" w:rsidRDefault="00990CDF" w:rsidP="007F0B61">
      <w:pPr>
        <w:numPr>
          <w:ilvl w:val="0"/>
          <w:numId w:val="17"/>
        </w:numPr>
        <w:spacing w:before="240" w:after="120" w:line="276" w:lineRule="auto"/>
        <w:contextualSpacing/>
        <w:jc w:val="both"/>
        <w:rPr>
          <w:rFonts w:asciiTheme="minorHAnsi" w:eastAsia="MS Mincho" w:hAnsiTheme="minorHAnsi"/>
          <w:lang w:val="sq-AL"/>
        </w:rPr>
      </w:pPr>
      <w:r w:rsidRPr="00BF005F">
        <w:rPr>
          <w:rFonts w:asciiTheme="minorHAnsi" w:eastAsia="MS Mincho" w:hAnsiTheme="minorHAnsi"/>
          <w:lang w:val="sq-AL"/>
        </w:rPr>
        <w:t>Produkti “Akte ligjore dhe nënligjore, dokumenta strategjike”, është realizuar në masën 6 % përgjatë 4 mujorit të parë të vitit 2021, kundrejt fondeve të planifikuara për vitin 2021.</w:t>
      </w:r>
    </w:p>
    <w:p w:rsidR="00D25D65" w:rsidRPr="00D25D65" w:rsidRDefault="00D25D65" w:rsidP="006F25E7">
      <w:pPr>
        <w:spacing w:line="276" w:lineRule="auto"/>
        <w:contextualSpacing/>
        <w:jc w:val="both"/>
        <w:rPr>
          <w:rFonts w:asciiTheme="minorHAnsi" w:eastAsia="MS Mincho" w:hAnsiTheme="minorHAnsi"/>
          <w:b/>
          <w:sz w:val="8"/>
          <w:szCs w:val="8"/>
          <w:lang w:val="sq-AL"/>
        </w:rPr>
      </w:pPr>
    </w:p>
    <w:p w:rsidR="00990CDF" w:rsidRPr="00BF005F" w:rsidRDefault="00990CDF" w:rsidP="006F25E7">
      <w:pPr>
        <w:spacing w:line="276" w:lineRule="auto"/>
        <w:contextualSpacing/>
        <w:jc w:val="both"/>
        <w:rPr>
          <w:rFonts w:asciiTheme="minorHAnsi" w:eastAsia="MS Mincho" w:hAnsiTheme="minorHAnsi"/>
          <w:lang w:val="sq-AL"/>
        </w:rPr>
      </w:pPr>
      <w:r w:rsidRPr="00BF005F">
        <w:rPr>
          <w:rFonts w:asciiTheme="minorHAnsi" w:eastAsia="MS Mincho" w:hAnsiTheme="minorHAnsi"/>
          <w:b/>
          <w:lang w:val="sq-AL"/>
        </w:rPr>
        <w:t>Në programin “Administrimi i Pyjeve</w:t>
      </w:r>
      <w:r w:rsidRPr="00BF005F">
        <w:rPr>
          <w:rFonts w:asciiTheme="minorHAnsi" w:eastAsia="MS Mincho" w:hAnsiTheme="minorHAnsi"/>
          <w:lang w:val="sq-AL"/>
        </w:rPr>
        <w:t xml:space="preserve">” për 4 Mujorin e parë të vitit 2021, fondet janë realizuar në nivelin 34 % kundrejt fondeve vjetore te planifikuara. Produktet, të cilët kanë kontribuar në realizimin e qëllimit të programit paraqiten si vijon: </w:t>
      </w:r>
    </w:p>
    <w:p w:rsidR="00990CDF" w:rsidRPr="00BF005F" w:rsidRDefault="00990CDF" w:rsidP="007F0B61">
      <w:pPr>
        <w:numPr>
          <w:ilvl w:val="0"/>
          <w:numId w:val="18"/>
        </w:numPr>
        <w:spacing w:after="120" w:line="276" w:lineRule="auto"/>
        <w:contextualSpacing/>
        <w:jc w:val="both"/>
        <w:rPr>
          <w:rFonts w:asciiTheme="minorHAnsi" w:eastAsia="MS Mincho" w:hAnsiTheme="minorHAnsi"/>
          <w:lang w:val="sq-AL"/>
        </w:rPr>
      </w:pPr>
      <w:r w:rsidRPr="00BF005F">
        <w:rPr>
          <w:rFonts w:asciiTheme="minorHAnsi" w:eastAsia="MS Mincho" w:hAnsiTheme="minorHAnsi"/>
          <w:lang w:val="sq-AL"/>
        </w:rPr>
        <w:t xml:space="preserve">Produkti </w:t>
      </w:r>
      <w:r w:rsidRPr="00BF005F">
        <w:rPr>
          <w:rFonts w:asciiTheme="minorHAnsi" w:eastAsia="MS Mincho" w:hAnsiTheme="minorHAnsi"/>
          <w:i/>
          <w:lang w:val="sq-AL"/>
        </w:rPr>
        <w:t>“Raporte monitorimi në Zonat e Mbrojtura”,</w:t>
      </w:r>
      <w:r w:rsidRPr="00BF005F">
        <w:rPr>
          <w:rFonts w:asciiTheme="minorHAnsi" w:eastAsia="MS Mincho" w:hAnsiTheme="minorHAnsi"/>
          <w:lang w:val="sq-AL"/>
        </w:rPr>
        <w:t xml:space="preserve"> është realizuar në masën 30% përgjatë 4 mujorit, kundrejt fondeve të planifikuara për vitin 2021. </w:t>
      </w:r>
    </w:p>
    <w:p w:rsidR="00990CDF" w:rsidRPr="00BF005F" w:rsidRDefault="00990CDF" w:rsidP="007F0B61">
      <w:pPr>
        <w:numPr>
          <w:ilvl w:val="0"/>
          <w:numId w:val="18"/>
        </w:numPr>
        <w:spacing w:before="240" w:after="120" w:line="276" w:lineRule="auto"/>
        <w:contextualSpacing/>
        <w:jc w:val="both"/>
        <w:rPr>
          <w:rFonts w:asciiTheme="minorHAnsi" w:eastAsia="MS Mincho" w:hAnsiTheme="minorHAnsi"/>
          <w:lang w:val="sq-AL"/>
        </w:rPr>
      </w:pPr>
      <w:r w:rsidRPr="00BF005F">
        <w:rPr>
          <w:rFonts w:asciiTheme="minorHAnsi" w:eastAsia="MS Mincho" w:hAnsiTheme="minorHAnsi"/>
          <w:lang w:val="sq-AL"/>
        </w:rPr>
        <w:t xml:space="preserve">Produkti </w:t>
      </w:r>
      <w:r w:rsidRPr="00BF005F">
        <w:rPr>
          <w:rFonts w:asciiTheme="minorHAnsi" w:eastAsia="MS Mincho" w:hAnsiTheme="minorHAnsi"/>
          <w:i/>
          <w:lang w:val="sq-AL"/>
        </w:rPr>
        <w:t>“Objekte te administruara nga Agjencia Kombëtare e Zonave të Mbrojtura”</w:t>
      </w:r>
      <w:r w:rsidRPr="00BF005F">
        <w:rPr>
          <w:rFonts w:asciiTheme="minorHAnsi" w:eastAsia="MS Mincho" w:hAnsiTheme="minorHAnsi"/>
          <w:lang w:val="sq-AL"/>
        </w:rPr>
        <w:t xml:space="preserve"> është realizuar në masën 20% përgjatë 4 mujorit, kundrejt fondeve të planifikuara për vitin 2021. </w:t>
      </w:r>
    </w:p>
    <w:p w:rsidR="00990CDF" w:rsidRPr="00BF005F" w:rsidRDefault="00990CDF" w:rsidP="007F0B61">
      <w:pPr>
        <w:numPr>
          <w:ilvl w:val="0"/>
          <w:numId w:val="18"/>
        </w:numPr>
        <w:spacing w:before="240" w:after="120" w:line="276" w:lineRule="auto"/>
        <w:contextualSpacing/>
        <w:jc w:val="both"/>
        <w:rPr>
          <w:rFonts w:asciiTheme="minorHAnsi" w:eastAsia="MS Mincho" w:hAnsiTheme="minorHAnsi"/>
          <w:lang w:val="sq-AL"/>
        </w:rPr>
      </w:pPr>
      <w:r w:rsidRPr="00BF005F">
        <w:rPr>
          <w:rFonts w:asciiTheme="minorHAnsi" w:eastAsia="MS Mincho" w:hAnsiTheme="minorHAnsi"/>
          <w:lang w:val="sq-AL"/>
        </w:rPr>
        <w:t xml:space="preserve">Produkti </w:t>
      </w:r>
      <w:r w:rsidRPr="00BF005F">
        <w:rPr>
          <w:rFonts w:asciiTheme="minorHAnsi" w:eastAsia="MS Mincho" w:hAnsiTheme="minorHAnsi"/>
          <w:i/>
          <w:lang w:val="sq-AL"/>
        </w:rPr>
        <w:t>“Inspektime te kryera”</w:t>
      </w:r>
      <w:r w:rsidRPr="00BF005F">
        <w:rPr>
          <w:rFonts w:asciiTheme="minorHAnsi" w:eastAsia="MS Mincho" w:hAnsiTheme="minorHAnsi"/>
          <w:lang w:val="sq-AL"/>
        </w:rPr>
        <w:t xml:space="preserve"> është realizuar në masën  37% përgjatë 4 mujorit, kundrejt fondeve të planifikuara për vitin 2021. </w:t>
      </w:r>
    </w:p>
    <w:p w:rsidR="00D25D65" w:rsidRPr="00D25D65" w:rsidRDefault="00D25D65" w:rsidP="006F25E7">
      <w:pPr>
        <w:spacing w:before="240" w:line="276" w:lineRule="auto"/>
        <w:contextualSpacing/>
        <w:jc w:val="both"/>
        <w:rPr>
          <w:rFonts w:asciiTheme="minorHAnsi" w:eastAsia="MS Mincho" w:hAnsiTheme="minorHAnsi"/>
          <w:b/>
          <w:sz w:val="8"/>
          <w:szCs w:val="8"/>
          <w:lang w:val="sq-AL"/>
        </w:rPr>
      </w:pPr>
    </w:p>
    <w:p w:rsidR="00990CDF" w:rsidRPr="00BF005F" w:rsidRDefault="00990CDF" w:rsidP="006F25E7">
      <w:pPr>
        <w:spacing w:before="240" w:line="276" w:lineRule="auto"/>
        <w:contextualSpacing/>
        <w:jc w:val="both"/>
        <w:rPr>
          <w:rFonts w:asciiTheme="minorHAnsi" w:eastAsia="MS Mincho" w:hAnsiTheme="minorHAnsi"/>
          <w:lang w:val="sq-AL"/>
        </w:rPr>
      </w:pPr>
      <w:r w:rsidRPr="00BF005F">
        <w:rPr>
          <w:rFonts w:asciiTheme="minorHAnsi" w:eastAsia="MS Mincho" w:hAnsiTheme="minorHAnsi"/>
          <w:b/>
          <w:lang w:val="sq-AL"/>
        </w:rPr>
        <w:t>Në programin “Zhvillimi i Turizmit</w:t>
      </w:r>
      <w:r w:rsidRPr="00BF005F">
        <w:rPr>
          <w:rFonts w:asciiTheme="minorHAnsi" w:eastAsia="MS Mincho" w:hAnsiTheme="minorHAnsi"/>
          <w:lang w:val="sq-AL"/>
        </w:rPr>
        <w:t>” për 4 Mujorin e parë të vitit 2021, fondet janë realizuar në nivelin 12% kundrejt fondeve vjetore te planifikuara. Produktet të cilët kanë kontribuar në realizimin e objektivave të këtij programi paraqiten si vijon:</w:t>
      </w:r>
    </w:p>
    <w:p w:rsidR="00990CDF" w:rsidRPr="00BF005F" w:rsidRDefault="00990CDF" w:rsidP="007F0B61">
      <w:pPr>
        <w:numPr>
          <w:ilvl w:val="0"/>
          <w:numId w:val="19"/>
        </w:numPr>
        <w:spacing w:after="120" w:line="276" w:lineRule="auto"/>
        <w:contextualSpacing/>
        <w:jc w:val="both"/>
        <w:rPr>
          <w:rFonts w:asciiTheme="minorHAnsi" w:eastAsia="MS Mincho" w:hAnsiTheme="minorHAnsi"/>
          <w:lang w:val="sq-AL"/>
        </w:rPr>
      </w:pPr>
      <w:r w:rsidRPr="00BF005F">
        <w:rPr>
          <w:rFonts w:asciiTheme="minorHAnsi" w:eastAsia="MS Mincho" w:hAnsiTheme="minorHAnsi"/>
          <w:lang w:val="sq-AL"/>
        </w:rPr>
        <w:t xml:space="preserve">Produkti </w:t>
      </w:r>
      <w:r w:rsidRPr="00BF005F">
        <w:rPr>
          <w:rFonts w:asciiTheme="minorHAnsi" w:eastAsia="MS Mincho" w:hAnsiTheme="minorHAnsi"/>
          <w:i/>
          <w:lang w:val="sq-AL"/>
        </w:rPr>
        <w:t>“Monitorime të kryera përgjatë gjithë vijës bregdetare”,</w:t>
      </w:r>
      <w:r w:rsidRPr="00BF005F">
        <w:rPr>
          <w:rFonts w:asciiTheme="minorHAnsi" w:eastAsia="MS Mincho" w:hAnsiTheme="minorHAnsi"/>
          <w:lang w:val="sq-AL"/>
        </w:rPr>
        <w:t xml:space="preserve"> është realizuar në masën  22% përgjatë 4 mujorit, kundrejt fondeve të planifikuara për vitin 2021. </w:t>
      </w:r>
    </w:p>
    <w:p w:rsidR="00990CDF" w:rsidRPr="00BF005F" w:rsidRDefault="00990CDF" w:rsidP="007F0B61">
      <w:pPr>
        <w:numPr>
          <w:ilvl w:val="0"/>
          <w:numId w:val="19"/>
        </w:numPr>
        <w:spacing w:before="240" w:after="120" w:line="276" w:lineRule="auto"/>
        <w:contextualSpacing/>
        <w:jc w:val="both"/>
        <w:rPr>
          <w:rFonts w:asciiTheme="minorHAnsi" w:eastAsia="MS Mincho" w:hAnsiTheme="minorHAnsi"/>
          <w:lang w:val="sq-AL"/>
        </w:rPr>
      </w:pPr>
      <w:r w:rsidRPr="00BF005F">
        <w:rPr>
          <w:rFonts w:asciiTheme="minorHAnsi" w:eastAsia="MS Mincho" w:hAnsiTheme="minorHAnsi"/>
          <w:lang w:val="sq-AL"/>
        </w:rPr>
        <w:t xml:space="preserve">Produkti </w:t>
      </w:r>
      <w:r w:rsidRPr="00BF005F">
        <w:rPr>
          <w:rFonts w:asciiTheme="minorHAnsi" w:eastAsia="MS Mincho" w:hAnsiTheme="minorHAnsi"/>
          <w:i/>
          <w:lang w:val="sq-AL"/>
        </w:rPr>
        <w:t>“Turizëm i promovuar”</w:t>
      </w:r>
      <w:r w:rsidRPr="00BF005F">
        <w:rPr>
          <w:rFonts w:asciiTheme="minorHAnsi" w:eastAsia="MS Mincho" w:hAnsiTheme="minorHAnsi"/>
          <w:lang w:val="sq-AL"/>
        </w:rPr>
        <w:t xml:space="preserve"> është realizuar në masën 21% përgjatë 4 mujorit, kundrejt fondeve të planifikuara për vitin 2021. </w:t>
      </w:r>
    </w:p>
    <w:p w:rsidR="00990CDF" w:rsidRPr="00BF005F" w:rsidRDefault="00990CDF" w:rsidP="006F25E7">
      <w:pPr>
        <w:spacing w:after="200" w:line="276" w:lineRule="auto"/>
        <w:rPr>
          <w:rFonts w:asciiTheme="minorHAnsi" w:eastAsiaTheme="minorHAnsi" w:hAnsiTheme="minorHAnsi" w:cstheme="minorBidi"/>
          <w:lang w:val="sq-AL"/>
        </w:rPr>
      </w:pPr>
    </w:p>
    <w:p w:rsidR="00990CDF" w:rsidRPr="00BF005F" w:rsidRDefault="00990CDF" w:rsidP="006F25E7">
      <w:pPr>
        <w:pStyle w:val="ListParagraph"/>
        <w:spacing w:before="240" w:after="120" w:line="276" w:lineRule="auto"/>
        <w:jc w:val="both"/>
        <w:rPr>
          <w:rFonts w:asciiTheme="minorHAnsi" w:eastAsia="MS Mincho" w:hAnsiTheme="minorHAnsi"/>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bookmarkStart w:id="133" w:name="_Toc10033302"/>
      <w:bookmarkStart w:id="134" w:name="_Toc10721438"/>
      <w:bookmarkStart w:id="135" w:name="_Toc11134230"/>
      <w:r w:rsidRPr="00BF005F">
        <w:rPr>
          <w:rFonts w:asciiTheme="minorHAnsi" w:hAnsiTheme="minorHAnsi"/>
          <w:b/>
          <w:noProof/>
          <w:color w:val="0070C0"/>
          <w:lang w:val="sq-AL"/>
        </w:rPr>
        <w:lastRenderedPageBreak/>
        <w:t>DREJTËSIA</w:t>
      </w:r>
      <w:bookmarkEnd w:id="133"/>
      <w:bookmarkEnd w:id="134"/>
      <w:bookmarkEnd w:id="135"/>
    </w:p>
    <w:p w:rsidR="00990CDF" w:rsidRPr="00BF005F" w:rsidRDefault="00990CDF" w:rsidP="006F25E7">
      <w:pPr>
        <w:spacing w:line="276" w:lineRule="auto"/>
        <w:jc w:val="both"/>
        <w:rPr>
          <w:rFonts w:asciiTheme="minorHAnsi" w:eastAsia="MS Mincho" w:hAnsiTheme="minorHAnsi"/>
          <w:color w:val="000000"/>
          <w:lang w:val="sq-AL"/>
        </w:rPr>
      </w:pPr>
      <w:bookmarkStart w:id="136" w:name="_Toc10721442"/>
      <w:bookmarkStart w:id="137" w:name="_Toc11134231"/>
      <w:bookmarkStart w:id="138" w:name="_Toc10033303"/>
      <w:bookmarkStart w:id="139" w:name="_Toc10721439"/>
      <w:bookmarkStart w:id="140" w:name="_Toc11134232"/>
      <w:r w:rsidRPr="00BF005F">
        <w:rPr>
          <w:rFonts w:asciiTheme="minorHAnsi" w:eastAsia="MS Mincho" w:hAnsiTheme="minorHAnsi"/>
          <w:color w:val="000000"/>
          <w:lang w:val="sq-AL"/>
        </w:rPr>
        <w:t>Performanca e treguesve buxhetorë për nëntë programet në Ministrinë Drejtësisë, paraqitet si më poshtë:</w:t>
      </w:r>
    </w:p>
    <w:p w:rsidR="00990CDF" w:rsidRPr="00D25D65" w:rsidRDefault="00990CDF" w:rsidP="006F25E7">
      <w:pPr>
        <w:pStyle w:val="Caption"/>
        <w:spacing w:after="0" w:line="276" w:lineRule="auto"/>
        <w:rPr>
          <w:rFonts w:asciiTheme="minorHAnsi" w:hAnsiTheme="minorHAnsi"/>
          <w:i/>
          <w:color w:val="000000"/>
          <w:sz w:val="22"/>
          <w:szCs w:val="24"/>
          <w:lang w:val="sq-AL"/>
        </w:rPr>
      </w:pPr>
      <w:r w:rsidRPr="00D25D65">
        <w:rPr>
          <w:rFonts w:asciiTheme="minorHAnsi" w:hAnsiTheme="minorHAnsi"/>
          <w:b w:val="0"/>
          <w:bCs w:val="0"/>
          <w:i/>
          <w:noProof/>
          <w:color w:val="auto"/>
          <w:sz w:val="22"/>
          <w:szCs w:val="24"/>
          <w:lang w:val="sq-AL"/>
        </w:rPr>
        <w:t xml:space="preserve">Tabela </w:t>
      </w:r>
      <w:r w:rsidR="00CF57B7">
        <w:rPr>
          <w:rFonts w:asciiTheme="minorHAnsi" w:hAnsiTheme="minorHAnsi"/>
          <w:b w:val="0"/>
          <w:bCs w:val="0"/>
          <w:i/>
          <w:noProof/>
          <w:color w:val="auto"/>
          <w:sz w:val="22"/>
          <w:szCs w:val="24"/>
          <w:lang w:val="sq-AL"/>
        </w:rPr>
        <w:t>33</w:t>
      </w:r>
      <w:r w:rsidRPr="00D25D65">
        <w:rPr>
          <w:rFonts w:asciiTheme="minorHAnsi" w:hAnsiTheme="minorHAnsi"/>
          <w:b w:val="0"/>
          <w:bCs w:val="0"/>
          <w:i/>
          <w:noProof/>
          <w:color w:val="auto"/>
          <w:sz w:val="22"/>
          <w:szCs w:val="24"/>
          <w:lang w:val="sq-AL"/>
        </w:rPr>
        <w:t>: Drejtësia</w:t>
      </w:r>
    </w:p>
    <w:p w:rsidR="00990CDF" w:rsidRPr="00BF005F" w:rsidRDefault="00990CDF" w:rsidP="006F25E7">
      <w:pPr>
        <w:spacing w:line="276" w:lineRule="auto"/>
        <w:ind w:left="2880" w:firstLine="720"/>
        <w:jc w:val="right"/>
        <w:rPr>
          <w:rFonts w:asciiTheme="minorHAnsi" w:hAnsiTheme="minorHAnsi"/>
          <w:i/>
          <w:color w:val="000000"/>
          <w:lang w:val="sq-AL"/>
        </w:rPr>
      </w:pPr>
      <w:r w:rsidRPr="00BF005F">
        <w:rPr>
          <w:rFonts w:asciiTheme="minorHAnsi" w:hAnsiTheme="minorHAnsi"/>
          <w:i/>
          <w:color w:val="000000"/>
          <w:lang w:val="sq-AL"/>
        </w:rPr>
        <w:t>Në mijë lekë</w:t>
      </w:r>
    </w:p>
    <w:tbl>
      <w:tblPr>
        <w:tblStyle w:val="ListTable3-Accent522"/>
        <w:tblW w:w="10570" w:type="dxa"/>
        <w:jc w:val="center"/>
        <w:tblLook w:val="0000" w:firstRow="0" w:lastRow="0" w:firstColumn="0" w:lastColumn="0" w:noHBand="0" w:noVBand="0"/>
      </w:tblPr>
      <w:tblGrid>
        <w:gridCol w:w="488"/>
        <w:gridCol w:w="3426"/>
        <w:gridCol w:w="1233"/>
        <w:gridCol w:w="1257"/>
        <w:gridCol w:w="1139"/>
        <w:gridCol w:w="1101"/>
        <w:gridCol w:w="924"/>
        <w:gridCol w:w="1002"/>
      </w:tblGrid>
      <w:tr w:rsidR="00990CDF" w:rsidRPr="00D25D65" w:rsidTr="00D25D65">
        <w:trPr>
          <w:cnfStyle w:val="000000100000" w:firstRow="0" w:lastRow="0" w:firstColumn="0" w:lastColumn="0" w:oddVBand="0" w:evenVBand="0" w:oddHBand="1" w:evenHBand="0" w:firstRowFirstColumn="0" w:firstRowLastColumn="0" w:lastRowFirstColumn="0" w:lastRowLastColumn="0"/>
          <w:trHeight w:val="154"/>
          <w:jc w:val="center"/>
        </w:trPr>
        <w:tc>
          <w:tcPr>
            <w:cnfStyle w:val="000010000000" w:firstRow="0" w:lastRow="0" w:firstColumn="0" w:lastColumn="0" w:oddVBand="1" w:evenVBand="0" w:oddHBand="0" w:evenHBand="0" w:firstRowFirstColumn="0" w:firstRowLastColumn="0" w:lastRowFirstColumn="0" w:lastRowLastColumn="0"/>
            <w:tcW w:w="488" w:type="dxa"/>
            <w:vMerge w:val="restart"/>
            <w:shd w:val="clear" w:color="auto" w:fill="B6DDE8" w:themeFill="accent5" w:themeFillTint="66"/>
          </w:tcPr>
          <w:p w:rsidR="00990CDF" w:rsidRPr="00D25D65" w:rsidRDefault="00990CDF" w:rsidP="006F25E7">
            <w:pPr>
              <w:spacing w:line="276" w:lineRule="auto"/>
              <w:jc w:val="both"/>
              <w:rPr>
                <w:rFonts w:asciiTheme="minorHAnsi" w:hAnsiTheme="minorHAnsi"/>
                <w:b/>
                <w:bCs/>
                <w:sz w:val="18"/>
                <w:lang w:val="sq-AL"/>
              </w:rPr>
            </w:pPr>
          </w:p>
          <w:p w:rsidR="00990CDF" w:rsidRPr="00D25D65" w:rsidRDefault="00990CDF" w:rsidP="006F25E7">
            <w:pPr>
              <w:spacing w:line="276" w:lineRule="auto"/>
              <w:jc w:val="both"/>
              <w:rPr>
                <w:rFonts w:asciiTheme="minorHAnsi" w:hAnsiTheme="minorHAnsi"/>
                <w:b/>
                <w:bCs/>
                <w:sz w:val="18"/>
                <w:lang w:val="sq-AL"/>
              </w:rPr>
            </w:pPr>
            <w:r w:rsidRPr="00D25D65">
              <w:rPr>
                <w:rFonts w:asciiTheme="minorHAnsi" w:hAnsiTheme="minorHAnsi"/>
                <w:b/>
                <w:bCs/>
                <w:sz w:val="18"/>
                <w:lang w:val="sq-AL"/>
              </w:rPr>
              <w:t>NR</w:t>
            </w:r>
          </w:p>
        </w:tc>
        <w:tc>
          <w:tcPr>
            <w:tcW w:w="3426" w:type="dxa"/>
            <w:vMerge w:val="restart"/>
            <w:shd w:val="clear" w:color="auto" w:fill="B6DDE8" w:themeFill="accent5" w:themeFillTint="66"/>
          </w:tcPr>
          <w:p w:rsidR="00990CDF" w:rsidRPr="00D25D65" w:rsidRDefault="00990CDF" w:rsidP="006F25E7">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p>
          <w:p w:rsidR="00990CDF" w:rsidRPr="00D25D65"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D25D65">
              <w:rPr>
                <w:rFonts w:asciiTheme="minorHAnsi" w:hAnsiTheme="minorHAnsi"/>
                <w:b/>
                <w:bCs/>
                <w:sz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2490" w:type="dxa"/>
            <w:gridSpan w:val="2"/>
            <w:shd w:val="clear" w:color="auto" w:fill="B6DDE8" w:themeFill="accent5" w:themeFillTint="66"/>
          </w:tcPr>
          <w:p w:rsidR="00990CDF" w:rsidRPr="00D25D65" w:rsidRDefault="00990CDF" w:rsidP="006F25E7">
            <w:pPr>
              <w:spacing w:line="276" w:lineRule="auto"/>
              <w:jc w:val="center"/>
              <w:rPr>
                <w:rFonts w:asciiTheme="minorHAnsi" w:hAnsiTheme="minorHAnsi"/>
                <w:b/>
                <w:bCs/>
                <w:sz w:val="18"/>
                <w:lang w:val="sq-AL"/>
              </w:rPr>
            </w:pPr>
            <w:r w:rsidRPr="00D25D65">
              <w:rPr>
                <w:rFonts w:asciiTheme="minorHAnsi" w:hAnsiTheme="minorHAnsi"/>
                <w:b/>
                <w:bCs/>
                <w:sz w:val="18"/>
                <w:lang w:val="sq-AL"/>
              </w:rPr>
              <w:t>Plani 2021</w:t>
            </w:r>
          </w:p>
        </w:tc>
        <w:tc>
          <w:tcPr>
            <w:tcW w:w="2240" w:type="dxa"/>
            <w:gridSpan w:val="2"/>
            <w:shd w:val="clear" w:color="auto" w:fill="B6DDE8" w:themeFill="accent5" w:themeFillTint="66"/>
          </w:tcPr>
          <w:p w:rsidR="00990CDF" w:rsidRPr="00D25D65"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D25D65">
              <w:rPr>
                <w:rFonts w:asciiTheme="minorHAnsi" w:hAnsiTheme="minorHAnsi"/>
                <w:b/>
                <w:sz w:val="18"/>
                <w:lang w:val="sq-AL"/>
              </w:rPr>
              <w:t>Fakti 4-mujori 2021</w:t>
            </w:r>
          </w:p>
        </w:tc>
        <w:tc>
          <w:tcPr>
            <w:cnfStyle w:val="000010000000" w:firstRow="0" w:lastRow="0" w:firstColumn="0" w:lastColumn="0" w:oddVBand="1" w:evenVBand="0" w:oddHBand="0" w:evenHBand="0" w:firstRowFirstColumn="0" w:firstRowLastColumn="0" w:lastRowFirstColumn="0" w:lastRowLastColumn="0"/>
            <w:tcW w:w="1926" w:type="dxa"/>
            <w:gridSpan w:val="2"/>
            <w:shd w:val="clear" w:color="auto" w:fill="B6DDE8" w:themeFill="accent5" w:themeFillTint="66"/>
          </w:tcPr>
          <w:p w:rsidR="00990CDF" w:rsidRPr="00D25D65" w:rsidRDefault="00990CDF" w:rsidP="006F25E7">
            <w:pPr>
              <w:spacing w:line="276" w:lineRule="auto"/>
              <w:jc w:val="both"/>
              <w:rPr>
                <w:rFonts w:asciiTheme="minorHAnsi" w:hAnsiTheme="minorHAnsi"/>
                <w:b/>
                <w:bCs/>
                <w:sz w:val="18"/>
                <w:lang w:val="sq-AL"/>
              </w:rPr>
            </w:pPr>
            <w:r w:rsidRPr="00D25D65">
              <w:rPr>
                <w:rFonts w:asciiTheme="minorHAnsi" w:hAnsiTheme="minorHAnsi"/>
                <w:b/>
                <w:bCs/>
                <w:sz w:val="18"/>
                <w:lang w:val="sq-AL"/>
              </w:rPr>
              <w:t>Përqindja  e realizimit</w:t>
            </w:r>
          </w:p>
        </w:tc>
      </w:tr>
      <w:tr w:rsidR="00990CDF" w:rsidRPr="00D25D65" w:rsidTr="00D25D65">
        <w:trPr>
          <w:trHeight w:val="376"/>
          <w:jc w:val="center"/>
        </w:trPr>
        <w:tc>
          <w:tcPr>
            <w:cnfStyle w:val="000010000000" w:firstRow="0" w:lastRow="0" w:firstColumn="0" w:lastColumn="0" w:oddVBand="1" w:evenVBand="0" w:oddHBand="0" w:evenHBand="0" w:firstRowFirstColumn="0" w:firstRowLastColumn="0" w:lastRowFirstColumn="0" w:lastRowLastColumn="0"/>
            <w:tcW w:w="488" w:type="dxa"/>
            <w:vMerge/>
            <w:shd w:val="clear" w:color="auto" w:fill="B6DDE8" w:themeFill="accent5" w:themeFillTint="66"/>
          </w:tcPr>
          <w:p w:rsidR="00990CDF" w:rsidRPr="00D25D65" w:rsidRDefault="00990CDF" w:rsidP="006F25E7">
            <w:pPr>
              <w:spacing w:line="276" w:lineRule="auto"/>
              <w:jc w:val="both"/>
              <w:rPr>
                <w:rFonts w:asciiTheme="minorHAnsi" w:hAnsiTheme="minorHAnsi"/>
                <w:b/>
                <w:color w:val="FF0000"/>
                <w:sz w:val="18"/>
                <w:lang w:val="sq-AL"/>
              </w:rPr>
            </w:pPr>
          </w:p>
        </w:tc>
        <w:tc>
          <w:tcPr>
            <w:tcW w:w="3426" w:type="dxa"/>
            <w:vMerge/>
            <w:shd w:val="clear" w:color="auto" w:fill="B6DDE8" w:themeFill="accent5" w:themeFillTint="66"/>
          </w:tcPr>
          <w:p w:rsidR="00990CDF" w:rsidRPr="00D25D65"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color w:val="FF0000"/>
                <w:sz w:val="18"/>
                <w:lang w:val="sq-AL"/>
              </w:rPr>
            </w:pPr>
          </w:p>
        </w:tc>
        <w:tc>
          <w:tcPr>
            <w:cnfStyle w:val="000010000000" w:firstRow="0" w:lastRow="0" w:firstColumn="0" w:lastColumn="0" w:oddVBand="1" w:evenVBand="0" w:oddHBand="0" w:evenHBand="0" w:firstRowFirstColumn="0" w:firstRowLastColumn="0" w:lastRowFirstColumn="0" w:lastRowLastColumn="0"/>
            <w:tcW w:w="1233" w:type="dxa"/>
            <w:shd w:val="clear" w:color="auto" w:fill="B6DDE8" w:themeFill="accent5" w:themeFillTint="66"/>
          </w:tcPr>
          <w:p w:rsidR="00990CDF" w:rsidRPr="00D25D65" w:rsidRDefault="00990CDF" w:rsidP="006F25E7">
            <w:pPr>
              <w:spacing w:line="276" w:lineRule="auto"/>
              <w:jc w:val="both"/>
              <w:rPr>
                <w:rFonts w:asciiTheme="minorHAnsi" w:hAnsiTheme="minorHAnsi"/>
                <w:b/>
                <w:bCs/>
                <w:sz w:val="18"/>
                <w:lang w:val="sq-AL"/>
              </w:rPr>
            </w:pPr>
            <w:r w:rsidRPr="00D25D65">
              <w:rPr>
                <w:rFonts w:asciiTheme="minorHAnsi" w:hAnsiTheme="minorHAnsi"/>
                <w:b/>
                <w:bCs/>
                <w:sz w:val="18"/>
                <w:lang w:val="sq-AL"/>
              </w:rPr>
              <w:t>Korrente</w:t>
            </w:r>
          </w:p>
        </w:tc>
        <w:tc>
          <w:tcPr>
            <w:tcW w:w="1257" w:type="dxa"/>
            <w:shd w:val="clear" w:color="auto" w:fill="B6DDE8" w:themeFill="accent5" w:themeFillTint="66"/>
          </w:tcPr>
          <w:p w:rsidR="00990CDF" w:rsidRPr="00D25D65"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D25D65">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1139" w:type="dxa"/>
            <w:shd w:val="clear" w:color="auto" w:fill="B6DDE8" w:themeFill="accent5" w:themeFillTint="66"/>
          </w:tcPr>
          <w:p w:rsidR="00990CDF" w:rsidRPr="00D25D65" w:rsidRDefault="00990CDF" w:rsidP="006F25E7">
            <w:pPr>
              <w:spacing w:line="276" w:lineRule="auto"/>
              <w:jc w:val="both"/>
              <w:rPr>
                <w:rFonts w:asciiTheme="minorHAnsi" w:hAnsiTheme="minorHAnsi"/>
                <w:b/>
                <w:bCs/>
                <w:sz w:val="18"/>
                <w:lang w:val="sq-AL"/>
              </w:rPr>
            </w:pPr>
            <w:r w:rsidRPr="00D25D65">
              <w:rPr>
                <w:rFonts w:asciiTheme="minorHAnsi" w:hAnsiTheme="minorHAnsi"/>
                <w:b/>
                <w:bCs/>
                <w:sz w:val="18"/>
                <w:lang w:val="sq-AL"/>
              </w:rPr>
              <w:t>Korrente</w:t>
            </w:r>
          </w:p>
        </w:tc>
        <w:tc>
          <w:tcPr>
            <w:tcW w:w="1101" w:type="dxa"/>
            <w:shd w:val="clear" w:color="auto" w:fill="B6DDE8" w:themeFill="accent5" w:themeFillTint="66"/>
          </w:tcPr>
          <w:p w:rsidR="00990CDF" w:rsidRPr="00D25D65"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D25D65">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924" w:type="dxa"/>
            <w:shd w:val="clear" w:color="auto" w:fill="B6DDE8" w:themeFill="accent5" w:themeFillTint="66"/>
          </w:tcPr>
          <w:p w:rsidR="00990CDF" w:rsidRPr="00D25D65" w:rsidRDefault="00990CDF" w:rsidP="006F25E7">
            <w:pPr>
              <w:spacing w:line="276" w:lineRule="auto"/>
              <w:jc w:val="both"/>
              <w:rPr>
                <w:rFonts w:asciiTheme="minorHAnsi" w:hAnsiTheme="minorHAnsi"/>
                <w:b/>
                <w:bCs/>
                <w:sz w:val="18"/>
                <w:lang w:val="sq-AL"/>
              </w:rPr>
            </w:pPr>
            <w:r w:rsidRPr="00D25D65">
              <w:rPr>
                <w:rFonts w:asciiTheme="minorHAnsi" w:hAnsiTheme="minorHAnsi"/>
                <w:b/>
                <w:bCs/>
                <w:sz w:val="18"/>
                <w:lang w:val="sq-AL"/>
              </w:rPr>
              <w:t>Korrente</w:t>
            </w:r>
          </w:p>
        </w:tc>
        <w:tc>
          <w:tcPr>
            <w:tcW w:w="1002" w:type="dxa"/>
            <w:shd w:val="clear" w:color="auto" w:fill="B6DDE8" w:themeFill="accent5" w:themeFillTint="66"/>
          </w:tcPr>
          <w:p w:rsidR="00990CDF" w:rsidRPr="00D25D65"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D25D65">
              <w:rPr>
                <w:rFonts w:asciiTheme="minorHAnsi" w:hAnsiTheme="minorHAnsi"/>
                <w:b/>
                <w:bCs/>
                <w:sz w:val="18"/>
                <w:lang w:val="sq-AL"/>
              </w:rPr>
              <w:t>Investime</w:t>
            </w:r>
          </w:p>
        </w:tc>
      </w:tr>
      <w:tr w:rsidR="00990CDF" w:rsidRPr="00D25D65" w:rsidTr="00D25D65">
        <w:trPr>
          <w:cnfStyle w:val="000000100000" w:firstRow="0" w:lastRow="0" w:firstColumn="0" w:lastColumn="0" w:oddVBand="0" w:evenVBand="0" w:oddHBand="1" w:evenHBand="0" w:firstRowFirstColumn="0" w:firstRowLastColumn="0" w:lastRowFirstColumn="0" w:lastRowLastColumn="0"/>
          <w:trHeight w:val="366"/>
          <w:jc w:val="center"/>
        </w:trPr>
        <w:tc>
          <w:tcPr>
            <w:cnfStyle w:val="000010000000" w:firstRow="0" w:lastRow="0" w:firstColumn="0" w:lastColumn="0" w:oddVBand="1" w:evenVBand="0" w:oddHBand="0" w:evenHBand="0" w:firstRowFirstColumn="0" w:firstRowLastColumn="0" w:lastRowFirstColumn="0" w:lastRowLastColumn="0"/>
            <w:tcW w:w="488" w:type="dxa"/>
          </w:tcPr>
          <w:p w:rsidR="00990CDF" w:rsidRPr="00D25D65" w:rsidRDefault="00990CDF" w:rsidP="006F25E7">
            <w:pPr>
              <w:spacing w:line="276" w:lineRule="auto"/>
              <w:jc w:val="both"/>
              <w:rPr>
                <w:rFonts w:asciiTheme="minorHAnsi" w:hAnsiTheme="minorHAnsi"/>
                <w:sz w:val="18"/>
                <w:lang w:val="sq-AL"/>
              </w:rPr>
            </w:pPr>
            <w:r w:rsidRPr="00D25D65">
              <w:rPr>
                <w:rFonts w:asciiTheme="minorHAnsi" w:hAnsiTheme="minorHAnsi"/>
                <w:sz w:val="18"/>
                <w:lang w:val="sq-AL"/>
              </w:rPr>
              <w:t>1.</w:t>
            </w:r>
          </w:p>
        </w:tc>
        <w:tc>
          <w:tcPr>
            <w:tcW w:w="3426" w:type="dxa"/>
          </w:tcPr>
          <w:p w:rsidR="00990CDF" w:rsidRPr="00D25D65"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1233"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354,212</w:t>
            </w:r>
          </w:p>
        </w:tc>
        <w:tc>
          <w:tcPr>
            <w:tcW w:w="1257"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221,800</w:t>
            </w:r>
          </w:p>
        </w:tc>
        <w:tc>
          <w:tcPr>
            <w:cnfStyle w:val="000010000000" w:firstRow="0" w:lastRow="0" w:firstColumn="0" w:lastColumn="0" w:oddVBand="1" w:evenVBand="0" w:oddHBand="0" w:evenHBand="0" w:firstRowFirstColumn="0" w:firstRowLastColumn="0" w:lastRowFirstColumn="0" w:lastRowLastColumn="0"/>
            <w:tcW w:w="1139"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83,488</w:t>
            </w:r>
          </w:p>
        </w:tc>
        <w:tc>
          <w:tcPr>
            <w:tcW w:w="1101"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115,987</w:t>
            </w:r>
          </w:p>
        </w:tc>
        <w:tc>
          <w:tcPr>
            <w:cnfStyle w:val="000010000000" w:firstRow="0" w:lastRow="0" w:firstColumn="0" w:lastColumn="0" w:oddVBand="1" w:evenVBand="0" w:oddHBand="0" w:evenHBand="0" w:firstRowFirstColumn="0" w:firstRowLastColumn="0" w:lastRowFirstColumn="0" w:lastRowLastColumn="0"/>
            <w:tcW w:w="924"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23.6</w:t>
            </w:r>
          </w:p>
        </w:tc>
        <w:tc>
          <w:tcPr>
            <w:tcW w:w="1002"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52.3</w:t>
            </w:r>
          </w:p>
        </w:tc>
      </w:tr>
      <w:tr w:rsidR="00990CDF" w:rsidRPr="00D25D65" w:rsidTr="00D25D65">
        <w:trPr>
          <w:trHeight w:val="273"/>
          <w:jc w:val="center"/>
        </w:trPr>
        <w:tc>
          <w:tcPr>
            <w:cnfStyle w:val="000010000000" w:firstRow="0" w:lastRow="0" w:firstColumn="0" w:lastColumn="0" w:oddVBand="1" w:evenVBand="0" w:oddHBand="0" w:evenHBand="0" w:firstRowFirstColumn="0" w:firstRowLastColumn="0" w:lastRowFirstColumn="0" w:lastRowLastColumn="0"/>
            <w:tcW w:w="488" w:type="dxa"/>
          </w:tcPr>
          <w:p w:rsidR="00990CDF" w:rsidRPr="00D25D65" w:rsidRDefault="00990CDF" w:rsidP="006F25E7">
            <w:pPr>
              <w:spacing w:line="276" w:lineRule="auto"/>
              <w:jc w:val="both"/>
              <w:rPr>
                <w:rFonts w:asciiTheme="minorHAnsi" w:hAnsiTheme="minorHAnsi"/>
                <w:sz w:val="18"/>
                <w:lang w:val="sq-AL"/>
              </w:rPr>
            </w:pPr>
            <w:r w:rsidRPr="00D25D65">
              <w:rPr>
                <w:rFonts w:asciiTheme="minorHAnsi" w:hAnsiTheme="minorHAnsi"/>
                <w:sz w:val="18"/>
                <w:lang w:val="sq-AL"/>
              </w:rPr>
              <w:t>2.</w:t>
            </w:r>
          </w:p>
        </w:tc>
        <w:tc>
          <w:tcPr>
            <w:tcW w:w="3426" w:type="dxa"/>
          </w:tcPr>
          <w:p w:rsidR="00990CDF" w:rsidRPr="00D25D65"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Publikimet Zyrtare</w:t>
            </w:r>
          </w:p>
        </w:tc>
        <w:tc>
          <w:tcPr>
            <w:cnfStyle w:val="000010000000" w:firstRow="0" w:lastRow="0" w:firstColumn="0" w:lastColumn="0" w:oddVBand="1" w:evenVBand="0" w:oddHBand="0" w:evenHBand="0" w:firstRowFirstColumn="0" w:firstRowLastColumn="0" w:lastRowFirstColumn="0" w:lastRowLastColumn="0"/>
            <w:tcW w:w="1233"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56,200</w:t>
            </w:r>
          </w:p>
        </w:tc>
        <w:tc>
          <w:tcPr>
            <w:tcW w:w="1257"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10,000</w:t>
            </w:r>
          </w:p>
        </w:tc>
        <w:tc>
          <w:tcPr>
            <w:cnfStyle w:val="000010000000" w:firstRow="0" w:lastRow="0" w:firstColumn="0" w:lastColumn="0" w:oddVBand="1" w:evenVBand="0" w:oddHBand="0" w:evenHBand="0" w:firstRowFirstColumn="0" w:firstRowLastColumn="0" w:lastRowFirstColumn="0" w:lastRowLastColumn="0"/>
            <w:tcW w:w="1139"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13,414</w:t>
            </w:r>
          </w:p>
        </w:tc>
        <w:tc>
          <w:tcPr>
            <w:tcW w:w="1101"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23.9</w:t>
            </w:r>
          </w:p>
        </w:tc>
        <w:tc>
          <w:tcPr>
            <w:tcW w:w="1002"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0.0</w:t>
            </w:r>
          </w:p>
        </w:tc>
      </w:tr>
      <w:tr w:rsidR="00990CDF" w:rsidRPr="00D25D65" w:rsidTr="00D25D65">
        <w:trPr>
          <w:cnfStyle w:val="000000100000" w:firstRow="0" w:lastRow="0" w:firstColumn="0" w:lastColumn="0" w:oddVBand="0" w:evenVBand="0" w:oddHBand="1" w:evenHBand="0" w:firstRowFirstColumn="0" w:firstRowLastColumn="0" w:lastRowFirstColumn="0" w:lastRowLastColumn="0"/>
          <w:trHeight w:val="273"/>
          <w:jc w:val="center"/>
        </w:trPr>
        <w:tc>
          <w:tcPr>
            <w:cnfStyle w:val="000010000000" w:firstRow="0" w:lastRow="0" w:firstColumn="0" w:lastColumn="0" w:oddVBand="1" w:evenVBand="0" w:oddHBand="0" w:evenHBand="0" w:firstRowFirstColumn="0" w:firstRowLastColumn="0" w:lastRowFirstColumn="0" w:lastRowLastColumn="0"/>
            <w:tcW w:w="488" w:type="dxa"/>
          </w:tcPr>
          <w:p w:rsidR="00990CDF" w:rsidRPr="00D25D65" w:rsidRDefault="00990CDF" w:rsidP="006F25E7">
            <w:pPr>
              <w:spacing w:line="276" w:lineRule="auto"/>
              <w:jc w:val="both"/>
              <w:rPr>
                <w:rFonts w:asciiTheme="minorHAnsi" w:hAnsiTheme="minorHAnsi"/>
                <w:sz w:val="18"/>
                <w:lang w:val="sq-AL"/>
              </w:rPr>
            </w:pPr>
            <w:r w:rsidRPr="00D25D65">
              <w:rPr>
                <w:rFonts w:asciiTheme="minorHAnsi" w:hAnsiTheme="minorHAnsi"/>
                <w:sz w:val="18"/>
                <w:lang w:val="sq-AL"/>
              </w:rPr>
              <w:t>3.</w:t>
            </w:r>
          </w:p>
        </w:tc>
        <w:tc>
          <w:tcPr>
            <w:tcW w:w="3426" w:type="dxa"/>
          </w:tcPr>
          <w:p w:rsidR="00990CDF" w:rsidRPr="00D25D65"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Mjekësia Ligjore</w:t>
            </w:r>
          </w:p>
        </w:tc>
        <w:tc>
          <w:tcPr>
            <w:cnfStyle w:val="000010000000" w:firstRow="0" w:lastRow="0" w:firstColumn="0" w:lastColumn="0" w:oddVBand="1" w:evenVBand="0" w:oddHBand="0" w:evenHBand="0" w:firstRowFirstColumn="0" w:firstRowLastColumn="0" w:lastRowFirstColumn="0" w:lastRowLastColumn="0"/>
            <w:tcW w:w="1233"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80,200</w:t>
            </w:r>
          </w:p>
        </w:tc>
        <w:tc>
          <w:tcPr>
            <w:tcW w:w="1257"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1,000</w:t>
            </w:r>
          </w:p>
        </w:tc>
        <w:tc>
          <w:tcPr>
            <w:cnfStyle w:val="000010000000" w:firstRow="0" w:lastRow="0" w:firstColumn="0" w:lastColumn="0" w:oddVBand="1" w:evenVBand="0" w:oddHBand="0" w:evenHBand="0" w:firstRowFirstColumn="0" w:firstRowLastColumn="0" w:lastRowFirstColumn="0" w:lastRowLastColumn="0"/>
            <w:tcW w:w="1139"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19,012</w:t>
            </w:r>
          </w:p>
        </w:tc>
        <w:tc>
          <w:tcPr>
            <w:tcW w:w="1101"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23.7</w:t>
            </w:r>
          </w:p>
        </w:tc>
        <w:tc>
          <w:tcPr>
            <w:tcW w:w="1002"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0.0</w:t>
            </w:r>
          </w:p>
        </w:tc>
      </w:tr>
      <w:tr w:rsidR="00990CDF" w:rsidRPr="00D25D65" w:rsidTr="00D25D65">
        <w:trPr>
          <w:trHeight w:val="273"/>
          <w:jc w:val="center"/>
        </w:trPr>
        <w:tc>
          <w:tcPr>
            <w:cnfStyle w:val="000010000000" w:firstRow="0" w:lastRow="0" w:firstColumn="0" w:lastColumn="0" w:oddVBand="1" w:evenVBand="0" w:oddHBand="0" w:evenHBand="0" w:firstRowFirstColumn="0" w:firstRowLastColumn="0" w:lastRowFirstColumn="0" w:lastRowLastColumn="0"/>
            <w:tcW w:w="488" w:type="dxa"/>
          </w:tcPr>
          <w:p w:rsidR="00990CDF" w:rsidRPr="00D25D65" w:rsidRDefault="00990CDF" w:rsidP="006F25E7">
            <w:pPr>
              <w:spacing w:line="276" w:lineRule="auto"/>
              <w:jc w:val="both"/>
              <w:rPr>
                <w:rFonts w:asciiTheme="minorHAnsi" w:hAnsiTheme="minorHAnsi"/>
                <w:sz w:val="18"/>
                <w:lang w:val="sq-AL"/>
              </w:rPr>
            </w:pPr>
            <w:r w:rsidRPr="00D25D65">
              <w:rPr>
                <w:rFonts w:asciiTheme="minorHAnsi" w:hAnsiTheme="minorHAnsi"/>
                <w:sz w:val="18"/>
                <w:lang w:val="sq-AL"/>
              </w:rPr>
              <w:t>4.</w:t>
            </w:r>
          </w:p>
        </w:tc>
        <w:tc>
          <w:tcPr>
            <w:tcW w:w="3426" w:type="dxa"/>
          </w:tcPr>
          <w:p w:rsidR="00990CDF" w:rsidRPr="00D25D65"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Shërbimi për Çështjet e Birësimit</w:t>
            </w:r>
          </w:p>
        </w:tc>
        <w:tc>
          <w:tcPr>
            <w:cnfStyle w:val="000010000000" w:firstRow="0" w:lastRow="0" w:firstColumn="0" w:lastColumn="0" w:oddVBand="1" w:evenVBand="0" w:oddHBand="0" w:evenHBand="0" w:firstRowFirstColumn="0" w:firstRowLastColumn="0" w:lastRowFirstColumn="0" w:lastRowLastColumn="0"/>
            <w:tcW w:w="1233"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15,100</w:t>
            </w:r>
          </w:p>
        </w:tc>
        <w:tc>
          <w:tcPr>
            <w:tcW w:w="1257"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200</w:t>
            </w:r>
          </w:p>
        </w:tc>
        <w:tc>
          <w:tcPr>
            <w:cnfStyle w:val="000010000000" w:firstRow="0" w:lastRow="0" w:firstColumn="0" w:lastColumn="0" w:oddVBand="1" w:evenVBand="0" w:oddHBand="0" w:evenHBand="0" w:firstRowFirstColumn="0" w:firstRowLastColumn="0" w:lastRowFirstColumn="0" w:lastRowLastColumn="0"/>
            <w:tcW w:w="1139"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2,468</w:t>
            </w:r>
          </w:p>
        </w:tc>
        <w:tc>
          <w:tcPr>
            <w:tcW w:w="1101"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16.3</w:t>
            </w:r>
          </w:p>
        </w:tc>
        <w:tc>
          <w:tcPr>
            <w:tcW w:w="1002"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0.0</w:t>
            </w:r>
          </w:p>
        </w:tc>
      </w:tr>
      <w:tr w:rsidR="00990CDF" w:rsidRPr="00D25D65" w:rsidTr="00D25D65">
        <w:trPr>
          <w:cnfStyle w:val="000000100000" w:firstRow="0" w:lastRow="0" w:firstColumn="0" w:lastColumn="0" w:oddVBand="0" w:evenVBand="0" w:oddHBand="1" w:evenHBand="0" w:firstRowFirstColumn="0" w:firstRowLastColumn="0" w:lastRowFirstColumn="0" w:lastRowLastColumn="0"/>
          <w:trHeight w:val="273"/>
          <w:jc w:val="center"/>
        </w:trPr>
        <w:tc>
          <w:tcPr>
            <w:cnfStyle w:val="000010000000" w:firstRow="0" w:lastRow="0" w:firstColumn="0" w:lastColumn="0" w:oddVBand="1" w:evenVBand="0" w:oddHBand="0" w:evenHBand="0" w:firstRowFirstColumn="0" w:firstRowLastColumn="0" w:lastRowFirstColumn="0" w:lastRowLastColumn="0"/>
            <w:tcW w:w="488" w:type="dxa"/>
          </w:tcPr>
          <w:p w:rsidR="00990CDF" w:rsidRPr="00D25D65" w:rsidRDefault="00990CDF" w:rsidP="006F25E7">
            <w:pPr>
              <w:spacing w:line="276" w:lineRule="auto"/>
              <w:jc w:val="both"/>
              <w:rPr>
                <w:rFonts w:asciiTheme="minorHAnsi" w:hAnsiTheme="minorHAnsi"/>
                <w:sz w:val="18"/>
                <w:lang w:val="sq-AL"/>
              </w:rPr>
            </w:pPr>
            <w:r w:rsidRPr="00D25D65">
              <w:rPr>
                <w:rFonts w:asciiTheme="minorHAnsi" w:hAnsiTheme="minorHAnsi"/>
                <w:sz w:val="18"/>
                <w:lang w:val="sq-AL"/>
              </w:rPr>
              <w:t>5.</w:t>
            </w:r>
          </w:p>
        </w:tc>
        <w:tc>
          <w:tcPr>
            <w:tcW w:w="3426" w:type="dxa"/>
          </w:tcPr>
          <w:p w:rsidR="00990CDF" w:rsidRPr="00D25D65"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 xml:space="preserve">Agjencia e trajtimit të pronave </w:t>
            </w:r>
          </w:p>
        </w:tc>
        <w:tc>
          <w:tcPr>
            <w:cnfStyle w:val="000010000000" w:firstRow="0" w:lastRow="0" w:firstColumn="0" w:lastColumn="0" w:oddVBand="1" w:evenVBand="0" w:oddHBand="0" w:evenHBand="0" w:firstRowFirstColumn="0" w:firstRowLastColumn="0" w:lastRowFirstColumn="0" w:lastRowLastColumn="0"/>
            <w:tcW w:w="1233"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2,244,200</w:t>
            </w:r>
          </w:p>
        </w:tc>
        <w:tc>
          <w:tcPr>
            <w:tcW w:w="1257"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6,000</w:t>
            </w:r>
          </w:p>
        </w:tc>
        <w:tc>
          <w:tcPr>
            <w:cnfStyle w:val="000010000000" w:firstRow="0" w:lastRow="0" w:firstColumn="0" w:lastColumn="0" w:oddVBand="1" w:evenVBand="0" w:oddHBand="0" w:evenHBand="0" w:firstRowFirstColumn="0" w:firstRowLastColumn="0" w:lastRowFirstColumn="0" w:lastRowLastColumn="0"/>
            <w:tcW w:w="1139"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56,126</w:t>
            </w:r>
          </w:p>
        </w:tc>
        <w:tc>
          <w:tcPr>
            <w:tcW w:w="1101"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2.5</w:t>
            </w:r>
          </w:p>
        </w:tc>
        <w:tc>
          <w:tcPr>
            <w:tcW w:w="1002"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0.0</w:t>
            </w:r>
          </w:p>
        </w:tc>
      </w:tr>
      <w:tr w:rsidR="00990CDF" w:rsidRPr="00D25D65" w:rsidTr="00D25D65">
        <w:trPr>
          <w:trHeight w:val="273"/>
          <w:jc w:val="center"/>
        </w:trPr>
        <w:tc>
          <w:tcPr>
            <w:cnfStyle w:val="000010000000" w:firstRow="0" w:lastRow="0" w:firstColumn="0" w:lastColumn="0" w:oddVBand="1" w:evenVBand="0" w:oddHBand="0" w:evenHBand="0" w:firstRowFirstColumn="0" w:firstRowLastColumn="0" w:lastRowFirstColumn="0" w:lastRowLastColumn="0"/>
            <w:tcW w:w="488" w:type="dxa"/>
          </w:tcPr>
          <w:p w:rsidR="00990CDF" w:rsidRPr="00D25D65" w:rsidRDefault="00990CDF" w:rsidP="006F25E7">
            <w:pPr>
              <w:spacing w:line="276" w:lineRule="auto"/>
              <w:jc w:val="both"/>
              <w:rPr>
                <w:rFonts w:asciiTheme="minorHAnsi" w:hAnsiTheme="minorHAnsi"/>
                <w:sz w:val="18"/>
                <w:lang w:val="sq-AL"/>
              </w:rPr>
            </w:pPr>
            <w:r w:rsidRPr="00D25D65">
              <w:rPr>
                <w:rFonts w:asciiTheme="minorHAnsi" w:hAnsiTheme="minorHAnsi"/>
                <w:sz w:val="18"/>
                <w:lang w:val="sq-AL"/>
              </w:rPr>
              <w:t>6.</w:t>
            </w:r>
          </w:p>
        </w:tc>
        <w:tc>
          <w:tcPr>
            <w:tcW w:w="3426" w:type="dxa"/>
          </w:tcPr>
          <w:p w:rsidR="00990CDF" w:rsidRPr="00D25D65"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Ndihma juridike</w:t>
            </w:r>
          </w:p>
        </w:tc>
        <w:tc>
          <w:tcPr>
            <w:cnfStyle w:val="000010000000" w:firstRow="0" w:lastRow="0" w:firstColumn="0" w:lastColumn="0" w:oddVBand="1" w:evenVBand="0" w:oddHBand="0" w:evenHBand="0" w:firstRowFirstColumn="0" w:firstRowLastColumn="0" w:lastRowFirstColumn="0" w:lastRowLastColumn="0"/>
            <w:tcW w:w="1233"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73,200</w:t>
            </w:r>
          </w:p>
        </w:tc>
        <w:tc>
          <w:tcPr>
            <w:tcW w:w="1257"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2,000</w:t>
            </w:r>
          </w:p>
        </w:tc>
        <w:tc>
          <w:tcPr>
            <w:cnfStyle w:val="000010000000" w:firstRow="0" w:lastRow="0" w:firstColumn="0" w:lastColumn="0" w:oddVBand="1" w:evenVBand="0" w:oddHBand="0" w:evenHBand="0" w:firstRowFirstColumn="0" w:firstRowLastColumn="0" w:lastRowFirstColumn="0" w:lastRowLastColumn="0"/>
            <w:tcW w:w="1139"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8,078</w:t>
            </w:r>
          </w:p>
        </w:tc>
        <w:tc>
          <w:tcPr>
            <w:tcW w:w="1101"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558</w:t>
            </w:r>
          </w:p>
        </w:tc>
        <w:tc>
          <w:tcPr>
            <w:cnfStyle w:val="000010000000" w:firstRow="0" w:lastRow="0" w:firstColumn="0" w:lastColumn="0" w:oddVBand="1" w:evenVBand="0" w:oddHBand="0" w:evenHBand="0" w:firstRowFirstColumn="0" w:firstRowLastColumn="0" w:lastRowFirstColumn="0" w:lastRowLastColumn="0"/>
            <w:tcW w:w="924"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11.0</w:t>
            </w:r>
          </w:p>
        </w:tc>
        <w:tc>
          <w:tcPr>
            <w:tcW w:w="1002"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w:t>
            </w:r>
          </w:p>
        </w:tc>
      </w:tr>
      <w:tr w:rsidR="00990CDF" w:rsidRPr="00D25D65" w:rsidTr="00D25D65">
        <w:trPr>
          <w:cnfStyle w:val="000000100000" w:firstRow="0" w:lastRow="0" w:firstColumn="0" w:lastColumn="0" w:oddVBand="0" w:evenVBand="0" w:oddHBand="1" w:evenHBand="0" w:firstRowFirstColumn="0" w:firstRowLastColumn="0" w:lastRowFirstColumn="0" w:lastRowLastColumn="0"/>
          <w:trHeight w:val="273"/>
          <w:jc w:val="center"/>
        </w:trPr>
        <w:tc>
          <w:tcPr>
            <w:cnfStyle w:val="000010000000" w:firstRow="0" w:lastRow="0" w:firstColumn="0" w:lastColumn="0" w:oddVBand="1" w:evenVBand="0" w:oddHBand="0" w:evenHBand="0" w:firstRowFirstColumn="0" w:firstRowLastColumn="0" w:lastRowFirstColumn="0" w:lastRowLastColumn="0"/>
            <w:tcW w:w="488" w:type="dxa"/>
          </w:tcPr>
          <w:p w:rsidR="00990CDF" w:rsidRPr="00D25D65" w:rsidRDefault="00990CDF" w:rsidP="006F25E7">
            <w:pPr>
              <w:spacing w:line="276" w:lineRule="auto"/>
              <w:jc w:val="both"/>
              <w:rPr>
                <w:rFonts w:asciiTheme="minorHAnsi" w:hAnsiTheme="minorHAnsi"/>
                <w:sz w:val="18"/>
                <w:lang w:val="sq-AL"/>
              </w:rPr>
            </w:pPr>
            <w:r w:rsidRPr="00D25D65">
              <w:rPr>
                <w:rFonts w:asciiTheme="minorHAnsi" w:hAnsiTheme="minorHAnsi"/>
                <w:sz w:val="18"/>
                <w:lang w:val="sq-AL"/>
              </w:rPr>
              <w:t>7.</w:t>
            </w:r>
          </w:p>
        </w:tc>
        <w:tc>
          <w:tcPr>
            <w:tcW w:w="3426" w:type="dxa"/>
          </w:tcPr>
          <w:p w:rsidR="00990CDF" w:rsidRPr="00D25D65"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Shërbimi i Përmbarimit gjyqësor</w:t>
            </w:r>
          </w:p>
        </w:tc>
        <w:tc>
          <w:tcPr>
            <w:cnfStyle w:val="000010000000" w:firstRow="0" w:lastRow="0" w:firstColumn="0" w:lastColumn="0" w:oddVBand="1" w:evenVBand="0" w:oddHBand="0" w:evenHBand="0" w:firstRowFirstColumn="0" w:firstRowLastColumn="0" w:lastRowFirstColumn="0" w:lastRowLastColumn="0"/>
            <w:tcW w:w="1233"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163,500</w:t>
            </w:r>
          </w:p>
        </w:tc>
        <w:tc>
          <w:tcPr>
            <w:tcW w:w="1257"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10,000</w:t>
            </w:r>
          </w:p>
        </w:tc>
        <w:tc>
          <w:tcPr>
            <w:cnfStyle w:val="000010000000" w:firstRow="0" w:lastRow="0" w:firstColumn="0" w:lastColumn="0" w:oddVBand="1" w:evenVBand="0" w:oddHBand="0" w:evenHBand="0" w:firstRowFirstColumn="0" w:firstRowLastColumn="0" w:lastRowFirstColumn="0" w:lastRowLastColumn="0"/>
            <w:tcW w:w="1139"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40,966</w:t>
            </w:r>
          </w:p>
        </w:tc>
        <w:tc>
          <w:tcPr>
            <w:tcW w:w="1101"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25.1</w:t>
            </w:r>
          </w:p>
        </w:tc>
        <w:tc>
          <w:tcPr>
            <w:tcW w:w="1002"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w:t>
            </w:r>
          </w:p>
        </w:tc>
      </w:tr>
      <w:tr w:rsidR="00990CDF" w:rsidRPr="00D25D65" w:rsidTr="00D25D65">
        <w:trPr>
          <w:trHeight w:val="273"/>
          <w:jc w:val="center"/>
        </w:trPr>
        <w:tc>
          <w:tcPr>
            <w:cnfStyle w:val="000010000000" w:firstRow="0" w:lastRow="0" w:firstColumn="0" w:lastColumn="0" w:oddVBand="1" w:evenVBand="0" w:oddHBand="0" w:evenHBand="0" w:firstRowFirstColumn="0" w:firstRowLastColumn="0" w:lastRowFirstColumn="0" w:lastRowLastColumn="0"/>
            <w:tcW w:w="488" w:type="dxa"/>
          </w:tcPr>
          <w:p w:rsidR="00990CDF" w:rsidRPr="00D25D65" w:rsidRDefault="00990CDF" w:rsidP="006F25E7">
            <w:pPr>
              <w:spacing w:line="276" w:lineRule="auto"/>
              <w:jc w:val="both"/>
              <w:rPr>
                <w:rFonts w:asciiTheme="minorHAnsi" w:hAnsiTheme="minorHAnsi"/>
                <w:sz w:val="18"/>
                <w:lang w:val="sq-AL"/>
              </w:rPr>
            </w:pPr>
            <w:r w:rsidRPr="00D25D65">
              <w:rPr>
                <w:rFonts w:asciiTheme="minorHAnsi" w:hAnsiTheme="minorHAnsi"/>
                <w:sz w:val="18"/>
                <w:lang w:val="sq-AL"/>
              </w:rPr>
              <w:t>8.</w:t>
            </w:r>
          </w:p>
        </w:tc>
        <w:tc>
          <w:tcPr>
            <w:tcW w:w="3426" w:type="dxa"/>
          </w:tcPr>
          <w:p w:rsidR="00990CDF" w:rsidRPr="00D25D65"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Sistemi i Burgjeve</w:t>
            </w:r>
          </w:p>
        </w:tc>
        <w:tc>
          <w:tcPr>
            <w:cnfStyle w:val="000010000000" w:firstRow="0" w:lastRow="0" w:firstColumn="0" w:lastColumn="0" w:oddVBand="1" w:evenVBand="0" w:oddHBand="0" w:evenHBand="0" w:firstRowFirstColumn="0" w:firstRowLastColumn="0" w:lastRowFirstColumn="0" w:lastRowLastColumn="0"/>
            <w:tcW w:w="1233"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5,424,500</w:t>
            </w:r>
          </w:p>
        </w:tc>
        <w:tc>
          <w:tcPr>
            <w:tcW w:w="1257"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400,900</w:t>
            </w:r>
          </w:p>
        </w:tc>
        <w:tc>
          <w:tcPr>
            <w:cnfStyle w:val="000010000000" w:firstRow="0" w:lastRow="0" w:firstColumn="0" w:lastColumn="0" w:oddVBand="1" w:evenVBand="0" w:oddHBand="0" w:evenHBand="0" w:firstRowFirstColumn="0" w:firstRowLastColumn="0" w:lastRowFirstColumn="0" w:lastRowLastColumn="0"/>
            <w:tcW w:w="1139"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1,815,551</w:t>
            </w:r>
          </w:p>
        </w:tc>
        <w:tc>
          <w:tcPr>
            <w:tcW w:w="1101"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32,169</w:t>
            </w:r>
          </w:p>
        </w:tc>
        <w:tc>
          <w:tcPr>
            <w:cnfStyle w:val="000010000000" w:firstRow="0" w:lastRow="0" w:firstColumn="0" w:lastColumn="0" w:oddVBand="1" w:evenVBand="0" w:oddHBand="0" w:evenHBand="0" w:firstRowFirstColumn="0" w:firstRowLastColumn="0" w:lastRowFirstColumn="0" w:lastRowLastColumn="0"/>
            <w:tcW w:w="924"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33.5</w:t>
            </w:r>
          </w:p>
        </w:tc>
        <w:tc>
          <w:tcPr>
            <w:tcW w:w="1002"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8.0</w:t>
            </w:r>
          </w:p>
        </w:tc>
      </w:tr>
      <w:tr w:rsidR="00990CDF" w:rsidRPr="00D25D65" w:rsidTr="00D25D65">
        <w:trPr>
          <w:cnfStyle w:val="000000100000" w:firstRow="0" w:lastRow="0" w:firstColumn="0" w:lastColumn="0" w:oddVBand="0" w:evenVBand="0" w:oddHBand="1" w:evenHBand="0" w:firstRowFirstColumn="0" w:firstRowLastColumn="0" w:lastRowFirstColumn="0" w:lastRowLastColumn="0"/>
          <w:trHeight w:val="273"/>
          <w:jc w:val="center"/>
        </w:trPr>
        <w:tc>
          <w:tcPr>
            <w:cnfStyle w:val="000010000000" w:firstRow="0" w:lastRow="0" w:firstColumn="0" w:lastColumn="0" w:oddVBand="1" w:evenVBand="0" w:oddHBand="0" w:evenHBand="0" w:firstRowFirstColumn="0" w:firstRowLastColumn="0" w:lastRowFirstColumn="0" w:lastRowLastColumn="0"/>
            <w:tcW w:w="488" w:type="dxa"/>
          </w:tcPr>
          <w:p w:rsidR="00990CDF" w:rsidRPr="00D25D65" w:rsidRDefault="00990CDF" w:rsidP="006F25E7">
            <w:pPr>
              <w:spacing w:line="276" w:lineRule="auto"/>
              <w:jc w:val="both"/>
              <w:rPr>
                <w:rFonts w:asciiTheme="minorHAnsi" w:hAnsiTheme="minorHAnsi"/>
                <w:sz w:val="18"/>
                <w:lang w:val="sq-AL"/>
              </w:rPr>
            </w:pPr>
            <w:r w:rsidRPr="00D25D65">
              <w:rPr>
                <w:rFonts w:asciiTheme="minorHAnsi" w:hAnsiTheme="minorHAnsi"/>
                <w:sz w:val="18"/>
                <w:lang w:val="sq-AL"/>
              </w:rPr>
              <w:t>9.</w:t>
            </w:r>
          </w:p>
        </w:tc>
        <w:tc>
          <w:tcPr>
            <w:tcW w:w="3426" w:type="dxa"/>
          </w:tcPr>
          <w:p w:rsidR="00990CDF" w:rsidRPr="00D25D65"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Shërbimi i Provës</w:t>
            </w:r>
          </w:p>
        </w:tc>
        <w:tc>
          <w:tcPr>
            <w:cnfStyle w:val="000010000000" w:firstRow="0" w:lastRow="0" w:firstColumn="0" w:lastColumn="0" w:oddVBand="1" w:evenVBand="0" w:oddHBand="0" w:evenHBand="0" w:firstRowFirstColumn="0" w:firstRowLastColumn="0" w:lastRowFirstColumn="0" w:lastRowLastColumn="0"/>
            <w:tcW w:w="1233"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154,000</w:t>
            </w:r>
          </w:p>
        </w:tc>
        <w:tc>
          <w:tcPr>
            <w:tcW w:w="1257"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2,000</w:t>
            </w:r>
          </w:p>
        </w:tc>
        <w:tc>
          <w:tcPr>
            <w:cnfStyle w:val="000010000000" w:firstRow="0" w:lastRow="0" w:firstColumn="0" w:lastColumn="0" w:oddVBand="1" w:evenVBand="0" w:oddHBand="0" w:evenHBand="0" w:firstRowFirstColumn="0" w:firstRowLastColumn="0" w:lastRowFirstColumn="0" w:lastRowLastColumn="0"/>
            <w:tcW w:w="1139"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41,117</w:t>
            </w:r>
          </w:p>
        </w:tc>
        <w:tc>
          <w:tcPr>
            <w:tcW w:w="1101"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924" w:type="dxa"/>
          </w:tcPr>
          <w:p w:rsidR="00990CDF" w:rsidRPr="00D25D65" w:rsidRDefault="00990CDF" w:rsidP="006F25E7">
            <w:pPr>
              <w:spacing w:line="276" w:lineRule="auto"/>
              <w:jc w:val="right"/>
              <w:rPr>
                <w:rFonts w:asciiTheme="minorHAnsi" w:eastAsia="Cambria" w:hAnsiTheme="minorHAnsi"/>
                <w:sz w:val="18"/>
                <w:lang w:val="sq-AL"/>
              </w:rPr>
            </w:pPr>
            <w:r w:rsidRPr="00D25D65">
              <w:rPr>
                <w:rFonts w:asciiTheme="minorHAnsi" w:eastAsia="Cambria" w:hAnsiTheme="minorHAnsi"/>
                <w:sz w:val="18"/>
                <w:lang w:val="sq-AL"/>
              </w:rPr>
              <w:t>26.7</w:t>
            </w:r>
          </w:p>
        </w:tc>
        <w:tc>
          <w:tcPr>
            <w:tcW w:w="1002" w:type="dxa"/>
          </w:tcPr>
          <w:p w:rsidR="00990CDF" w:rsidRPr="00D25D65"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eastAsia="Cambria" w:hAnsiTheme="minorHAnsi"/>
                <w:sz w:val="18"/>
                <w:lang w:val="sq-AL"/>
              </w:rPr>
            </w:pPr>
            <w:r w:rsidRPr="00D25D65">
              <w:rPr>
                <w:rFonts w:asciiTheme="minorHAnsi" w:eastAsia="Cambria" w:hAnsiTheme="minorHAnsi"/>
                <w:sz w:val="18"/>
                <w:lang w:val="sq-AL"/>
              </w:rPr>
              <w:t>0.0</w:t>
            </w:r>
          </w:p>
        </w:tc>
      </w:tr>
      <w:tr w:rsidR="00990CDF" w:rsidRPr="00D25D65" w:rsidTr="00D25D65">
        <w:trPr>
          <w:trHeight w:val="182"/>
          <w:jc w:val="center"/>
        </w:trPr>
        <w:tc>
          <w:tcPr>
            <w:cnfStyle w:val="000010000000" w:firstRow="0" w:lastRow="0" w:firstColumn="0" w:lastColumn="0" w:oddVBand="1" w:evenVBand="0" w:oddHBand="0" w:evenHBand="0" w:firstRowFirstColumn="0" w:firstRowLastColumn="0" w:lastRowFirstColumn="0" w:lastRowLastColumn="0"/>
            <w:tcW w:w="488" w:type="dxa"/>
          </w:tcPr>
          <w:p w:rsidR="00990CDF" w:rsidRPr="00D25D65" w:rsidRDefault="00990CDF" w:rsidP="006F25E7">
            <w:pPr>
              <w:spacing w:line="276" w:lineRule="auto"/>
              <w:jc w:val="center"/>
              <w:rPr>
                <w:rFonts w:asciiTheme="minorHAnsi" w:hAnsiTheme="minorHAnsi"/>
                <w:b/>
                <w:sz w:val="18"/>
                <w:lang w:val="sq-AL"/>
              </w:rPr>
            </w:pPr>
          </w:p>
        </w:tc>
        <w:tc>
          <w:tcPr>
            <w:tcW w:w="3426" w:type="dxa"/>
          </w:tcPr>
          <w:p w:rsidR="00990CDF" w:rsidRPr="00D25D65"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D25D65">
              <w:rPr>
                <w:rFonts w:asciiTheme="minorHAnsi" w:hAnsiTheme="minorHAnsi"/>
                <w:b/>
                <w:sz w:val="18"/>
                <w:lang w:val="sq-AL"/>
              </w:rPr>
              <w:t>TOTAL</w:t>
            </w:r>
          </w:p>
        </w:tc>
        <w:tc>
          <w:tcPr>
            <w:cnfStyle w:val="000010000000" w:firstRow="0" w:lastRow="0" w:firstColumn="0" w:lastColumn="0" w:oddVBand="1" w:evenVBand="0" w:oddHBand="0" w:evenHBand="0" w:firstRowFirstColumn="0" w:firstRowLastColumn="0" w:lastRowFirstColumn="0" w:lastRowLastColumn="0"/>
            <w:tcW w:w="1233" w:type="dxa"/>
          </w:tcPr>
          <w:p w:rsidR="00990CDF" w:rsidRPr="00D25D65" w:rsidRDefault="00990CDF" w:rsidP="006F25E7">
            <w:pPr>
              <w:spacing w:line="276" w:lineRule="auto"/>
              <w:jc w:val="right"/>
              <w:rPr>
                <w:rFonts w:asciiTheme="minorHAnsi" w:eastAsia="Cambria" w:hAnsiTheme="minorHAnsi"/>
                <w:b/>
                <w:sz w:val="18"/>
                <w:lang w:val="sq-AL"/>
              </w:rPr>
            </w:pPr>
            <w:r w:rsidRPr="00D25D65">
              <w:rPr>
                <w:rFonts w:asciiTheme="minorHAnsi" w:eastAsia="Cambria" w:hAnsiTheme="minorHAnsi"/>
                <w:b/>
                <w:sz w:val="18"/>
                <w:lang w:val="sq-AL"/>
              </w:rPr>
              <w:t>8,565,112</w:t>
            </w:r>
          </w:p>
        </w:tc>
        <w:tc>
          <w:tcPr>
            <w:tcW w:w="1257"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b/>
                <w:sz w:val="18"/>
                <w:lang w:val="sq-AL"/>
              </w:rPr>
            </w:pPr>
            <w:r w:rsidRPr="00D25D65">
              <w:rPr>
                <w:rFonts w:asciiTheme="minorHAnsi" w:eastAsia="Cambria" w:hAnsiTheme="minorHAnsi"/>
                <w:b/>
                <w:sz w:val="18"/>
                <w:lang w:val="sq-AL"/>
              </w:rPr>
              <w:t>653,900</w:t>
            </w:r>
          </w:p>
        </w:tc>
        <w:tc>
          <w:tcPr>
            <w:cnfStyle w:val="000010000000" w:firstRow="0" w:lastRow="0" w:firstColumn="0" w:lastColumn="0" w:oddVBand="1" w:evenVBand="0" w:oddHBand="0" w:evenHBand="0" w:firstRowFirstColumn="0" w:firstRowLastColumn="0" w:lastRowFirstColumn="0" w:lastRowLastColumn="0"/>
            <w:tcW w:w="1139" w:type="dxa"/>
          </w:tcPr>
          <w:p w:rsidR="00990CDF" w:rsidRPr="00D25D65" w:rsidRDefault="00990CDF" w:rsidP="006F25E7">
            <w:pPr>
              <w:spacing w:line="276" w:lineRule="auto"/>
              <w:jc w:val="right"/>
              <w:rPr>
                <w:rFonts w:asciiTheme="minorHAnsi" w:eastAsia="Cambria" w:hAnsiTheme="minorHAnsi"/>
                <w:b/>
                <w:sz w:val="18"/>
                <w:lang w:val="sq-AL"/>
              </w:rPr>
            </w:pPr>
            <w:r w:rsidRPr="00D25D65">
              <w:rPr>
                <w:rFonts w:asciiTheme="minorHAnsi" w:eastAsia="Cambria" w:hAnsiTheme="minorHAnsi"/>
                <w:b/>
                <w:sz w:val="18"/>
                <w:lang w:val="sq-AL"/>
              </w:rPr>
              <w:t>2,080,220</w:t>
            </w:r>
          </w:p>
        </w:tc>
        <w:tc>
          <w:tcPr>
            <w:tcW w:w="1101"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b/>
                <w:sz w:val="18"/>
                <w:lang w:val="sq-AL"/>
              </w:rPr>
            </w:pPr>
            <w:r w:rsidRPr="00D25D65">
              <w:rPr>
                <w:rFonts w:asciiTheme="minorHAnsi" w:eastAsia="Cambria" w:hAnsiTheme="minorHAnsi"/>
                <w:b/>
                <w:sz w:val="18"/>
                <w:lang w:val="sq-AL"/>
              </w:rPr>
              <w:t>148,714</w:t>
            </w:r>
          </w:p>
        </w:tc>
        <w:tc>
          <w:tcPr>
            <w:cnfStyle w:val="000010000000" w:firstRow="0" w:lastRow="0" w:firstColumn="0" w:lastColumn="0" w:oddVBand="1" w:evenVBand="0" w:oddHBand="0" w:evenHBand="0" w:firstRowFirstColumn="0" w:firstRowLastColumn="0" w:lastRowFirstColumn="0" w:lastRowLastColumn="0"/>
            <w:tcW w:w="924" w:type="dxa"/>
          </w:tcPr>
          <w:p w:rsidR="00990CDF" w:rsidRPr="00D25D65" w:rsidRDefault="00990CDF" w:rsidP="006F25E7">
            <w:pPr>
              <w:spacing w:line="276" w:lineRule="auto"/>
              <w:jc w:val="right"/>
              <w:rPr>
                <w:rFonts w:asciiTheme="minorHAnsi" w:eastAsia="Cambria" w:hAnsiTheme="minorHAnsi"/>
                <w:b/>
                <w:sz w:val="18"/>
                <w:lang w:val="sq-AL"/>
              </w:rPr>
            </w:pPr>
            <w:r w:rsidRPr="00D25D65">
              <w:rPr>
                <w:rFonts w:asciiTheme="minorHAnsi" w:eastAsia="Cambria" w:hAnsiTheme="minorHAnsi"/>
                <w:b/>
                <w:sz w:val="18"/>
                <w:lang w:val="sq-AL"/>
              </w:rPr>
              <w:t>24.3</w:t>
            </w:r>
          </w:p>
        </w:tc>
        <w:tc>
          <w:tcPr>
            <w:tcW w:w="1002" w:type="dxa"/>
          </w:tcPr>
          <w:p w:rsidR="00990CDF" w:rsidRPr="00D25D65"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Cambria" w:hAnsiTheme="minorHAnsi"/>
                <w:b/>
                <w:sz w:val="18"/>
                <w:lang w:val="sq-AL"/>
              </w:rPr>
            </w:pPr>
            <w:r w:rsidRPr="00D25D65">
              <w:rPr>
                <w:rFonts w:asciiTheme="minorHAnsi" w:eastAsia="Cambria" w:hAnsiTheme="minorHAnsi"/>
                <w:b/>
                <w:sz w:val="18"/>
                <w:lang w:val="sq-AL"/>
              </w:rPr>
              <w:t>22.7</w:t>
            </w:r>
          </w:p>
        </w:tc>
      </w:tr>
    </w:tbl>
    <w:p w:rsidR="00990CDF" w:rsidRPr="00D25D65" w:rsidRDefault="00990CDF" w:rsidP="00D25D65">
      <w:pPr>
        <w:spacing w:before="240" w:line="276" w:lineRule="auto"/>
        <w:jc w:val="both"/>
        <w:rPr>
          <w:rFonts w:asciiTheme="minorHAnsi" w:eastAsia="Calibri" w:hAnsiTheme="minorHAnsi"/>
          <w:lang w:val="sq-AL"/>
        </w:rPr>
      </w:pPr>
      <w:r w:rsidRPr="00BF005F">
        <w:rPr>
          <w:rFonts w:asciiTheme="minorHAnsi" w:eastAsia="Calibri" w:hAnsiTheme="minorHAnsi"/>
          <w:lang w:val="sq-AL"/>
        </w:rPr>
        <w:t>Në programin “</w:t>
      </w:r>
      <w:r w:rsidRPr="00BF005F">
        <w:rPr>
          <w:rFonts w:asciiTheme="minorHAnsi" w:eastAsia="Calibri" w:hAnsiTheme="minorHAnsi"/>
          <w:b/>
          <w:lang w:val="sq-AL"/>
        </w:rPr>
        <w:t>Sistemi i burgjeve</w:t>
      </w:r>
      <w:r w:rsidRPr="00BF005F">
        <w:rPr>
          <w:rFonts w:asciiTheme="minorHAnsi" w:eastAsia="Calibri" w:hAnsiTheme="minorHAnsi"/>
          <w:lang w:val="sq-AL"/>
        </w:rPr>
        <w:t>” për 4 mujorin e parë të vitit 2021 janë realizuar produkte,</w:t>
      </w:r>
      <w:r w:rsidRPr="00BF005F">
        <w:rPr>
          <w:rFonts w:asciiTheme="minorHAnsi" w:hAnsiTheme="minorHAnsi"/>
          <w:lang w:val="sq-AL"/>
        </w:rPr>
        <w:t xml:space="preserve"> janë realizuar produktet </w:t>
      </w:r>
      <w:r w:rsidRPr="00BF005F">
        <w:rPr>
          <w:rFonts w:asciiTheme="minorHAnsi" w:eastAsia="MS Mincho" w:hAnsiTheme="minorHAnsi"/>
          <w:lang w:val="sq-AL"/>
        </w:rPr>
        <w:t>për të matur performancë e Sistemit të Burgjeve, si dhe projekte që shërbejnë për përmirësimin e kushteve në sistemin penitenciar, me një kosto faktike 1.8 miliardë lekë.</w:t>
      </w:r>
    </w:p>
    <w:p w:rsidR="00990CDF" w:rsidRPr="00BF005F" w:rsidRDefault="00990CDF" w:rsidP="007F0B61">
      <w:pPr>
        <w:numPr>
          <w:ilvl w:val="0"/>
          <w:numId w:val="24"/>
        </w:numPr>
        <w:spacing w:line="276" w:lineRule="auto"/>
        <w:contextualSpacing/>
        <w:jc w:val="both"/>
        <w:rPr>
          <w:rFonts w:asciiTheme="minorHAnsi" w:hAnsiTheme="minorHAnsi"/>
          <w:lang w:val="sq-AL"/>
        </w:rPr>
      </w:pPr>
      <w:r w:rsidRPr="00BF005F">
        <w:rPr>
          <w:rFonts w:asciiTheme="minorHAnsi" w:eastAsia="MS Mincho" w:hAnsiTheme="minorHAnsi"/>
          <w:lang w:val="sq-AL"/>
        </w:rPr>
        <w:t>Rezultojnë se për 4 mujorin janë trajtuar 4,606 të dënuar burra në IEVP;</w:t>
      </w:r>
    </w:p>
    <w:p w:rsidR="00990CDF" w:rsidRPr="00BF005F" w:rsidRDefault="00990CDF" w:rsidP="007F0B61">
      <w:pPr>
        <w:numPr>
          <w:ilvl w:val="0"/>
          <w:numId w:val="24"/>
        </w:numPr>
        <w:spacing w:line="276" w:lineRule="auto"/>
        <w:contextualSpacing/>
        <w:jc w:val="both"/>
        <w:rPr>
          <w:rFonts w:asciiTheme="minorHAnsi" w:hAnsiTheme="minorHAnsi"/>
          <w:lang w:val="sq-AL"/>
        </w:rPr>
      </w:pPr>
      <w:r w:rsidRPr="00BF005F">
        <w:rPr>
          <w:rFonts w:asciiTheme="minorHAnsi" w:eastAsia="MS Mincho" w:hAnsiTheme="minorHAnsi"/>
          <w:lang w:val="sq-AL"/>
        </w:rPr>
        <w:t>Janë trajtuar 337 raste të dënuar të trajtuar me shërbim shëndetësor;</w:t>
      </w:r>
    </w:p>
    <w:p w:rsidR="00990CDF" w:rsidRPr="00BF005F" w:rsidRDefault="00990CDF" w:rsidP="007F0B61">
      <w:pPr>
        <w:numPr>
          <w:ilvl w:val="0"/>
          <w:numId w:val="24"/>
        </w:numPr>
        <w:spacing w:line="276" w:lineRule="auto"/>
        <w:contextualSpacing/>
        <w:jc w:val="both"/>
        <w:rPr>
          <w:rFonts w:asciiTheme="minorHAnsi" w:hAnsiTheme="minorHAnsi"/>
          <w:lang w:val="sq-AL"/>
        </w:rPr>
      </w:pPr>
      <w:r w:rsidRPr="00BF005F">
        <w:rPr>
          <w:rFonts w:asciiTheme="minorHAnsi" w:eastAsia="MS Mincho" w:hAnsiTheme="minorHAnsi"/>
          <w:lang w:val="sq-AL"/>
        </w:rPr>
        <w:t xml:space="preserve">Janë të trajtuara në kushte të veçanta të vuajtjes se dënimit 59 të dënuara femra; </w:t>
      </w:r>
    </w:p>
    <w:p w:rsidR="00990CDF" w:rsidRPr="00BF005F" w:rsidRDefault="00990CDF" w:rsidP="007F0B61">
      <w:pPr>
        <w:numPr>
          <w:ilvl w:val="0"/>
          <w:numId w:val="24"/>
        </w:numPr>
        <w:spacing w:line="276" w:lineRule="auto"/>
        <w:contextualSpacing/>
        <w:jc w:val="both"/>
        <w:rPr>
          <w:rFonts w:asciiTheme="minorHAnsi" w:hAnsiTheme="minorHAnsi"/>
          <w:lang w:val="sq-AL"/>
        </w:rPr>
      </w:pPr>
      <w:r w:rsidRPr="00BF005F">
        <w:rPr>
          <w:rFonts w:asciiTheme="minorHAnsi" w:eastAsia="MS Mincho" w:hAnsiTheme="minorHAnsi"/>
          <w:lang w:val="sq-AL"/>
        </w:rPr>
        <w:t>Janë trajtuar 20 të mitur të dënuar të cilët vuajnë dënimin në ambientet të përshtatshme për vuajtjen e dënimit;</w:t>
      </w:r>
    </w:p>
    <w:p w:rsidR="00990CDF" w:rsidRPr="00BF005F" w:rsidRDefault="00990CDF" w:rsidP="007F0B61">
      <w:pPr>
        <w:numPr>
          <w:ilvl w:val="0"/>
          <w:numId w:val="24"/>
        </w:numPr>
        <w:spacing w:line="276" w:lineRule="auto"/>
        <w:contextualSpacing/>
        <w:jc w:val="both"/>
        <w:rPr>
          <w:rFonts w:asciiTheme="minorHAnsi" w:hAnsiTheme="minorHAnsi"/>
          <w:lang w:val="sq-AL"/>
        </w:rPr>
      </w:pPr>
      <w:r w:rsidRPr="00BF005F">
        <w:rPr>
          <w:rFonts w:asciiTheme="minorHAnsi" w:hAnsiTheme="minorHAnsi"/>
          <w:lang w:val="sq-AL"/>
        </w:rPr>
        <w:t>Kanë filluar punimet për rikonstruksionin e godinave Pojskë, Pogradec për të dënuarit e moshës së tretë (rikonstruksion, supervizion dhe kolaudim).</w:t>
      </w:r>
    </w:p>
    <w:p w:rsidR="00990CDF" w:rsidRPr="00D25D65" w:rsidRDefault="00990CDF" w:rsidP="006F25E7">
      <w:pPr>
        <w:spacing w:line="276" w:lineRule="auto"/>
        <w:jc w:val="both"/>
        <w:rPr>
          <w:rFonts w:asciiTheme="minorHAnsi" w:eastAsia="Calibri" w:hAnsiTheme="minorHAnsi"/>
          <w:sz w:val="8"/>
          <w:szCs w:val="8"/>
          <w:lang w:val="sq-AL"/>
        </w:rPr>
      </w:pPr>
    </w:p>
    <w:p w:rsidR="00990CDF" w:rsidRPr="00BF005F" w:rsidRDefault="00990CDF" w:rsidP="006F25E7">
      <w:pPr>
        <w:spacing w:line="276" w:lineRule="auto"/>
        <w:jc w:val="both"/>
        <w:rPr>
          <w:rFonts w:asciiTheme="minorHAnsi" w:hAnsiTheme="minorHAnsi"/>
          <w:lang w:val="sq-AL"/>
        </w:rPr>
      </w:pPr>
      <w:r w:rsidRPr="00BF005F">
        <w:rPr>
          <w:rFonts w:asciiTheme="minorHAnsi" w:eastAsia="Calibri" w:hAnsiTheme="minorHAnsi"/>
          <w:lang w:val="sq-AL"/>
        </w:rPr>
        <w:t>Në programin “</w:t>
      </w:r>
      <w:r w:rsidRPr="00BF005F">
        <w:rPr>
          <w:rFonts w:asciiTheme="minorHAnsi" w:eastAsia="Calibri" w:hAnsiTheme="minorHAnsi"/>
          <w:b/>
          <w:lang w:val="sq-AL"/>
        </w:rPr>
        <w:t>Agjencia e Trajtimit të Pronave</w:t>
      </w:r>
      <w:r w:rsidRPr="00BF005F">
        <w:rPr>
          <w:rFonts w:asciiTheme="minorHAnsi" w:eastAsia="Calibri" w:hAnsiTheme="minorHAnsi"/>
          <w:lang w:val="sq-AL"/>
        </w:rPr>
        <w:t>” janë realizuar produkte me kosto faktike prej 56.1 milionë lekë, ndër produktet përmendim:</w:t>
      </w:r>
    </w:p>
    <w:p w:rsidR="00990CDF" w:rsidRPr="00BF005F" w:rsidRDefault="00990CDF" w:rsidP="007F0B61">
      <w:pPr>
        <w:numPr>
          <w:ilvl w:val="0"/>
          <w:numId w:val="24"/>
        </w:numPr>
        <w:spacing w:line="276" w:lineRule="auto"/>
        <w:contextualSpacing/>
        <w:jc w:val="both"/>
        <w:rPr>
          <w:rFonts w:asciiTheme="minorHAnsi" w:eastAsia="MS Mincho" w:hAnsiTheme="minorHAnsi"/>
          <w:lang w:val="sq-AL"/>
        </w:rPr>
      </w:pPr>
      <w:r w:rsidRPr="00BF005F">
        <w:rPr>
          <w:rFonts w:asciiTheme="minorHAnsi" w:eastAsia="MS Mincho" w:hAnsiTheme="minorHAnsi"/>
          <w:lang w:val="sq-AL"/>
        </w:rPr>
        <w:t xml:space="preserve">Shpërndarja e fondit fizik dhe financiar” nga 800 subjekte të planifikuara për realizim vjetor janë realizuar 216. </w:t>
      </w:r>
    </w:p>
    <w:p w:rsidR="00990CDF" w:rsidRPr="00BF005F" w:rsidRDefault="00990CDF" w:rsidP="007F0B61">
      <w:pPr>
        <w:numPr>
          <w:ilvl w:val="0"/>
          <w:numId w:val="24"/>
        </w:numPr>
        <w:spacing w:line="276" w:lineRule="auto"/>
        <w:contextualSpacing/>
        <w:jc w:val="both"/>
        <w:rPr>
          <w:rFonts w:asciiTheme="minorHAnsi" w:eastAsia="MS Mincho" w:hAnsiTheme="minorHAnsi"/>
          <w:lang w:val="sq-AL"/>
        </w:rPr>
      </w:pPr>
      <w:r w:rsidRPr="00BF005F">
        <w:rPr>
          <w:rFonts w:asciiTheme="minorHAnsi" w:eastAsia="MS Mincho" w:hAnsiTheme="minorHAnsi"/>
          <w:lang w:val="sq-AL"/>
        </w:rPr>
        <w:t>“Mbrojtja e interesave të ATP në proceset gjyqësore” nga 1,000 dosje  të planifikuara janë ndjekur 293 raste gjyqësore që kanë të bëjnë me çështje njohje të drejte pronësie apo që kanë të bëjnë me vlerësimin e pronës së njohur për kompensim.</w:t>
      </w:r>
    </w:p>
    <w:p w:rsidR="00990CDF" w:rsidRPr="00BF005F" w:rsidRDefault="00990CDF" w:rsidP="007F0B61">
      <w:pPr>
        <w:numPr>
          <w:ilvl w:val="0"/>
          <w:numId w:val="24"/>
        </w:numPr>
        <w:spacing w:line="276" w:lineRule="auto"/>
        <w:contextualSpacing/>
        <w:jc w:val="both"/>
        <w:rPr>
          <w:rFonts w:asciiTheme="minorHAnsi" w:eastAsia="MS Mincho" w:hAnsiTheme="minorHAnsi"/>
          <w:lang w:val="sq-AL"/>
        </w:rPr>
      </w:pPr>
      <w:r w:rsidRPr="00BF005F">
        <w:rPr>
          <w:rFonts w:asciiTheme="minorHAnsi" w:eastAsia="MS Mincho" w:hAnsiTheme="minorHAnsi"/>
          <w:lang w:val="sq-AL"/>
        </w:rPr>
        <w:t xml:space="preserve">“Shpërndarja e fondit  të ALUIZNIT” nga 1,097 numër subjektesh të planifikuara për realizim janë trajtuar vetëm 432 prej tyre pagesa e të cilëve është bërë me fondet e mbartura nga viti 2020 që ndodhen ne Bankën e Shqipërisë e cila i korrespondon një shume prej 741.9 milionë lekë. Ndërsa për 575 aplikimet e bëra në 4 mujorin e parë ende nuk ka nisur procesi i pagesave. </w:t>
      </w:r>
    </w:p>
    <w:p w:rsidR="00BC47F8" w:rsidRDefault="00BC47F8" w:rsidP="006F25E7">
      <w:pPr>
        <w:spacing w:before="120" w:after="120" w:line="276" w:lineRule="auto"/>
        <w:jc w:val="both"/>
        <w:rPr>
          <w:rFonts w:asciiTheme="minorHAnsi" w:hAnsiTheme="minorHAnsi"/>
          <w:b/>
          <w:noProof/>
          <w:color w:val="0070C0"/>
          <w:lang w:val="sq-AL"/>
        </w:rPr>
      </w:pPr>
    </w:p>
    <w:p w:rsidR="00BC47F8" w:rsidRDefault="00BC47F8" w:rsidP="006F25E7">
      <w:pPr>
        <w:spacing w:before="120" w:after="120" w:line="276" w:lineRule="auto"/>
        <w:jc w:val="both"/>
        <w:rPr>
          <w:rFonts w:asciiTheme="minorHAnsi" w:hAnsiTheme="minorHAnsi"/>
          <w:b/>
          <w:noProof/>
          <w:color w:val="0070C0"/>
          <w:lang w:val="sq-AL"/>
        </w:rPr>
      </w:pPr>
    </w:p>
    <w:p w:rsidR="00BC47F8" w:rsidRDefault="00BC47F8" w:rsidP="006F25E7">
      <w:pPr>
        <w:spacing w:before="120" w:after="120" w:line="276" w:lineRule="auto"/>
        <w:jc w:val="both"/>
        <w:rPr>
          <w:rFonts w:asciiTheme="minorHAnsi" w:hAnsiTheme="minorHAnsi"/>
          <w:b/>
          <w:noProof/>
          <w:color w:val="0070C0"/>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lastRenderedPageBreak/>
        <w:t>INSTITUCIONET E SISTEMIT TË DREJTËSISË</w:t>
      </w:r>
      <w:bookmarkEnd w:id="136"/>
      <w:bookmarkEnd w:id="137"/>
    </w:p>
    <w:p w:rsidR="00525A7D" w:rsidRPr="00525A7D" w:rsidRDefault="00525A7D" w:rsidP="00525A7D">
      <w:pPr>
        <w:spacing w:before="240" w:line="276" w:lineRule="auto"/>
        <w:jc w:val="both"/>
        <w:rPr>
          <w:rFonts w:asciiTheme="minorHAnsi" w:eastAsia="MS Mincho" w:hAnsiTheme="minorHAnsi"/>
          <w:lang w:val="sq-AL"/>
        </w:rPr>
      </w:pPr>
      <w:bookmarkStart w:id="141" w:name="_Toc10033304"/>
      <w:bookmarkStart w:id="142" w:name="_Toc10721440"/>
      <w:bookmarkStart w:id="143" w:name="_Toc11134233"/>
      <w:bookmarkEnd w:id="138"/>
      <w:bookmarkEnd w:id="139"/>
      <w:bookmarkEnd w:id="140"/>
      <w:r w:rsidRPr="00525A7D">
        <w:rPr>
          <w:rFonts w:asciiTheme="minorHAnsi" w:eastAsia="MS Mincho" w:hAnsiTheme="minorHAnsi"/>
          <w:lang w:val="sq-AL"/>
        </w:rPr>
        <w:t>Shpenzimet e planifikuara dhe ato faktike si dhe realizimi në përqindje për 4 mujorin e parë të vitit 2021 për institucionet e Sistemit të Drejtësisë, paraqiten si më poshtë:</w:t>
      </w:r>
    </w:p>
    <w:p w:rsidR="00525A7D" w:rsidRPr="00525A7D" w:rsidRDefault="00525A7D" w:rsidP="00525A7D">
      <w:pPr>
        <w:spacing w:before="240" w:line="276" w:lineRule="auto"/>
        <w:rPr>
          <w:rFonts w:asciiTheme="minorHAnsi" w:hAnsiTheme="minorHAnsi"/>
          <w:i/>
          <w:noProof/>
          <w:sz w:val="22"/>
        </w:rPr>
      </w:pPr>
      <w:bookmarkStart w:id="144" w:name="_Toc76470076"/>
      <w:r w:rsidRPr="00525A7D">
        <w:rPr>
          <w:rFonts w:asciiTheme="minorHAnsi" w:hAnsiTheme="minorHAnsi"/>
          <w:i/>
          <w:noProof/>
          <w:sz w:val="22"/>
        </w:rPr>
        <w:t xml:space="preserve">Tabela </w:t>
      </w:r>
      <w:r w:rsidRPr="00525A7D">
        <w:rPr>
          <w:rFonts w:asciiTheme="minorHAnsi" w:hAnsiTheme="minorHAnsi"/>
          <w:i/>
          <w:noProof/>
          <w:sz w:val="22"/>
        </w:rPr>
        <w:fldChar w:fldCharType="begin"/>
      </w:r>
      <w:r w:rsidRPr="00525A7D">
        <w:rPr>
          <w:rFonts w:asciiTheme="minorHAnsi" w:hAnsiTheme="minorHAnsi"/>
          <w:i/>
          <w:noProof/>
          <w:sz w:val="22"/>
        </w:rPr>
        <w:instrText xml:space="preserve"> SEQ Tabela \* ARABIC </w:instrText>
      </w:r>
      <w:r w:rsidRPr="00525A7D">
        <w:rPr>
          <w:rFonts w:asciiTheme="minorHAnsi" w:hAnsiTheme="minorHAnsi"/>
          <w:i/>
          <w:noProof/>
          <w:sz w:val="22"/>
        </w:rPr>
        <w:fldChar w:fldCharType="separate"/>
      </w:r>
      <w:r w:rsidRPr="00525A7D">
        <w:rPr>
          <w:rFonts w:asciiTheme="minorHAnsi" w:hAnsiTheme="minorHAnsi"/>
          <w:i/>
          <w:noProof/>
          <w:sz w:val="22"/>
        </w:rPr>
        <w:t>34</w:t>
      </w:r>
      <w:r w:rsidRPr="00525A7D">
        <w:rPr>
          <w:rFonts w:asciiTheme="minorHAnsi" w:hAnsiTheme="minorHAnsi"/>
          <w:i/>
          <w:noProof/>
          <w:sz w:val="22"/>
        </w:rPr>
        <w:fldChar w:fldCharType="end"/>
      </w:r>
      <w:r w:rsidRPr="00525A7D">
        <w:rPr>
          <w:rFonts w:asciiTheme="minorHAnsi" w:hAnsiTheme="minorHAnsi"/>
          <w:i/>
          <w:noProof/>
          <w:sz w:val="22"/>
        </w:rPr>
        <w:t>: Institucionet e Sistemit të Drejtësisë</w:t>
      </w:r>
      <w:bookmarkEnd w:id="144"/>
    </w:p>
    <w:p w:rsidR="00525A7D" w:rsidRPr="00525A7D" w:rsidRDefault="00525A7D" w:rsidP="00525A7D">
      <w:pPr>
        <w:spacing w:line="276" w:lineRule="auto"/>
        <w:jc w:val="right"/>
        <w:rPr>
          <w:rFonts w:asciiTheme="minorHAnsi" w:eastAsia="MS Mincho" w:hAnsiTheme="minorHAnsi"/>
          <w:i/>
          <w:iCs/>
          <w:sz w:val="22"/>
          <w:lang w:val="sq-AL"/>
        </w:rPr>
      </w:pPr>
      <w:r w:rsidRPr="00525A7D">
        <w:rPr>
          <w:rFonts w:asciiTheme="minorHAnsi" w:eastAsia="MS Mincho" w:hAnsiTheme="minorHAnsi"/>
          <w:i/>
          <w:iCs/>
          <w:sz w:val="22"/>
          <w:lang w:val="sq-AL"/>
        </w:rPr>
        <w:t>Në mijë lekë</w:t>
      </w:r>
    </w:p>
    <w:tbl>
      <w:tblPr>
        <w:tblW w:w="10047" w:type="dxa"/>
        <w:jc w:val="center"/>
        <w:tblLook w:val="04A0" w:firstRow="1" w:lastRow="0" w:firstColumn="1" w:lastColumn="0" w:noHBand="0" w:noVBand="1"/>
      </w:tblPr>
      <w:tblGrid>
        <w:gridCol w:w="412"/>
        <w:gridCol w:w="4546"/>
        <w:gridCol w:w="864"/>
        <w:gridCol w:w="871"/>
        <w:gridCol w:w="806"/>
        <w:gridCol w:w="871"/>
        <w:gridCol w:w="806"/>
        <w:gridCol w:w="871"/>
      </w:tblGrid>
      <w:tr w:rsidR="00525A7D" w:rsidRPr="00CA5051" w:rsidTr="00CA5051">
        <w:trPr>
          <w:trHeight w:val="107"/>
          <w:jc w:val="center"/>
        </w:trPr>
        <w:tc>
          <w:tcPr>
            <w:tcW w:w="0" w:type="auto"/>
            <w:vMerge w:val="restart"/>
            <w:tcBorders>
              <w:top w:val="single" w:sz="8" w:space="0" w:color="4BACC6"/>
              <w:left w:val="single" w:sz="8" w:space="0" w:color="4BACC6"/>
              <w:bottom w:val="single" w:sz="8" w:space="0" w:color="4BACC6"/>
              <w:right w:val="nil"/>
            </w:tcBorders>
            <w:shd w:val="clear" w:color="000000" w:fill="4BACC6"/>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NR</w:t>
            </w:r>
          </w:p>
        </w:tc>
        <w:tc>
          <w:tcPr>
            <w:tcW w:w="0" w:type="auto"/>
            <w:vMerge w:val="restart"/>
            <w:tcBorders>
              <w:top w:val="single" w:sz="8" w:space="0" w:color="4BACC6"/>
              <w:left w:val="nil"/>
              <w:bottom w:val="single" w:sz="8" w:space="0" w:color="4BACC6"/>
              <w:right w:val="nil"/>
            </w:tcBorders>
            <w:shd w:val="clear" w:color="000000" w:fill="4BACC6"/>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Emërtimi I Programit/Institucionit</w:t>
            </w:r>
          </w:p>
        </w:tc>
        <w:tc>
          <w:tcPr>
            <w:tcW w:w="0" w:type="auto"/>
            <w:gridSpan w:val="2"/>
            <w:tcBorders>
              <w:top w:val="single" w:sz="8" w:space="0" w:color="4BACC6"/>
              <w:left w:val="nil"/>
              <w:bottom w:val="single" w:sz="8" w:space="0" w:color="4BACC6"/>
              <w:right w:val="nil"/>
            </w:tcBorders>
            <w:shd w:val="clear" w:color="000000" w:fill="4BACC6"/>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Plani 2021</w:t>
            </w:r>
          </w:p>
        </w:tc>
        <w:tc>
          <w:tcPr>
            <w:tcW w:w="0" w:type="auto"/>
            <w:gridSpan w:val="2"/>
            <w:tcBorders>
              <w:top w:val="single" w:sz="8" w:space="0" w:color="4BACC6"/>
              <w:left w:val="nil"/>
              <w:bottom w:val="single" w:sz="8" w:space="0" w:color="4BACC6"/>
              <w:right w:val="nil"/>
            </w:tcBorders>
            <w:shd w:val="clear" w:color="000000" w:fill="4BACC6"/>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sz w:val="16"/>
                <w:lang w:val="sq-AL"/>
              </w:rPr>
              <w:t>Fakti 4-mujori 2021</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Përqindja  e realizimit</w:t>
            </w:r>
          </w:p>
        </w:tc>
      </w:tr>
      <w:tr w:rsidR="00525A7D" w:rsidRPr="00CA5051" w:rsidTr="00CA5051">
        <w:trPr>
          <w:trHeight w:val="102"/>
          <w:jc w:val="center"/>
        </w:trPr>
        <w:tc>
          <w:tcPr>
            <w:tcW w:w="0" w:type="auto"/>
            <w:vMerge/>
            <w:tcBorders>
              <w:top w:val="single" w:sz="8" w:space="0" w:color="4BACC6"/>
              <w:left w:val="single" w:sz="8" w:space="0" w:color="4BACC6"/>
              <w:bottom w:val="single" w:sz="8" w:space="0" w:color="4BACC6"/>
              <w:right w:val="nil"/>
            </w:tcBorders>
            <w:vAlign w:val="center"/>
            <w:hideMark/>
          </w:tcPr>
          <w:p w:rsidR="00525A7D" w:rsidRPr="00CA5051" w:rsidRDefault="00525A7D" w:rsidP="00525A7D">
            <w:pPr>
              <w:spacing w:line="276" w:lineRule="auto"/>
              <w:rPr>
                <w:rFonts w:asciiTheme="minorHAnsi" w:hAnsiTheme="minorHAnsi"/>
                <w:b/>
                <w:bCs/>
                <w:sz w:val="16"/>
                <w:lang w:val="sq-AL"/>
              </w:rPr>
            </w:pPr>
          </w:p>
        </w:tc>
        <w:tc>
          <w:tcPr>
            <w:tcW w:w="0" w:type="auto"/>
            <w:vMerge/>
            <w:tcBorders>
              <w:top w:val="single" w:sz="8" w:space="0" w:color="4BACC6"/>
              <w:left w:val="nil"/>
              <w:bottom w:val="single" w:sz="8" w:space="0" w:color="4BACC6"/>
              <w:right w:val="nil"/>
            </w:tcBorders>
            <w:vAlign w:val="center"/>
            <w:hideMark/>
          </w:tcPr>
          <w:p w:rsidR="00525A7D" w:rsidRPr="00CA5051" w:rsidRDefault="00525A7D" w:rsidP="00525A7D">
            <w:pPr>
              <w:spacing w:line="276" w:lineRule="auto"/>
              <w:rPr>
                <w:rFonts w:asciiTheme="minorHAnsi" w:hAnsiTheme="minorHAnsi"/>
                <w:b/>
                <w:bCs/>
                <w:sz w:val="16"/>
                <w:lang w:val="sq-AL"/>
              </w:rPr>
            </w:pPr>
          </w:p>
        </w:tc>
        <w:tc>
          <w:tcPr>
            <w:tcW w:w="0" w:type="auto"/>
            <w:tcBorders>
              <w:top w:val="nil"/>
              <w:left w:val="nil"/>
              <w:bottom w:val="single" w:sz="8" w:space="0" w:color="4BACC6"/>
              <w:right w:val="nil"/>
            </w:tcBorders>
            <w:shd w:val="clear" w:color="auto" w:fill="auto"/>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Korrente</w:t>
            </w:r>
          </w:p>
        </w:tc>
        <w:tc>
          <w:tcPr>
            <w:tcW w:w="0" w:type="auto"/>
            <w:tcBorders>
              <w:top w:val="nil"/>
              <w:left w:val="nil"/>
              <w:bottom w:val="single" w:sz="8" w:space="0" w:color="4BACC6"/>
              <w:right w:val="nil"/>
            </w:tcBorders>
            <w:shd w:val="clear" w:color="auto" w:fill="auto"/>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Investime</w:t>
            </w:r>
          </w:p>
        </w:tc>
        <w:tc>
          <w:tcPr>
            <w:tcW w:w="0" w:type="auto"/>
            <w:tcBorders>
              <w:top w:val="nil"/>
              <w:left w:val="nil"/>
              <w:bottom w:val="single" w:sz="8" w:space="0" w:color="4BACC6"/>
              <w:right w:val="nil"/>
            </w:tcBorders>
            <w:shd w:val="clear" w:color="auto" w:fill="auto"/>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Korrente</w:t>
            </w:r>
          </w:p>
        </w:tc>
        <w:tc>
          <w:tcPr>
            <w:tcW w:w="0" w:type="auto"/>
            <w:tcBorders>
              <w:top w:val="nil"/>
              <w:left w:val="nil"/>
              <w:bottom w:val="single" w:sz="8" w:space="0" w:color="4BACC6"/>
              <w:right w:val="nil"/>
            </w:tcBorders>
            <w:shd w:val="clear" w:color="auto" w:fill="auto"/>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Investime</w:t>
            </w:r>
          </w:p>
        </w:tc>
        <w:tc>
          <w:tcPr>
            <w:tcW w:w="0" w:type="auto"/>
            <w:tcBorders>
              <w:top w:val="nil"/>
              <w:left w:val="nil"/>
              <w:bottom w:val="single" w:sz="8" w:space="0" w:color="4BACC6"/>
              <w:right w:val="nil"/>
            </w:tcBorders>
            <w:shd w:val="clear" w:color="auto" w:fill="auto"/>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Investime</w:t>
            </w:r>
          </w:p>
        </w:tc>
      </w:tr>
      <w:tr w:rsidR="00525A7D" w:rsidRPr="00CA5051" w:rsidTr="00CA5051">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1</w:t>
            </w:r>
          </w:p>
        </w:tc>
        <w:tc>
          <w:tcPr>
            <w:tcW w:w="0" w:type="auto"/>
            <w:tcBorders>
              <w:top w:val="nil"/>
              <w:left w:val="nil"/>
              <w:bottom w:val="single" w:sz="8" w:space="0" w:color="4BACC6"/>
              <w:right w:val="single" w:sz="8" w:space="0" w:color="4BACC6"/>
            </w:tcBorders>
            <w:shd w:val="clear" w:color="auto" w:fill="auto"/>
            <w:vAlign w:val="center"/>
            <w:hideMark/>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b/>
                <w:bCs/>
                <w:sz w:val="16"/>
                <w:lang w:val="sq-AL"/>
              </w:rPr>
              <w:t>Inspektoriati i Larte i Drejtesise</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208,150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52,000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37,327</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7,080</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18</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14</w:t>
            </w:r>
          </w:p>
        </w:tc>
      </w:tr>
      <w:tr w:rsidR="00525A7D" w:rsidRPr="00CA5051" w:rsidTr="00CA5051">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2</w:t>
            </w:r>
          </w:p>
        </w:tc>
        <w:tc>
          <w:tcPr>
            <w:tcW w:w="0" w:type="auto"/>
            <w:tcBorders>
              <w:top w:val="nil"/>
              <w:left w:val="nil"/>
              <w:bottom w:val="single" w:sz="8" w:space="0" w:color="4BACC6"/>
              <w:right w:val="single" w:sz="8" w:space="0" w:color="4BACC6"/>
            </w:tcBorders>
            <w:shd w:val="clear" w:color="auto" w:fill="auto"/>
            <w:vAlign w:val="center"/>
            <w:hideMark/>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b/>
                <w:bCs/>
                <w:sz w:val="16"/>
                <w:lang w:val="sq-AL"/>
              </w:rPr>
              <w:t>Komisioni I Pavarur I Kualifikimit</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230,850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5,000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bCs/>
                <w:sz w:val="16"/>
              </w:rPr>
            </w:pPr>
            <w:r w:rsidRPr="00CA5051">
              <w:rPr>
                <w:rFonts w:asciiTheme="minorHAnsi" w:hAnsiTheme="minorHAnsi"/>
                <w:bCs/>
                <w:sz w:val="16"/>
              </w:rPr>
              <w:t>58,263</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1,636</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25</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33</w:t>
            </w:r>
          </w:p>
        </w:tc>
      </w:tr>
      <w:tr w:rsidR="00525A7D" w:rsidRPr="00CA5051" w:rsidTr="00CA5051">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3</w:t>
            </w:r>
          </w:p>
        </w:tc>
        <w:tc>
          <w:tcPr>
            <w:tcW w:w="0" w:type="auto"/>
            <w:tcBorders>
              <w:top w:val="nil"/>
              <w:left w:val="nil"/>
              <w:bottom w:val="single" w:sz="8" w:space="0" w:color="4BACC6"/>
              <w:right w:val="single" w:sz="8" w:space="0" w:color="4BACC6"/>
            </w:tcBorders>
            <w:shd w:val="clear" w:color="auto" w:fill="auto"/>
            <w:vAlign w:val="center"/>
            <w:hideMark/>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b/>
                <w:bCs/>
                <w:sz w:val="16"/>
                <w:lang w:val="sq-AL"/>
              </w:rPr>
              <w:t>Kolegji I Posaçëm I Apelimit</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149,150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8,000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45,554</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31</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0</w:t>
            </w:r>
          </w:p>
        </w:tc>
      </w:tr>
      <w:tr w:rsidR="00525A7D" w:rsidRPr="00CA5051" w:rsidTr="00CA5051">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4</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b/>
                <w:bCs/>
                <w:sz w:val="16"/>
                <w:lang w:val="sq-AL"/>
              </w:rPr>
              <w:t>Komisionerët Publikë</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70,350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4,000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21,086</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30</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0</w:t>
            </w:r>
          </w:p>
        </w:tc>
      </w:tr>
      <w:tr w:rsidR="00525A7D" w:rsidRPr="00CA5051" w:rsidTr="00CA5051">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5</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b/>
                <w:sz w:val="16"/>
                <w:lang w:val="sq-AL"/>
              </w:rPr>
            </w:pPr>
            <w:r w:rsidRPr="00CA5051">
              <w:rPr>
                <w:rFonts w:asciiTheme="minorHAnsi" w:hAnsiTheme="minorHAnsi"/>
                <w:b/>
                <w:sz w:val="16"/>
                <w:lang w:val="sq-AL"/>
              </w:rPr>
              <w:t>Struktura e Posaçme kundër Korrupsionit dhe Krimit të Organizuar</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470,330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30,000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62,427</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13</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0</w:t>
            </w:r>
          </w:p>
        </w:tc>
      </w:tr>
      <w:tr w:rsidR="00525A7D" w:rsidRPr="00CA5051" w:rsidTr="00CA5051">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6</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b/>
                <w:sz w:val="16"/>
                <w:lang w:val="sq-AL"/>
              </w:rPr>
            </w:pPr>
            <w:r w:rsidRPr="00CA5051">
              <w:rPr>
                <w:rFonts w:asciiTheme="minorHAnsi" w:hAnsiTheme="minorHAnsi"/>
                <w:b/>
                <w:sz w:val="16"/>
                <w:lang w:val="sq-AL"/>
              </w:rPr>
              <w:t>Këshilli i Lartë Gjyqësor</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3,248,700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200,000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864,611</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7,429</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27</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4</w:t>
            </w:r>
          </w:p>
        </w:tc>
      </w:tr>
      <w:tr w:rsidR="00525A7D" w:rsidRPr="00CA5051" w:rsidTr="00CA5051">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7</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b/>
                <w:sz w:val="16"/>
                <w:lang w:val="sq-AL"/>
              </w:rPr>
            </w:pPr>
            <w:r w:rsidRPr="00CA5051">
              <w:rPr>
                <w:rFonts w:asciiTheme="minorHAnsi" w:hAnsiTheme="minorHAnsi"/>
                <w:b/>
                <w:sz w:val="16"/>
                <w:lang w:val="sq-AL"/>
              </w:rPr>
              <w:t>Këshilli i Lartë i Prokurorisë</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147,150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17,000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41,918</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16,908</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28</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99</w:t>
            </w:r>
          </w:p>
        </w:tc>
      </w:tr>
      <w:tr w:rsidR="00525A7D" w:rsidRPr="00CA5051" w:rsidTr="00CA5051">
        <w:trPr>
          <w:trHeight w:val="170"/>
          <w:jc w:val="center"/>
        </w:trPr>
        <w:tc>
          <w:tcPr>
            <w:tcW w:w="0" w:type="auto"/>
            <w:tcBorders>
              <w:top w:val="nil"/>
              <w:left w:val="single" w:sz="8" w:space="0" w:color="4BACC6"/>
              <w:bottom w:val="nil"/>
              <w:right w:val="single" w:sz="8" w:space="0" w:color="4BACC6"/>
            </w:tcBorders>
            <w:shd w:val="clear" w:color="000000" w:fill="FFFFFF"/>
            <w:vAlign w:val="center"/>
          </w:tcPr>
          <w:p w:rsidR="00525A7D" w:rsidRPr="00CA5051" w:rsidRDefault="00525A7D" w:rsidP="00525A7D">
            <w:pPr>
              <w:spacing w:line="276" w:lineRule="auto"/>
              <w:jc w:val="center"/>
              <w:rPr>
                <w:rFonts w:asciiTheme="minorHAnsi" w:hAnsiTheme="minorHAnsi"/>
                <w:b/>
                <w:bCs/>
                <w:sz w:val="16"/>
                <w:lang w:val="sq-AL"/>
              </w:rPr>
            </w:pPr>
            <w:r w:rsidRPr="00CA5051">
              <w:rPr>
                <w:rFonts w:asciiTheme="minorHAnsi" w:hAnsiTheme="minorHAnsi"/>
                <w:b/>
                <w:bCs/>
                <w:sz w:val="16"/>
                <w:lang w:val="sq-AL"/>
              </w:rPr>
              <w:t>8</w:t>
            </w:r>
          </w:p>
        </w:tc>
        <w:tc>
          <w:tcPr>
            <w:tcW w:w="0" w:type="auto"/>
            <w:tcBorders>
              <w:top w:val="nil"/>
              <w:left w:val="nil"/>
              <w:bottom w:val="nil"/>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b/>
                <w:sz w:val="16"/>
                <w:lang w:val="sq-AL"/>
              </w:rPr>
            </w:pPr>
            <w:r w:rsidRPr="00CA5051">
              <w:rPr>
                <w:rFonts w:asciiTheme="minorHAnsi" w:hAnsiTheme="minorHAnsi"/>
                <w:b/>
                <w:sz w:val="16"/>
                <w:lang w:val="sq-AL"/>
              </w:rPr>
              <w:t>Gjykata Kushtetuese</w:t>
            </w:r>
          </w:p>
        </w:tc>
        <w:tc>
          <w:tcPr>
            <w:tcW w:w="0" w:type="auto"/>
            <w:tcBorders>
              <w:top w:val="nil"/>
              <w:left w:val="nil"/>
              <w:bottom w:val="nil"/>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151,000</w:t>
            </w:r>
          </w:p>
        </w:tc>
        <w:tc>
          <w:tcPr>
            <w:tcW w:w="0" w:type="auto"/>
            <w:tcBorders>
              <w:top w:val="nil"/>
              <w:left w:val="nil"/>
              <w:bottom w:val="nil"/>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4,000</w:t>
            </w:r>
          </w:p>
        </w:tc>
        <w:tc>
          <w:tcPr>
            <w:tcW w:w="0" w:type="auto"/>
            <w:tcBorders>
              <w:top w:val="nil"/>
              <w:left w:val="nil"/>
              <w:bottom w:val="nil"/>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34,228</w:t>
            </w:r>
          </w:p>
        </w:tc>
        <w:tc>
          <w:tcPr>
            <w:tcW w:w="0" w:type="auto"/>
            <w:tcBorders>
              <w:top w:val="nil"/>
              <w:left w:val="nil"/>
              <w:bottom w:val="nil"/>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0</w:t>
            </w:r>
          </w:p>
        </w:tc>
        <w:tc>
          <w:tcPr>
            <w:tcW w:w="0" w:type="auto"/>
            <w:tcBorders>
              <w:top w:val="nil"/>
              <w:left w:val="nil"/>
              <w:bottom w:val="nil"/>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23</w:t>
            </w:r>
          </w:p>
        </w:tc>
        <w:tc>
          <w:tcPr>
            <w:tcW w:w="0" w:type="auto"/>
            <w:tcBorders>
              <w:top w:val="nil"/>
              <w:left w:val="nil"/>
              <w:bottom w:val="nil"/>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sz w:val="16"/>
                <w:lang w:val="sq-AL"/>
              </w:rPr>
            </w:pPr>
            <w:r w:rsidRPr="00CA5051">
              <w:rPr>
                <w:rFonts w:asciiTheme="minorHAnsi" w:hAnsiTheme="minorHAnsi"/>
                <w:sz w:val="16"/>
                <w:lang w:val="sq-AL"/>
              </w:rPr>
              <w:t>0</w:t>
            </w:r>
          </w:p>
        </w:tc>
      </w:tr>
      <w:tr w:rsidR="00525A7D" w:rsidRPr="00CA5051" w:rsidTr="00CA5051">
        <w:trPr>
          <w:trHeight w:val="170"/>
          <w:jc w:val="center"/>
        </w:trPr>
        <w:tc>
          <w:tcPr>
            <w:tcW w:w="0" w:type="auto"/>
            <w:gridSpan w:val="2"/>
            <w:tcBorders>
              <w:top w:val="nil"/>
              <w:left w:val="single" w:sz="8" w:space="0" w:color="4BACC6"/>
              <w:bottom w:val="single" w:sz="8" w:space="0" w:color="4BACC6"/>
              <w:right w:val="single" w:sz="8" w:space="0" w:color="4BACC6"/>
            </w:tcBorders>
            <w:shd w:val="clear" w:color="000000" w:fill="FFFFFF"/>
            <w:vAlign w:val="center"/>
          </w:tcPr>
          <w:p w:rsidR="00525A7D" w:rsidRPr="00CA5051" w:rsidRDefault="00525A7D" w:rsidP="00525A7D">
            <w:pPr>
              <w:spacing w:line="276" w:lineRule="auto"/>
              <w:jc w:val="center"/>
              <w:rPr>
                <w:rFonts w:asciiTheme="minorHAnsi" w:hAnsiTheme="minorHAnsi"/>
                <w:b/>
                <w:sz w:val="16"/>
                <w:lang w:val="sq-AL"/>
              </w:rPr>
            </w:pPr>
            <w:r w:rsidRPr="00CA5051">
              <w:rPr>
                <w:rFonts w:asciiTheme="minorHAnsi" w:hAnsiTheme="minorHAnsi"/>
                <w:b/>
                <w:sz w:val="16"/>
                <w:lang w:val="sq-AL"/>
              </w:rPr>
              <w:t>Totali</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b/>
                <w:sz w:val="16"/>
                <w:lang w:val="sq-AL"/>
              </w:rPr>
            </w:pPr>
            <w:r w:rsidRPr="00CA5051">
              <w:rPr>
                <w:rFonts w:asciiTheme="minorHAnsi" w:hAnsiTheme="minorHAnsi"/>
                <w:b/>
                <w:sz w:val="16"/>
                <w:lang w:val="sq-AL"/>
              </w:rPr>
              <w:t>658,500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b/>
                <w:sz w:val="16"/>
                <w:lang w:val="sq-AL"/>
              </w:rPr>
            </w:pPr>
            <w:r w:rsidRPr="00CA5051">
              <w:rPr>
                <w:rFonts w:asciiTheme="minorHAnsi" w:hAnsiTheme="minorHAnsi"/>
                <w:b/>
                <w:sz w:val="16"/>
                <w:lang w:val="sq-AL"/>
              </w:rPr>
              <w:t>69,000</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b/>
                <w:sz w:val="16"/>
                <w:lang w:val="sq-AL"/>
              </w:rPr>
            </w:pPr>
            <w:r w:rsidRPr="00CA5051">
              <w:rPr>
                <w:rFonts w:asciiTheme="minorHAnsi" w:hAnsiTheme="minorHAnsi"/>
                <w:b/>
                <w:sz w:val="16"/>
                <w:lang w:val="sq-AL"/>
              </w:rPr>
              <w:t>162,229</w:t>
            </w:r>
          </w:p>
        </w:tc>
        <w:tc>
          <w:tcPr>
            <w:tcW w:w="0" w:type="auto"/>
            <w:tcBorders>
              <w:top w:val="nil"/>
              <w:left w:val="nil"/>
              <w:bottom w:val="single" w:sz="8" w:space="0" w:color="4BACC6"/>
              <w:right w:val="single" w:sz="8" w:space="0" w:color="4BACC6"/>
            </w:tcBorders>
            <w:shd w:val="clear" w:color="auto" w:fill="auto"/>
            <w:noWrap/>
            <w:vAlign w:val="center"/>
          </w:tcPr>
          <w:p w:rsidR="00525A7D" w:rsidRPr="00CA5051" w:rsidRDefault="00525A7D" w:rsidP="00525A7D">
            <w:pPr>
              <w:spacing w:line="276" w:lineRule="auto"/>
              <w:jc w:val="center"/>
              <w:rPr>
                <w:rFonts w:asciiTheme="minorHAnsi" w:hAnsiTheme="minorHAnsi"/>
                <w:b/>
                <w:sz w:val="16"/>
                <w:lang w:val="sq-AL"/>
              </w:rPr>
            </w:pPr>
            <w:r w:rsidRPr="00CA5051">
              <w:rPr>
                <w:rFonts w:asciiTheme="minorHAnsi" w:hAnsiTheme="minorHAnsi"/>
                <w:b/>
                <w:sz w:val="16"/>
                <w:lang w:val="sq-AL"/>
              </w:rPr>
              <w:t>8,716</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b/>
                <w:sz w:val="16"/>
                <w:lang w:val="sq-AL"/>
              </w:rPr>
            </w:pPr>
            <w:r w:rsidRPr="00CA5051">
              <w:rPr>
                <w:rFonts w:asciiTheme="minorHAnsi" w:hAnsiTheme="minorHAnsi"/>
                <w:b/>
                <w:sz w:val="16"/>
                <w:lang w:val="sq-AL"/>
              </w:rPr>
              <w:t>25</w:t>
            </w:r>
          </w:p>
        </w:tc>
        <w:tc>
          <w:tcPr>
            <w:tcW w:w="0" w:type="auto"/>
            <w:tcBorders>
              <w:top w:val="nil"/>
              <w:left w:val="nil"/>
              <w:bottom w:val="single" w:sz="8" w:space="0" w:color="4BACC6"/>
              <w:right w:val="single" w:sz="8" w:space="0" w:color="4BACC6"/>
            </w:tcBorders>
            <w:shd w:val="clear" w:color="auto" w:fill="auto"/>
            <w:vAlign w:val="center"/>
          </w:tcPr>
          <w:p w:rsidR="00525A7D" w:rsidRPr="00CA5051" w:rsidRDefault="00525A7D" w:rsidP="00525A7D">
            <w:pPr>
              <w:spacing w:line="276" w:lineRule="auto"/>
              <w:jc w:val="center"/>
              <w:rPr>
                <w:rFonts w:asciiTheme="minorHAnsi" w:hAnsiTheme="minorHAnsi"/>
                <w:b/>
                <w:sz w:val="16"/>
                <w:lang w:val="sq-AL"/>
              </w:rPr>
            </w:pPr>
            <w:r w:rsidRPr="00CA5051">
              <w:rPr>
                <w:rFonts w:asciiTheme="minorHAnsi" w:hAnsiTheme="minorHAnsi"/>
                <w:b/>
                <w:sz w:val="16"/>
                <w:lang w:val="sq-AL"/>
              </w:rPr>
              <w:t>13</w:t>
            </w:r>
          </w:p>
        </w:tc>
      </w:tr>
    </w:tbl>
    <w:p w:rsidR="00525A7D" w:rsidRPr="00525A7D" w:rsidRDefault="00525A7D" w:rsidP="00525A7D">
      <w:pPr>
        <w:spacing w:line="276" w:lineRule="auto"/>
        <w:jc w:val="right"/>
        <w:rPr>
          <w:rFonts w:asciiTheme="minorHAnsi" w:eastAsia="MS Mincho" w:hAnsiTheme="minorHAnsi"/>
          <w:i/>
          <w:iCs/>
          <w:lang w:val="sq-AL"/>
        </w:rPr>
      </w:pPr>
    </w:p>
    <w:p w:rsidR="00525A7D" w:rsidRPr="00525A7D" w:rsidRDefault="00525A7D" w:rsidP="00525A7D">
      <w:pPr>
        <w:spacing w:line="276" w:lineRule="auto"/>
        <w:contextualSpacing/>
        <w:jc w:val="both"/>
        <w:rPr>
          <w:rFonts w:asciiTheme="minorHAnsi" w:hAnsiTheme="minorHAnsi"/>
          <w:lang w:val="sq-AL"/>
        </w:rPr>
      </w:pPr>
      <w:r w:rsidRPr="00525A7D">
        <w:rPr>
          <w:rFonts w:asciiTheme="minorHAnsi" w:hAnsiTheme="minorHAnsi"/>
          <w:lang w:val="sq-AL"/>
        </w:rPr>
        <w:t>Në lidhje me disa nga treguesit e performancës për institucionet e drejtësisë përmendim:</w:t>
      </w:r>
    </w:p>
    <w:p w:rsidR="00525A7D" w:rsidRPr="00525A7D" w:rsidRDefault="00525A7D" w:rsidP="00525A7D">
      <w:pPr>
        <w:numPr>
          <w:ilvl w:val="0"/>
          <w:numId w:val="45"/>
        </w:numPr>
        <w:spacing w:line="276" w:lineRule="auto"/>
        <w:contextualSpacing/>
        <w:jc w:val="both"/>
        <w:rPr>
          <w:rFonts w:asciiTheme="minorHAnsi" w:eastAsia="MS Mincho" w:hAnsiTheme="minorHAnsi"/>
          <w:lang w:val="sq-AL"/>
        </w:rPr>
      </w:pPr>
      <w:r w:rsidRPr="00525A7D">
        <w:rPr>
          <w:rFonts w:asciiTheme="minorHAnsi" w:hAnsiTheme="minorHAnsi"/>
          <w:lang w:val="sq-AL"/>
        </w:rPr>
        <w:t>Institucioni i Komisionit të Pavarur të Kualifikimit (KPK), tregues të performancës ka numrin e dosjeve të shortuara, numri i dosjeve të shqyruara dhe vendime të marra. Konkretisht raportohet se prej fillimit të veprimtarisë, janë shortuar 757 subjekte rivlerësimi dhe për 4 mujorin e parë të vitit 2021 janë marrë 44 vendime dhe janë shqyrtuar afërsisht 430 dosje.</w:t>
      </w:r>
    </w:p>
    <w:p w:rsidR="00525A7D" w:rsidRPr="00525A7D" w:rsidRDefault="00525A7D" w:rsidP="00525A7D">
      <w:pPr>
        <w:numPr>
          <w:ilvl w:val="0"/>
          <w:numId w:val="45"/>
        </w:numPr>
        <w:spacing w:line="276" w:lineRule="auto"/>
        <w:contextualSpacing/>
        <w:jc w:val="both"/>
        <w:rPr>
          <w:rFonts w:asciiTheme="minorHAnsi" w:eastAsia="MS Mincho" w:hAnsiTheme="minorHAnsi"/>
          <w:lang w:val="sq-AL"/>
        </w:rPr>
      </w:pPr>
      <w:r w:rsidRPr="00525A7D">
        <w:rPr>
          <w:rFonts w:asciiTheme="minorHAnsi" w:eastAsia="MS Mincho" w:hAnsiTheme="minorHAnsi"/>
          <w:lang w:val="sq-AL"/>
        </w:rPr>
        <w:t>Për Komisionerin Publik produkti është “</w:t>
      </w:r>
      <w:r w:rsidRPr="00525A7D">
        <w:rPr>
          <w:rFonts w:asciiTheme="minorHAnsi" w:eastAsia="MS Mincho" w:hAnsiTheme="minorHAnsi"/>
          <w:i/>
          <w:lang w:val="sq-AL"/>
        </w:rPr>
        <w:t>Çështje të njoftuara nga KPK dhe shqyrtuar nga KP brenda afateve ligjore</w:t>
      </w:r>
      <w:r w:rsidRPr="00525A7D">
        <w:rPr>
          <w:rFonts w:asciiTheme="minorHAnsi" w:eastAsia="MS Mincho" w:hAnsiTheme="minorHAnsi"/>
          <w:lang w:val="sq-AL"/>
        </w:rPr>
        <w:t>”, ku rezulton se përgjatë 4 mujorit të parë të vitit 2021 nga 140 të planifikuara për vitin 2021, janë realizuar në sasi 47 çështje, shoqëruar me një kosto prej 21 milionë lekë.</w:t>
      </w:r>
    </w:p>
    <w:p w:rsidR="00525A7D" w:rsidRPr="00525A7D" w:rsidRDefault="00525A7D" w:rsidP="00525A7D">
      <w:pPr>
        <w:numPr>
          <w:ilvl w:val="0"/>
          <w:numId w:val="45"/>
        </w:numPr>
        <w:spacing w:line="276" w:lineRule="auto"/>
        <w:contextualSpacing/>
        <w:jc w:val="both"/>
        <w:rPr>
          <w:rFonts w:asciiTheme="minorHAnsi" w:eastAsia="MS Mincho" w:hAnsiTheme="minorHAnsi"/>
          <w:lang w:val="sq-AL"/>
        </w:rPr>
      </w:pPr>
      <w:r w:rsidRPr="00525A7D">
        <w:rPr>
          <w:rFonts w:asciiTheme="minorHAnsi" w:eastAsia="MS Mincho" w:hAnsiTheme="minorHAnsi"/>
          <w:lang w:val="sq-AL"/>
        </w:rPr>
        <w:t xml:space="preserve">Për Inspektoriatin e Lartë të Drejtësisë produkti Inspektime të kryera, përgjatë 4 mujorit të parë të vitit 2021 është realizuar me rreth 24% kundrejtë sasisë vjetore të planifikuar, shoqëruar me një kosto prej 37 milionë lekë. </w:t>
      </w:r>
    </w:p>
    <w:p w:rsidR="00525A7D" w:rsidRPr="00525A7D" w:rsidRDefault="00525A7D" w:rsidP="00525A7D">
      <w:pPr>
        <w:numPr>
          <w:ilvl w:val="0"/>
          <w:numId w:val="45"/>
        </w:numPr>
        <w:spacing w:line="276" w:lineRule="auto"/>
        <w:contextualSpacing/>
        <w:jc w:val="both"/>
        <w:rPr>
          <w:rFonts w:asciiTheme="minorHAnsi" w:eastAsia="MS Mincho" w:hAnsiTheme="minorHAnsi"/>
          <w:lang w:val="sq-AL"/>
        </w:rPr>
      </w:pPr>
      <w:r w:rsidRPr="00525A7D">
        <w:rPr>
          <w:rFonts w:asciiTheme="minorHAnsi" w:eastAsia="MS Mincho" w:hAnsiTheme="minorHAnsi"/>
          <w:lang w:val="sq-AL"/>
        </w:rPr>
        <w:t>Struktura e Posaçme kundër Korrupsionit dhe Krimit të Organizuar, për përmbushjen e objektivit të saj “Rritja e efektivitetit të hetimit mbi pastrimin e produkteve dhe aseteve kriminale, mbi krimin financiar në përgjithësi dhe vëniapërpara përgjegjësisë pnale e kujtdo që shkel ligjin ka ka përfundua së shqyrtuara 23 % të çështjeve të rregjistruara si edhe ka përfunduar gjykimi për 30 % të personave të regjistruar për tu gjykuar.</w:t>
      </w:r>
    </w:p>
    <w:p w:rsidR="00525A7D" w:rsidRPr="00525A7D" w:rsidRDefault="00525A7D" w:rsidP="00525A7D">
      <w:pPr>
        <w:numPr>
          <w:ilvl w:val="0"/>
          <w:numId w:val="45"/>
        </w:numPr>
        <w:spacing w:line="276" w:lineRule="auto"/>
        <w:contextualSpacing/>
        <w:jc w:val="both"/>
        <w:rPr>
          <w:rFonts w:asciiTheme="minorHAnsi" w:eastAsia="MS Mincho" w:hAnsiTheme="minorHAnsi"/>
          <w:lang w:val="sq-AL"/>
        </w:rPr>
      </w:pPr>
      <w:r w:rsidRPr="00525A7D">
        <w:rPr>
          <w:rFonts w:asciiTheme="minorHAnsi" w:eastAsia="MS Mincho" w:hAnsiTheme="minorHAnsi"/>
          <w:lang w:val="sq-AL"/>
        </w:rPr>
        <w:t>Këshilli i Lartë Gjyqësor, ka si tregues performance numër çështjesh të gjykuara, ku përgjatë 4 mujorit të parë të vitit 2021 janë gjykuar rreth 47,810 çështjem shoqëruar me një kosto prej 794 milionë lekë.</w:t>
      </w:r>
    </w:p>
    <w:p w:rsidR="00525A7D" w:rsidRPr="00525A7D" w:rsidRDefault="00525A7D" w:rsidP="00525A7D">
      <w:pPr>
        <w:numPr>
          <w:ilvl w:val="0"/>
          <w:numId w:val="45"/>
        </w:numPr>
        <w:spacing w:line="276" w:lineRule="auto"/>
        <w:contextualSpacing/>
        <w:jc w:val="both"/>
        <w:rPr>
          <w:rFonts w:asciiTheme="minorHAnsi" w:eastAsia="MS Mincho" w:hAnsiTheme="minorHAnsi"/>
          <w:lang w:val="sq-AL"/>
        </w:rPr>
      </w:pPr>
      <w:r w:rsidRPr="00525A7D">
        <w:rPr>
          <w:rFonts w:asciiTheme="minorHAnsi" w:eastAsia="MS Mincho" w:hAnsiTheme="minorHAnsi"/>
          <w:lang w:val="sq-AL"/>
        </w:rPr>
        <w:t>Për Këshillin e Lartë të Prokurorisë, përgjatë 4 mujorit të parë të vitit 2021 janë marrë 150 vendime nga 200 të planifikuara, shoqëruar me një kosto prej 42 milionë lekë.</w:t>
      </w:r>
    </w:p>
    <w:p w:rsidR="00F55B92" w:rsidRDefault="00F55B92" w:rsidP="006F25E7">
      <w:pPr>
        <w:spacing w:line="276" w:lineRule="auto"/>
        <w:rPr>
          <w:rFonts w:asciiTheme="minorHAnsi" w:hAnsiTheme="minorHAnsi"/>
        </w:rPr>
      </w:pPr>
    </w:p>
    <w:p w:rsidR="00CA5051" w:rsidRDefault="00CA5051" w:rsidP="006F25E7">
      <w:pPr>
        <w:spacing w:line="276" w:lineRule="auto"/>
        <w:rPr>
          <w:rFonts w:asciiTheme="minorHAnsi" w:hAnsiTheme="minorHAnsi"/>
        </w:rPr>
      </w:pPr>
    </w:p>
    <w:p w:rsidR="00CA5051" w:rsidRDefault="00CA5051" w:rsidP="006F25E7">
      <w:pPr>
        <w:spacing w:line="276" w:lineRule="auto"/>
        <w:rPr>
          <w:rFonts w:asciiTheme="minorHAnsi" w:hAnsiTheme="minorHAnsi"/>
        </w:rPr>
      </w:pPr>
    </w:p>
    <w:p w:rsidR="00CA5051" w:rsidRPr="00BF005F" w:rsidRDefault="00CA5051" w:rsidP="006F25E7">
      <w:pPr>
        <w:spacing w:line="276" w:lineRule="auto"/>
        <w:rPr>
          <w:rFonts w:asciiTheme="minorHAnsi" w:hAnsiTheme="minorHAnsi"/>
        </w:rPr>
      </w:pPr>
    </w:p>
    <w:p w:rsidR="00990CDF" w:rsidRPr="00BF005F" w:rsidRDefault="00990CDF" w:rsidP="006F25E7">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lastRenderedPageBreak/>
        <w:t>FINANCAT, EKONOMIA, PUNËSIMI DHE ARSIMI PROFESIONAL</w:t>
      </w:r>
    </w:p>
    <w:p w:rsidR="00990CDF" w:rsidRPr="00BF005F" w:rsidRDefault="00990CDF" w:rsidP="006F25E7">
      <w:pPr>
        <w:spacing w:line="276" w:lineRule="auto"/>
        <w:jc w:val="both"/>
        <w:rPr>
          <w:rFonts w:asciiTheme="minorHAnsi" w:hAnsiTheme="minorHAnsi"/>
          <w:lang w:val="sq-AL"/>
        </w:rPr>
      </w:pPr>
      <w:bookmarkStart w:id="145" w:name="_Toc10033299"/>
      <w:bookmarkStart w:id="146" w:name="_Toc10721435"/>
      <w:bookmarkStart w:id="147" w:name="_Toc11134234"/>
      <w:bookmarkEnd w:id="141"/>
      <w:bookmarkEnd w:id="142"/>
      <w:bookmarkEnd w:id="143"/>
      <w:r w:rsidRPr="00BF005F">
        <w:rPr>
          <w:rFonts w:asciiTheme="minorHAnsi" w:hAnsiTheme="minorHAnsi"/>
          <w:lang w:val="sq-AL"/>
        </w:rPr>
        <w:t>Shpenzimet e planifikuara për vitin 2021 dhe ato faktike për 4 mujorin e parë, si dhe realizimi në përqindje për Ministrinë e Financave dhe Ekonomisë, për disa nga programet kryesore, paraqiten si më poshtë:</w:t>
      </w:r>
    </w:p>
    <w:p w:rsidR="00990CDF" w:rsidRPr="00F55B92" w:rsidRDefault="00990CDF" w:rsidP="00F55B92">
      <w:pPr>
        <w:pStyle w:val="Caption"/>
        <w:spacing w:before="240" w:after="0" w:line="276" w:lineRule="auto"/>
        <w:rPr>
          <w:rFonts w:asciiTheme="minorHAnsi" w:hAnsiTheme="minorHAnsi"/>
          <w:b w:val="0"/>
          <w:bCs w:val="0"/>
          <w:i/>
          <w:noProof/>
          <w:color w:val="auto"/>
          <w:sz w:val="22"/>
          <w:szCs w:val="24"/>
          <w:lang w:val="sq-AL"/>
        </w:rPr>
      </w:pPr>
      <w:r w:rsidRPr="00F55B92">
        <w:rPr>
          <w:rFonts w:asciiTheme="minorHAnsi" w:hAnsiTheme="minorHAnsi"/>
          <w:b w:val="0"/>
          <w:bCs w:val="0"/>
          <w:i/>
          <w:noProof/>
          <w:color w:val="auto"/>
          <w:sz w:val="22"/>
          <w:szCs w:val="24"/>
          <w:lang w:val="sq-AL"/>
        </w:rPr>
        <w:t xml:space="preserve">Tabela </w:t>
      </w:r>
      <w:r w:rsidR="00CF57B7">
        <w:rPr>
          <w:rFonts w:asciiTheme="minorHAnsi" w:hAnsiTheme="minorHAnsi"/>
          <w:b w:val="0"/>
          <w:bCs w:val="0"/>
          <w:i/>
          <w:noProof/>
          <w:color w:val="auto"/>
          <w:sz w:val="22"/>
          <w:szCs w:val="24"/>
          <w:lang w:val="sq-AL"/>
        </w:rPr>
        <w:t>35:</w:t>
      </w:r>
      <w:r w:rsidRPr="00F55B92">
        <w:rPr>
          <w:rFonts w:asciiTheme="minorHAnsi" w:hAnsiTheme="minorHAnsi"/>
          <w:b w:val="0"/>
          <w:bCs w:val="0"/>
          <w:i/>
          <w:noProof/>
          <w:color w:val="auto"/>
          <w:sz w:val="22"/>
          <w:szCs w:val="24"/>
          <w:lang w:val="sq-AL"/>
        </w:rPr>
        <w:t xml:space="preserve"> Financat, Ekonomia, Punësimi dhe Arsimi Profesional</w:t>
      </w:r>
    </w:p>
    <w:p w:rsidR="00990CDF" w:rsidRPr="00F55B92" w:rsidRDefault="00990CDF" w:rsidP="006F25E7">
      <w:pPr>
        <w:spacing w:line="276" w:lineRule="auto"/>
        <w:jc w:val="right"/>
        <w:rPr>
          <w:rFonts w:asciiTheme="minorHAnsi" w:eastAsia="MS Mincho" w:hAnsiTheme="minorHAnsi"/>
          <w:i/>
          <w:sz w:val="22"/>
          <w:lang w:val="sq-AL"/>
        </w:rPr>
      </w:pPr>
      <w:r w:rsidRPr="00F55B92">
        <w:rPr>
          <w:rFonts w:asciiTheme="minorHAnsi" w:eastAsia="MS Mincho" w:hAnsiTheme="minorHAnsi"/>
          <w:sz w:val="22"/>
          <w:lang w:val="sq-AL"/>
        </w:rPr>
        <w:t xml:space="preserve">                                                                                                                                               </w:t>
      </w:r>
      <w:r w:rsidRPr="00F55B92">
        <w:rPr>
          <w:rFonts w:asciiTheme="minorHAnsi" w:eastAsia="MS Mincho" w:hAnsiTheme="minorHAnsi"/>
          <w:i/>
          <w:sz w:val="22"/>
          <w:lang w:val="sq-AL"/>
        </w:rPr>
        <w:t>Në mijë lekë</w:t>
      </w:r>
    </w:p>
    <w:tbl>
      <w:tblPr>
        <w:tblW w:w="10082" w:type="dxa"/>
        <w:jc w:val="center"/>
        <w:tblLook w:val="04A0" w:firstRow="1" w:lastRow="0" w:firstColumn="1" w:lastColumn="0" w:noHBand="0" w:noVBand="1"/>
      </w:tblPr>
      <w:tblGrid>
        <w:gridCol w:w="3279"/>
        <w:gridCol w:w="1321"/>
        <w:gridCol w:w="1256"/>
        <w:gridCol w:w="1230"/>
        <w:gridCol w:w="1094"/>
        <w:gridCol w:w="914"/>
        <w:gridCol w:w="988"/>
      </w:tblGrid>
      <w:tr w:rsidR="00990CDF" w:rsidRPr="00F55B92" w:rsidTr="00CA5051">
        <w:trPr>
          <w:trHeight w:val="112"/>
          <w:jc w:val="center"/>
        </w:trPr>
        <w:tc>
          <w:tcPr>
            <w:tcW w:w="0" w:type="auto"/>
            <w:tcBorders>
              <w:top w:val="single" w:sz="8" w:space="0" w:color="4BACC6"/>
              <w:left w:val="single" w:sz="8" w:space="0" w:color="4BACC6"/>
              <w:bottom w:val="nil"/>
              <w:right w:val="nil"/>
            </w:tcBorders>
            <w:shd w:val="clear" w:color="000000" w:fill="4BACC6"/>
            <w:vAlign w:val="center"/>
            <w:hideMark/>
          </w:tcPr>
          <w:p w:rsidR="00990CDF" w:rsidRPr="00F55B92" w:rsidRDefault="00990CDF" w:rsidP="00F55B92">
            <w:pPr>
              <w:rPr>
                <w:rFonts w:asciiTheme="minorHAnsi" w:hAnsiTheme="minorHAnsi"/>
                <w:b/>
                <w:bCs/>
                <w:color w:val="FFFFFF"/>
                <w:sz w:val="18"/>
                <w:lang w:val="sq-AL"/>
              </w:rPr>
            </w:pPr>
            <w:r w:rsidRPr="00F55B92">
              <w:rPr>
                <w:rFonts w:asciiTheme="minorHAnsi" w:hAnsiTheme="minorHAnsi"/>
                <w:b/>
                <w:bCs/>
                <w:color w:val="FFFFFF"/>
                <w:sz w:val="18"/>
                <w:lang w:val="sq-AL"/>
              </w:rPr>
              <w:t> </w:t>
            </w:r>
          </w:p>
        </w:tc>
        <w:tc>
          <w:tcPr>
            <w:tcW w:w="0" w:type="auto"/>
            <w:gridSpan w:val="2"/>
            <w:tcBorders>
              <w:top w:val="single" w:sz="8" w:space="0" w:color="4BACC6"/>
              <w:left w:val="nil"/>
              <w:bottom w:val="single" w:sz="8" w:space="0" w:color="4BACC6"/>
              <w:right w:val="nil"/>
            </w:tcBorders>
            <w:shd w:val="clear" w:color="000000" w:fill="4BACC6"/>
            <w:vAlign w:val="center"/>
            <w:hideMark/>
          </w:tcPr>
          <w:p w:rsidR="00990CDF" w:rsidRPr="00F55B92" w:rsidRDefault="00990CDF" w:rsidP="00F55B92">
            <w:pPr>
              <w:jc w:val="center"/>
              <w:rPr>
                <w:rFonts w:asciiTheme="minorHAnsi" w:hAnsiTheme="minorHAnsi"/>
                <w:b/>
                <w:bCs/>
                <w:color w:val="FFFFFF"/>
                <w:sz w:val="18"/>
                <w:lang w:val="sq-AL"/>
              </w:rPr>
            </w:pPr>
            <w:r w:rsidRPr="00F55B92">
              <w:rPr>
                <w:rFonts w:asciiTheme="minorHAnsi" w:hAnsiTheme="minorHAnsi"/>
                <w:b/>
                <w:bCs/>
                <w:color w:val="FFFFFF"/>
                <w:sz w:val="18"/>
                <w:lang w:val="sq-AL"/>
              </w:rPr>
              <w:t>Plani 2021</w:t>
            </w:r>
          </w:p>
        </w:tc>
        <w:tc>
          <w:tcPr>
            <w:tcW w:w="0" w:type="auto"/>
            <w:gridSpan w:val="2"/>
            <w:tcBorders>
              <w:top w:val="single" w:sz="8" w:space="0" w:color="4BACC6"/>
              <w:left w:val="nil"/>
              <w:bottom w:val="single" w:sz="8" w:space="0" w:color="4BACC6"/>
              <w:right w:val="nil"/>
            </w:tcBorders>
            <w:shd w:val="clear" w:color="000000" w:fill="4BACC6"/>
            <w:vAlign w:val="center"/>
            <w:hideMark/>
          </w:tcPr>
          <w:p w:rsidR="00990CDF" w:rsidRPr="00F55B92" w:rsidRDefault="00990CDF" w:rsidP="00F55B92">
            <w:pPr>
              <w:jc w:val="center"/>
              <w:rPr>
                <w:rFonts w:asciiTheme="minorHAnsi" w:hAnsiTheme="minorHAnsi"/>
                <w:b/>
                <w:bCs/>
                <w:color w:val="FFFFFF"/>
                <w:sz w:val="18"/>
                <w:lang w:val="sq-AL"/>
              </w:rPr>
            </w:pPr>
            <w:r w:rsidRPr="00F55B92">
              <w:rPr>
                <w:rFonts w:asciiTheme="minorHAnsi" w:hAnsiTheme="minorHAnsi"/>
                <w:b/>
                <w:bCs/>
                <w:color w:val="FFFFFF"/>
                <w:sz w:val="18"/>
                <w:lang w:val="sq-AL"/>
              </w:rPr>
              <w:t>Fakti 4 mujor</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rsidR="00990CDF" w:rsidRPr="00F55B92" w:rsidRDefault="00990CDF" w:rsidP="00F55B92">
            <w:pPr>
              <w:jc w:val="center"/>
              <w:rPr>
                <w:rFonts w:asciiTheme="minorHAnsi" w:hAnsiTheme="minorHAnsi"/>
                <w:b/>
                <w:bCs/>
                <w:color w:val="FFFFFF"/>
                <w:sz w:val="18"/>
                <w:lang w:val="sq-AL"/>
              </w:rPr>
            </w:pPr>
            <w:r w:rsidRPr="00F55B92">
              <w:rPr>
                <w:rFonts w:asciiTheme="minorHAnsi" w:hAnsiTheme="minorHAnsi"/>
                <w:b/>
                <w:bCs/>
                <w:color w:val="FFFFFF"/>
                <w:sz w:val="18"/>
                <w:lang w:val="sq-AL"/>
              </w:rPr>
              <w:t>Përqindja  e realizimit</w:t>
            </w:r>
          </w:p>
        </w:tc>
      </w:tr>
      <w:tr w:rsidR="00990CDF" w:rsidRPr="00F55B92" w:rsidTr="00CA5051">
        <w:trPr>
          <w:trHeight w:val="112"/>
          <w:jc w:val="center"/>
        </w:trPr>
        <w:tc>
          <w:tcPr>
            <w:tcW w:w="0" w:type="auto"/>
            <w:tcBorders>
              <w:top w:val="single" w:sz="8" w:space="0" w:color="4BACC6"/>
              <w:left w:val="single" w:sz="8" w:space="0" w:color="4BACC6"/>
              <w:bottom w:val="single" w:sz="8" w:space="0" w:color="4BACC6"/>
              <w:right w:val="single" w:sz="8" w:space="0" w:color="4BACC6"/>
            </w:tcBorders>
            <w:shd w:val="clear" w:color="000000" w:fill="FFFFFF"/>
            <w:vAlign w:val="center"/>
            <w:hideMark/>
          </w:tcPr>
          <w:p w:rsidR="00990CDF" w:rsidRPr="00F55B92" w:rsidRDefault="00990CDF" w:rsidP="00F55B92">
            <w:pPr>
              <w:jc w:val="center"/>
              <w:rPr>
                <w:rFonts w:asciiTheme="minorHAnsi" w:hAnsiTheme="minorHAnsi"/>
                <w:color w:val="000000"/>
                <w:sz w:val="18"/>
                <w:lang w:val="sq-AL"/>
              </w:rPr>
            </w:pPr>
            <w:r w:rsidRPr="00F55B92">
              <w:rPr>
                <w:rFonts w:asciiTheme="minorHAnsi" w:hAnsiTheme="minorHAnsi"/>
                <w:color w:val="000000"/>
                <w:sz w:val="18"/>
                <w:lang w:val="sq-AL"/>
              </w:rPr>
              <w:t>Emërtimi i Programit</w:t>
            </w:r>
          </w:p>
        </w:tc>
        <w:tc>
          <w:tcPr>
            <w:tcW w:w="0" w:type="auto"/>
            <w:tcBorders>
              <w:top w:val="nil"/>
              <w:left w:val="nil"/>
              <w:bottom w:val="single" w:sz="8" w:space="0" w:color="4BACC6"/>
              <w:right w:val="single" w:sz="8" w:space="0" w:color="4BACC6"/>
            </w:tcBorders>
            <w:shd w:val="clear" w:color="auto" w:fill="auto"/>
            <w:vAlign w:val="center"/>
            <w:hideMark/>
          </w:tcPr>
          <w:p w:rsidR="00990CDF" w:rsidRPr="00F55B92" w:rsidRDefault="00990CDF" w:rsidP="00F55B92">
            <w:pPr>
              <w:jc w:val="center"/>
              <w:rPr>
                <w:rFonts w:asciiTheme="minorHAnsi" w:hAnsiTheme="minorHAnsi"/>
                <w:b/>
                <w:bCs/>
                <w:color w:val="000000"/>
                <w:sz w:val="18"/>
                <w:lang w:val="sq-AL"/>
              </w:rPr>
            </w:pPr>
            <w:r w:rsidRPr="00F55B92">
              <w:rPr>
                <w:rFonts w:asciiTheme="minorHAnsi" w:hAnsiTheme="minorHAnsi"/>
                <w:b/>
                <w:bCs/>
                <w:color w:val="000000"/>
                <w:sz w:val="18"/>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rsidR="00990CDF" w:rsidRPr="00F55B92" w:rsidRDefault="00990CDF" w:rsidP="00F55B92">
            <w:pPr>
              <w:jc w:val="center"/>
              <w:rPr>
                <w:rFonts w:asciiTheme="minorHAnsi" w:hAnsiTheme="minorHAnsi"/>
                <w:b/>
                <w:bCs/>
                <w:color w:val="000000"/>
                <w:sz w:val="18"/>
                <w:lang w:val="sq-AL"/>
              </w:rPr>
            </w:pPr>
            <w:r w:rsidRPr="00F55B92">
              <w:rPr>
                <w:rFonts w:asciiTheme="minorHAnsi" w:hAnsiTheme="minorHAnsi"/>
                <w:b/>
                <w:bCs/>
                <w:color w:val="000000"/>
                <w:sz w:val="18"/>
                <w:lang w:val="sq-AL"/>
              </w:rPr>
              <w:t>Investime</w:t>
            </w:r>
          </w:p>
        </w:tc>
        <w:tc>
          <w:tcPr>
            <w:tcW w:w="0" w:type="auto"/>
            <w:tcBorders>
              <w:top w:val="nil"/>
              <w:left w:val="nil"/>
              <w:bottom w:val="single" w:sz="8" w:space="0" w:color="4BACC6"/>
              <w:right w:val="single" w:sz="8" w:space="0" w:color="4BACC6"/>
            </w:tcBorders>
            <w:shd w:val="clear" w:color="auto" w:fill="auto"/>
            <w:vAlign w:val="center"/>
            <w:hideMark/>
          </w:tcPr>
          <w:p w:rsidR="00990CDF" w:rsidRPr="00F55B92" w:rsidRDefault="00990CDF" w:rsidP="00F55B92">
            <w:pPr>
              <w:jc w:val="center"/>
              <w:rPr>
                <w:rFonts w:asciiTheme="minorHAnsi" w:hAnsiTheme="minorHAnsi"/>
                <w:b/>
                <w:bCs/>
                <w:color w:val="000000"/>
                <w:sz w:val="18"/>
                <w:lang w:val="sq-AL"/>
              </w:rPr>
            </w:pPr>
            <w:r w:rsidRPr="00F55B92">
              <w:rPr>
                <w:rFonts w:asciiTheme="minorHAnsi" w:hAnsiTheme="minorHAnsi"/>
                <w:b/>
                <w:bCs/>
                <w:color w:val="000000"/>
                <w:sz w:val="18"/>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rsidR="00990CDF" w:rsidRPr="00F55B92" w:rsidRDefault="00990CDF" w:rsidP="00F55B92">
            <w:pPr>
              <w:jc w:val="center"/>
              <w:rPr>
                <w:rFonts w:asciiTheme="minorHAnsi" w:hAnsiTheme="minorHAnsi"/>
                <w:b/>
                <w:bCs/>
                <w:color w:val="000000"/>
                <w:sz w:val="18"/>
                <w:lang w:val="sq-AL"/>
              </w:rPr>
            </w:pPr>
            <w:r w:rsidRPr="00F55B92">
              <w:rPr>
                <w:rFonts w:asciiTheme="minorHAnsi" w:hAnsiTheme="minorHAnsi"/>
                <w:b/>
                <w:bCs/>
                <w:color w:val="000000"/>
                <w:sz w:val="18"/>
                <w:lang w:val="sq-AL"/>
              </w:rPr>
              <w:t>Investime</w:t>
            </w:r>
          </w:p>
        </w:tc>
        <w:tc>
          <w:tcPr>
            <w:tcW w:w="0" w:type="auto"/>
            <w:tcBorders>
              <w:top w:val="nil"/>
              <w:left w:val="nil"/>
              <w:bottom w:val="single" w:sz="8" w:space="0" w:color="4BACC6"/>
              <w:right w:val="single" w:sz="8" w:space="0" w:color="4BACC6"/>
            </w:tcBorders>
            <w:shd w:val="clear" w:color="auto" w:fill="auto"/>
            <w:vAlign w:val="center"/>
            <w:hideMark/>
          </w:tcPr>
          <w:p w:rsidR="00990CDF" w:rsidRPr="00F55B92" w:rsidRDefault="00990CDF" w:rsidP="00F55B92">
            <w:pPr>
              <w:jc w:val="center"/>
              <w:rPr>
                <w:rFonts w:asciiTheme="minorHAnsi" w:hAnsiTheme="minorHAnsi"/>
                <w:b/>
                <w:bCs/>
                <w:color w:val="000000"/>
                <w:sz w:val="18"/>
                <w:lang w:val="sq-AL"/>
              </w:rPr>
            </w:pPr>
            <w:r w:rsidRPr="00F55B92">
              <w:rPr>
                <w:rFonts w:asciiTheme="minorHAnsi" w:hAnsiTheme="minorHAnsi"/>
                <w:b/>
                <w:bCs/>
                <w:color w:val="000000"/>
                <w:sz w:val="18"/>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rsidR="00990CDF" w:rsidRPr="00F55B92" w:rsidRDefault="00990CDF" w:rsidP="00F55B92">
            <w:pPr>
              <w:jc w:val="center"/>
              <w:rPr>
                <w:rFonts w:asciiTheme="minorHAnsi" w:hAnsiTheme="minorHAnsi"/>
                <w:b/>
                <w:bCs/>
                <w:color w:val="000000"/>
                <w:sz w:val="18"/>
                <w:lang w:val="sq-AL"/>
              </w:rPr>
            </w:pPr>
            <w:r w:rsidRPr="00F55B92">
              <w:rPr>
                <w:rFonts w:asciiTheme="minorHAnsi" w:hAnsiTheme="minorHAnsi"/>
                <w:b/>
                <w:bCs/>
                <w:color w:val="000000"/>
                <w:sz w:val="18"/>
                <w:lang w:val="sq-AL"/>
              </w:rPr>
              <w:t>Investime</w:t>
            </w:r>
          </w:p>
        </w:tc>
      </w:tr>
      <w:tr w:rsidR="00990CDF" w:rsidRPr="00F55B92" w:rsidTr="00CA5051">
        <w:trPr>
          <w:trHeight w:val="112"/>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rsidR="00990CDF" w:rsidRPr="00F55B92" w:rsidRDefault="00990CDF" w:rsidP="00F55B92">
            <w:pPr>
              <w:rPr>
                <w:rFonts w:asciiTheme="minorHAnsi" w:hAnsiTheme="minorHAnsi"/>
                <w:b/>
                <w:bCs/>
                <w:color w:val="000000"/>
                <w:sz w:val="18"/>
                <w:lang w:val="sq-AL"/>
              </w:rPr>
            </w:pPr>
            <w:r w:rsidRPr="00F55B92">
              <w:rPr>
                <w:rFonts w:asciiTheme="minorHAnsi" w:hAnsiTheme="minorHAnsi"/>
                <w:b/>
                <w:bCs/>
                <w:color w:val="000000"/>
                <w:sz w:val="18"/>
              </w:rPr>
              <w:t>Planifikimi, Menaxhimi dhe Administrimi</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582,000 </w:t>
            </w:r>
          </w:p>
        </w:tc>
        <w:tc>
          <w:tcPr>
            <w:tcW w:w="0" w:type="auto"/>
            <w:tcBorders>
              <w:top w:val="nil"/>
              <w:left w:val="nil"/>
              <w:bottom w:val="nil"/>
              <w:right w:val="nil"/>
            </w:tcBorders>
            <w:shd w:val="clear" w:color="auto" w:fill="auto"/>
            <w:noWrap/>
            <w:vAlign w:val="bottom"/>
          </w:tcPr>
          <w:p w:rsidR="00990CDF" w:rsidRPr="00F55B92" w:rsidRDefault="00990CDF" w:rsidP="00F55B92">
            <w:pPr>
              <w:rPr>
                <w:rFonts w:asciiTheme="minorHAnsi" w:eastAsia="Cambria" w:hAnsiTheme="minorHAnsi"/>
                <w:sz w:val="18"/>
                <w:lang w:val="sq-AL"/>
              </w:rPr>
            </w:pPr>
            <w:r w:rsidRPr="00F55B92">
              <w:rPr>
                <w:rFonts w:asciiTheme="minorHAnsi" w:eastAsia="Cambria" w:hAnsiTheme="minorHAnsi"/>
                <w:sz w:val="18"/>
                <w:lang w:val="sq-AL"/>
              </w:rPr>
              <w:t xml:space="preserve">         136,000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197,954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24,470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34.01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17.99 </w:t>
            </w:r>
          </w:p>
        </w:tc>
      </w:tr>
      <w:tr w:rsidR="00990CDF" w:rsidRPr="00F55B92" w:rsidTr="00CA5051">
        <w:trPr>
          <w:trHeight w:val="112"/>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rsidR="00990CDF" w:rsidRPr="00F55B92" w:rsidRDefault="00990CDF" w:rsidP="00F55B92">
            <w:pPr>
              <w:jc w:val="right"/>
              <w:rPr>
                <w:rFonts w:asciiTheme="minorHAnsi" w:hAnsiTheme="minorHAnsi"/>
                <w:bCs/>
                <w:i/>
                <w:color w:val="000000"/>
                <w:sz w:val="18"/>
              </w:rPr>
            </w:pPr>
            <w:r w:rsidRPr="00F55B92">
              <w:rPr>
                <w:rFonts w:asciiTheme="minorHAnsi" w:hAnsiTheme="minorHAnsi"/>
                <w:bCs/>
                <w:i/>
                <w:color w:val="000000"/>
                <w:sz w:val="18"/>
              </w:rPr>
              <w:t>Financimi i huaj</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xml:space="preserve">           169,000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xml:space="preserve">         90,448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i/>
                <w:sz w:val="18"/>
                <w:lang w:val="sq-AL"/>
              </w:rPr>
            </w:pPr>
            <w:r w:rsidRPr="00F55B92">
              <w:rPr>
                <w:rFonts w:asciiTheme="minorHAnsi" w:eastAsia="Cambria" w:hAnsiTheme="minorHAnsi"/>
                <w:i/>
                <w:sz w:val="18"/>
                <w:lang w:val="sq-AL"/>
              </w:rPr>
              <w:t>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i/>
                <w:sz w:val="18"/>
                <w:lang w:val="sq-AL"/>
              </w:rPr>
            </w:pPr>
            <w:r w:rsidRPr="00F55B92">
              <w:rPr>
                <w:rFonts w:asciiTheme="minorHAnsi" w:eastAsia="Cambria" w:hAnsiTheme="minorHAnsi"/>
                <w:i/>
                <w:sz w:val="18"/>
                <w:lang w:val="sq-AL"/>
              </w:rPr>
              <w:t xml:space="preserve">           53.52 </w:t>
            </w:r>
          </w:p>
        </w:tc>
      </w:tr>
      <w:tr w:rsidR="00990CDF" w:rsidRPr="00F55B92" w:rsidTr="00CA5051">
        <w:trPr>
          <w:trHeight w:val="112"/>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rsidR="00990CDF" w:rsidRPr="00F55B92" w:rsidRDefault="00990CDF" w:rsidP="00F55B92">
            <w:pPr>
              <w:rPr>
                <w:rFonts w:asciiTheme="minorHAnsi" w:hAnsiTheme="minorHAnsi"/>
                <w:b/>
                <w:bCs/>
                <w:color w:val="000000"/>
                <w:sz w:val="18"/>
              </w:rPr>
            </w:pPr>
            <w:r w:rsidRPr="00F55B92">
              <w:rPr>
                <w:rFonts w:asciiTheme="minorHAnsi" w:hAnsiTheme="minorHAnsi"/>
                <w:b/>
                <w:bCs/>
                <w:color w:val="000000"/>
                <w:sz w:val="18"/>
              </w:rPr>
              <w:t>Menaxhimi i të Ardhurave Tatimore</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2,443,400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333,000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693,337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301,000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28.38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90.39 </w:t>
            </w:r>
          </w:p>
        </w:tc>
      </w:tr>
      <w:tr w:rsidR="00990CDF" w:rsidRPr="00F55B92" w:rsidTr="00CA5051">
        <w:trPr>
          <w:trHeight w:val="112"/>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rsidR="00990CDF" w:rsidRPr="00F55B92" w:rsidRDefault="00990CDF" w:rsidP="00F55B92">
            <w:pPr>
              <w:rPr>
                <w:rFonts w:asciiTheme="minorHAnsi" w:hAnsiTheme="minorHAnsi"/>
                <w:b/>
                <w:bCs/>
                <w:color w:val="000000"/>
                <w:sz w:val="18"/>
              </w:rPr>
            </w:pPr>
            <w:r w:rsidRPr="00F55B92">
              <w:rPr>
                <w:rFonts w:asciiTheme="minorHAnsi" w:hAnsiTheme="minorHAnsi"/>
                <w:b/>
                <w:bCs/>
                <w:color w:val="000000"/>
                <w:sz w:val="18"/>
              </w:rPr>
              <w:t>Menaxhimi i të Ardhurave Doganore</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3,191,910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173,220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1,077,201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16,832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33.75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9.72 </w:t>
            </w:r>
          </w:p>
        </w:tc>
      </w:tr>
      <w:tr w:rsidR="00990CDF" w:rsidRPr="00F55B92" w:rsidTr="00CA5051">
        <w:trPr>
          <w:trHeight w:val="112"/>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rsidR="00990CDF" w:rsidRPr="00F55B92" w:rsidRDefault="00990CDF" w:rsidP="00F55B92">
            <w:pPr>
              <w:jc w:val="right"/>
              <w:rPr>
                <w:rFonts w:asciiTheme="minorHAnsi" w:hAnsiTheme="minorHAnsi"/>
                <w:bCs/>
                <w:i/>
                <w:color w:val="000000"/>
                <w:sz w:val="18"/>
              </w:rPr>
            </w:pPr>
            <w:r w:rsidRPr="00F55B92">
              <w:rPr>
                <w:rFonts w:asciiTheme="minorHAnsi" w:hAnsiTheme="minorHAnsi"/>
                <w:bCs/>
                <w:i/>
                <w:color w:val="000000"/>
                <w:sz w:val="18"/>
              </w:rPr>
              <w:t>Financimi i huaj</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xml:space="preserve">           120,690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xml:space="preserve">           3,591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i/>
                <w:sz w:val="18"/>
                <w:lang w:val="sq-AL"/>
              </w:rPr>
            </w:pPr>
            <w:r w:rsidRPr="00F55B92">
              <w:rPr>
                <w:rFonts w:asciiTheme="minorHAnsi" w:eastAsia="Cambria" w:hAnsiTheme="minorHAnsi"/>
                <w:i/>
                <w:sz w:val="18"/>
                <w:lang w:val="sq-AL"/>
              </w:rPr>
              <w:t>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i/>
                <w:sz w:val="18"/>
                <w:lang w:val="sq-AL"/>
              </w:rPr>
            </w:pPr>
            <w:r w:rsidRPr="00F55B92">
              <w:rPr>
                <w:rFonts w:asciiTheme="minorHAnsi" w:eastAsia="Cambria" w:hAnsiTheme="minorHAnsi"/>
                <w:i/>
                <w:sz w:val="18"/>
                <w:lang w:val="sq-AL"/>
              </w:rPr>
              <w:t xml:space="preserve">             2.98 </w:t>
            </w:r>
          </w:p>
        </w:tc>
      </w:tr>
      <w:tr w:rsidR="00990CDF" w:rsidRPr="00F55B92" w:rsidTr="00CA5051">
        <w:trPr>
          <w:trHeight w:val="112"/>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rsidR="00990CDF" w:rsidRPr="00F55B92" w:rsidRDefault="00990CDF" w:rsidP="00F55B92">
            <w:pPr>
              <w:rPr>
                <w:rFonts w:asciiTheme="minorHAnsi" w:hAnsiTheme="minorHAnsi"/>
                <w:b/>
                <w:bCs/>
                <w:color w:val="000000"/>
                <w:sz w:val="18"/>
              </w:rPr>
            </w:pPr>
            <w:r w:rsidRPr="00F55B92">
              <w:rPr>
                <w:rFonts w:asciiTheme="minorHAnsi" w:hAnsiTheme="minorHAnsi"/>
                <w:b/>
                <w:bCs/>
                <w:color w:val="000000"/>
                <w:sz w:val="18"/>
              </w:rPr>
              <w:t>Sigurimi Shoqëror</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53,891,899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7,989,408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14.82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 </w:t>
            </w:r>
          </w:p>
        </w:tc>
      </w:tr>
      <w:tr w:rsidR="00990CDF" w:rsidRPr="00F55B92" w:rsidTr="00CA5051">
        <w:trPr>
          <w:trHeight w:val="112"/>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rsidR="00990CDF" w:rsidRPr="00F55B92" w:rsidRDefault="00990CDF" w:rsidP="00F55B92">
            <w:pPr>
              <w:rPr>
                <w:rFonts w:asciiTheme="minorHAnsi" w:hAnsiTheme="minorHAnsi"/>
                <w:b/>
                <w:bCs/>
                <w:color w:val="000000"/>
                <w:sz w:val="18"/>
              </w:rPr>
            </w:pPr>
            <w:r w:rsidRPr="00F55B92">
              <w:rPr>
                <w:rFonts w:asciiTheme="minorHAnsi" w:hAnsiTheme="minorHAnsi"/>
                <w:b/>
                <w:bCs/>
                <w:color w:val="000000"/>
                <w:sz w:val="18"/>
              </w:rPr>
              <w:t>Tregu i Punës</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2,697,306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65,000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954,346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328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35.38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0.50 </w:t>
            </w:r>
          </w:p>
        </w:tc>
      </w:tr>
      <w:tr w:rsidR="00990CDF" w:rsidRPr="00F55B92" w:rsidTr="00CA5051">
        <w:trPr>
          <w:trHeight w:val="112"/>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rsidR="00990CDF" w:rsidRPr="00F55B92" w:rsidRDefault="00990CDF" w:rsidP="00F55B92">
            <w:pPr>
              <w:rPr>
                <w:rFonts w:asciiTheme="minorHAnsi" w:hAnsiTheme="minorHAnsi"/>
                <w:b/>
                <w:bCs/>
                <w:color w:val="000000"/>
                <w:sz w:val="18"/>
              </w:rPr>
            </w:pPr>
            <w:r w:rsidRPr="00F55B92">
              <w:rPr>
                <w:rFonts w:asciiTheme="minorHAnsi" w:hAnsiTheme="minorHAnsi"/>
                <w:b/>
                <w:bCs/>
                <w:color w:val="000000"/>
                <w:sz w:val="18"/>
              </w:rPr>
              <w:t>Arsimi i  Mesëm Profesional</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2,172,979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458,469 </w:t>
            </w:r>
          </w:p>
        </w:tc>
        <w:tc>
          <w:tcPr>
            <w:tcW w:w="0" w:type="auto"/>
            <w:tcBorders>
              <w:top w:val="nil"/>
              <w:left w:val="nil"/>
              <w:bottom w:val="nil"/>
              <w:right w:val="nil"/>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580,343 </w:t>
            </w:r>
          </w:p>
        </w:tc>
        <w:tc>
          <w:tcPr>
            <w:tcW w:w="0" w:type="auto"/>
            <w:tcBorders>
              <w:top w:val="nil"/>
              <w:left w:val="single" w:sz="8" w:space="0" w:color="4BACC6"/>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295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w:t>
            </w:r>
          </w:p>
        </w:tc>
      </w:tr>
      <w:tr w:rsidR="00990CDF" w:rsidRPr="00F55B92" w:rsidTr="00CA5051">
        <w:trPr>
          <w:trHeight w:val="112"/>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rsidR="00990CDF" w:rsidRPr="00F55B92" w:rsidRDefault="00990CDF" w:rsidP="00F55B92">
            <w:pPr>
              <w:jc w:val="right"/>
              <w:rPr>
                <w:rFonts w:asciiTheme="minorHAnsi" w:hAnsiTheme="minorHAnsi"/>
                <w:bCs/>
                <w:i/>
                <w:color w:val="000000"/>
                <w:sz w:val="18"/>
              </w:rPr>
            </w:pPr>
            <w:r w:rsidRPr="00F55B92">
              <w:rPr>
                <w:rFonts w:asciiTheme="minorHAnsi" w:hAnsiTheme="minorHAnsi"/>
                <w:bCs/>
                <w:i/>
                <w:color w:val="000000"/>
                <w:sz w:val="18"/>
              </w:rPr>
              <w:t>Financimi i huaj</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xml:space="preserve">           767,310 </w:t>
            </w:r>
          </w:p>
        </w:tc>
        <w:tc>
          <w:tcPr>
            <w:tcW w:w="0" w:type="auto"/>
            <w:tcBorders>
              <w:top w:val="single" w:sz="8" w:space="0" w:color="4BACC6"/>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i/>
                <w:sz w:val="18"/>
                <w:lang w:val="sq-AL"/>
              </w:rPr>
            </w:pPr>
            <w:r w:rsidRPr="00F55B92">
              <w:rPr>
                <w:rFonts w:asciiTheme="minorHAnsi" w:eastAsia="Cambria" w:hAnsiTheme="minorHAnsi"/>
                <w:i/>
                <w:sz w:val="18"/>
                <w:lang w:val="sq-AL"/>
              </w:rPr>
              <w:t xml:space="preserve">         81,476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i/>
                <w:sz w:val="18"/>
                <w:lang w:val="sq-AL"/>
              </w:rPr>
            </w:pPr>
            <w:r w:rsidRPr="00F55B92">
              <w:rPr>
                <w:rFonts w:asciiTheme="minorHAnsi" w:eastAsia="Cambria" w:hAnsiTheme="minorHAnsi"/>
                <w:i/>
                <w:sz w:val="18"/>
                <w:lang w:val="sq-AL"/>
              </w:rPr>
              <w:t>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i/>
                <w:sz w:val="18"/>
                <w:lang w:val="sq-AL"/>
              </w:rPr>
            </w:pPr>
            <w:r w:rsidRPr="00F55B92">
              <w:rPr>
                <w:rFonts w:asciiTheme="minorHAnsi" w:eastAsia="Cambria" w:hAnsiTheme="minorHAnsi"/>
                <w:i/>
                <w:sz w:val="18"/>
                <w:lang w:val="sq-AL"/>
              </w:rPr>
              <w:t xml:space="preserve">           10.62 </w:t>
            </w:r>
          </w:p>
        </w:tc>
      </w:tr>
      <w:tr w:rsidR="00990CDF" w:rsidRPr="00F55B92" w:rsidTr="00CA5051">
        <w:trPr>
          <w:trHeight w:val="112"/>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rsidR="00990CDF" w:rsidRPr="00F55B92" w:rsidRDefault="00990CDF" w:rsidP="00F55B92">
            <w:pPr>
              <w:rPr>
                <w:rFonts w:asciiTheme="minorHAnsi" w:hAnsiTheme="minorHAnsi"/>
                <w:b/>
                <w:bCs/>
                <w:color w:val="000000"/>
                <w:sz w:val="18"/>
              </w:rPr>
            </w:pPr>
            <w:r w:rsidRPr="00F55B92">
              <w:rPr>
                <w:rFonts w:asciiTheme="minorHAnsi" w:hAnsiTheme="minorHAnsi"/>
                <w:b/>
                <w:bCs/>
                <w:color w:val="000000"/>
                <w:sz w:val="18"/>
              </w:rPr>
              <w:t>Strehimi</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1,838,733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300,000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987,644 </w:t>
            </w:r>
          </w:p>
        </w:tc>
        <w:tc>
          <w:tcPr>
            <w:tcW w:w="0" w:type="auto"/>
            <w:tcBorders>
              <w:top w:val="nil"/>
              <w:left w:val="nil"/>
              <w:bottom w:val="single" w:sz="8" w:space="0" w:color="4BACC6"/>
              <w:right w:val="single" w:sz="8" w:space="0" w:color="4BACC6"/>
            </w:tcBorders>
            <w:shd w:val="clear" w:color="auto" w:fill="auto"/>
            <w:noWrap/>
            <w:vAlign w:val="center"/>
          </w:tcPr>
          <w:p w:rsidR="00990CDF" w:rsidRPr="00F55B92" w:rsidRDefault="00990CDF" w:rsidP="00F55B92">
            <w:pPr>
              <w:jc w:val="right"/>
              <w:rPr>
                <w:rFonts w:asciiTheme="minorHAnsi" w:eastAsia="Cambria" w:hAnsiTheme="minorHAnsi"/>
                <w:sz w:val="18"/>
                <w:lang w:val="sq-AL"/>
              </w:rPr>
            </w:pPr>
            <w:r w:rsidRPr="00F55B92">
              <w:rPr>
                <w:rFonts w:asciiTheme="minorHAnsi" w:eastAsia="Cambria" w:hAnsiTheme="minorHAnsi"/>
                <w:sz w:val="18"/>
                <w:lang w:val="sq-AL"/>
              </w:rPr>
              <w:t xml:space="preserve">         22,814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53.71 </w:t>
            </w:r>
          </w:p>
        </w:tc>
        <w:tc>
          <w:tcPr>
            <w:tcW w:w="0" w:type="auto"/>
            <w:tcBorders>
              <w:top w:val="nil"/>
              <w:left w:val="nil"/>
              <w:bottom w:val="single" w:sz="8" w:space="0" w:color="4BACC6"/>
              <w:right w:val="single" w:sz="8" w:space="0" w:color="4BACC6"/>
            </w:tcBorders>
            <w:shd w:val="clear" w:color="auto" w:fill="auto"/>
            <w:vAlign w:val="center"/>
          </w:tcPr>
          <w:p w:rsidR="00990CDF" w:rsidRPr="00F55B92" w:rsidRDefault="00990CDF" w:rsidP="00F55B92">
            <w:pPr>
              <w:jc w:val="center"/>
              <w:rPr>
                <w:rFonts w:asciiTheme="minorHAnsi" w:eastAsia="Cambria" w:hAnsiTheme="minorHAnsi"/>
                <w:sz w:val="18"/>
                <w:lang w:val="sq-AL"/>
              </w:rPr>
            </w:pPr>
            <w:r w:rsidRPr="00F55B92">
              <w:rPr>
                <w:rFonts w:asciiTheme="minorHAnsi" w:eastAsia="Cambria" w:hAnsiTheme="minorHAnsi"/>
                <w:sz w:val="18"/>
                <w:lang w:val="sq-AL"/>
              </w:rPr>
              <w:t xml:space="preserve">             7.60 </w:t>
            </w:r>
          </w:p>
        </w:tc>
      </w:tr>
    </w:tbl>
    <w:p w:rsidR="00990CDF" w:rsidRPr="00BF005F" w:rsidRDefault="00990CDF" w:rsidP="006F25E7">
      <w:pPr>
        <w:spacing w:line="276" w:lineRule="auto"/>
        <w:jc w:val="right"/>
        <w:rPr>
          <w:rFonts w:asciiTheme="minorHAnsi" w:eastAsia="MS Mincho" w:hAnsiTheme="minorHAnsi"/>
          <w:i/>
          <w:lang w:val="sq-AL"/>
        </w:rPr>
      </w:pPr>
    </w:p>
    <w:p w:rsidR="00990CDF" w:rsidRPr="00BF005F" w:rsidRDefault="00990CDF" w:rsidP="006F25E7">
      <w:pPr>
        <w:spacing w:line="276" w:lineRule="auto"/>
        <w:jc w:val="both"/>
        <w:rPr>
          <w:rFonts w:asciiTheme="minorHAnsi" w:hAnsiTheme="minorHAnsi"/>
          <w:lang w:val="sq-AL"/>
        </w:rPr>
      </w:pPr>
      <w:r w:rsidRPr="00BF005F">
        <w:rPr>
          <w:rFonts w:asciiTheme="minorHAnsi" w:hAnsiTheme="minorHAnsi"/>
          <w:lang w:val="sq-AL"/>
        </w:rPr>
        <w:t>Sipas të dhënave, realizimi faktik i shpenzimeve korente paraqitet në mesataren e periudhës, ndërsa investimet pritet të kenë realizim më të lartë në periudhën në vazhdim.</w:t>
      </w:r>
    </w:p>
    <w:p w:rsidR="00990CDF" w:rsidRPr="00F55B92" w:rsidRDefault="00990CDF" w:rsidP="006F25E7">
      <w:pPr>
        <w:spacing w:line="276" w:lineRule="auto"/>
        <w:jc w:val="both"/>
        <w:rPr>
          <w:rFonts w:asciiTheme="minorHAnsi" w:hAnsiTheme="minorHAnsi"/>
          <w:sz w:val="8"/>
          <w:szCs w:val="8"/>
          <w:lang w:val="sq-AL"/>
        </w:rPr>
      </w:pPr>
    </w:p>
    <w:p w:rsidR="009638F4" w:rsidRDefault="00990CDF" w:rsidP="006F25E7">
      <w:pPr>
        <w:spacing w:line="276" w:lineRule="auto"/>
        <w:jc w:val="both"/>
        <w:rPr>
          <w:rFonts w:asciiTheme="minorHAnsi" w:hAnsiTheme="minorHAnsi"/>
          <w:lang w:val="sq-AL"/>
        </w:rPr>
      </w:pPr>
      <w:r w:rsidRPr="00BF005F">
        <w:rPr>
          <w:rFonts w:asciiTheme="minorHAnsi" w:hAnsiTheme="minorHAnsi"/>
          <w:lang w:val="sq-AL"/>
        </w:rPr>
        <w:t>Sa i përket programit “</w:t>
      </w:r>
      <w:r w:rsidRPr="00BF005F">
        <w:rPr>
          <w:rFonts w:asciiTheme="minorHAnsi" w:hAnsiTheme="minorHAnsi"/>
          <w:b/>
          <w:lang w:val="sq-AL"/>
        </w:rPr>
        <w:t>Menaxhimi i të Ardhurave Tatimore</w:t>
      </w:r>
      <w:r w:rsidRPr="00BF005F">
        <w:rPr>
          <w:rFonts w:asciiTheme="minorHAnsi" w:hAnsiTheme="minorHAnsi"/>
          <w:lang w:val="sq-AL"/>
        </w:rPr>
        <w:t xml:space="preserve">”, objektivi i këtij programi është </w:t>
      </w:r>
      <w:r w:rsidR="009638F4">
        <w:rPr>
          <w:rFonts w:asciiTheme="minorHAnsi" w:hAnsiTheme="minorHAnsi"/>
          <w:lang w:val="sq-AL"/>
        </w:rPr>
        <w:t>“</w:t>
      </w:r>
      <w:r w:rsidRPr="00BF005F">
        <w:rPr>
          <w:rFonts w:asciiTheme="minorHAnsi" w:hAnsiTheme="minorHAnsi"/>
          <w:i/>
          <w:lang w:val="sq-AL"/>
        </w:rPr>
        <w:t>Progresi organizativ i Administratës Tatimore dhe zhvillimi i kapaciteteve njerëzore, aplikimi i metodave dhe sistemeve të reja, modernizimi, ofrimi i shërbimeve cilësore dhe reduktimi i barrës administrative në pagesën e detyrimeve tatimore dhe kontributeve të sigurimeve shoqërore si rrjedhojë e rritjes së ndërgjegjësimit publik duke ndihmuar në zhvillimin e kulturës për përmbushje vullnetare më të lartë. Implementimi efikas i legjislacionit tatimor dhe sigurimeve shoqërore, hetimi i rasteve të mashtrimit tatimor, zbatimi i strategjisë së përmbushjes së menaxhimit të riskut, përmirësimi i mëtejshëm i kontrollit tatimor dhe gjurmimi i mashtrimeve tatimore, mbledhja efikase dhe efektive e borxhit</w:t>
      </w:r>
      <w:r w:rsidR="009638F4">
        <w:rPr>
          <w:rFonts w:asciiTheme="minorHAnsi" w:hAnsiTheme="minorHAnsi"/>
          <w:i/>
          <w:lang w:val="sq-AL"/>
        </w:rPr>
        <w:t>”</w:t>
      </w:r>
      <w:r w:rsidRPr="00BF005F">
        <w:rPr>
          <w:rFonts w:asciiTheme="minorHAnsi" w:hAnsiTheme="minorHAnsi"/>
          <w:lang w:val="sq-AL"/>
        </w:rPr>
        <w:t xml:space="preserve">. </w:t>
      </w:r>
    </w:p>
    <w:p w:rsidR="009638F4" w:rsidRPr="009638F4" w:rsidRDefault="009638F4" w:rsidP="006F25E7">
      <w:pPr>
        <w:spacing w:line="276" w:lineRule="auto"/>
        <w:jc w:val="both"/>
        <w:rPr>
          <w:rFonts w:asciiTheme="minorHAnsi" w:hAnsiTheme="minorHAnsi"/>
          <w:sz w:val="8"/>
          <w:szCs w:val="8"/>
          <w:lang w:val="sq-AL"/>
        </w:rPr>
      </w:pPr>
    </w:p>
    <w:p w:rsidR="00990CDF" w:rsidRPr="00BF005F" w:rsidRDefault="00990CDF" w:rsidP="006F25E7">
      <w:pPr>
        <w:spacing w:line="276" w:lineRule="auto"/>
        <w:jc w:val="both"/>
        <w:rPr>
          <w:rFonts w:asciiTheme="minorHAnsi" w:hAnsiTheme="minorHAnsi"/>
          <w:lang w:val="sq-AL"/>
        </w:rPr>
      </w:pPr>
      <w:r w:rsidRPr="00BF005F">
        <w:rPr>
          <w:rFonts w:asciiTheme="minorHAnsi" w:hAnsiTheme="minorHAnsi"/>
          <w:lang w:val="sq-AL"/>
        </w:rPr>
        <w:t xml:space="preserve">Për arritjen e këtij objektivi, për 4-mjujorin 2020, janë realizuar produktet me të dhënat si vijon: </w:t>
      </w:r>
    </w:p>
    <w:p w:rsidR="00990CDF" w:rsidRPr="009638F4" w:rsidRDefault="00990CDF" w:rsidP="007F0B61">
      <w:pPr>
        <w:pStyle w:val="ListParagraph"/>
        <w:numPr>
          <w:ilvl w:val="0"/>
          <w:numId w:val="37"/>
        </w:numPr>
        <w:jc w:val="both"/>
        <w:rPr>
          <w:rFonts w:asciiTheme="minorHAnsi" w:hAnsiTheme="minorHAnsi"/>
          <w:i/>
          <w:lang w:val="sq-AL"/>
        </w:rPr>
      </w:pPr>
      <w:r w:rsidRPr="009638F4">
        <w:rPr>
          <w:rFonts w:asciiTheme="minorHAnsi" w:hAnsiTheme="minorHAnsi"/>
          <w:i/>
          <w:lang w:val="sq-AL"/>
        </w:rPr>
        <w:t>Tatimpagues të asistuar, realizuar në masën 159’461 me vlerë 640’000 mijë lekë.</w:t>
      </w:r>
    </w:p>
    <w:p w:rsidR="00990CDF" w:rsidRPr="009638F4" w:rsidRDefault="00990CDF" w:rsidP="007F0B61">
      <w:pPr>
        <w:pStyle w:val="ListParagraph"/>
        <w:numPr>
          <w:ilvl w:val="0"/>
          <w:numId w:val="37"/>
        </w:numPr>
        <w:jc w:val="both"/>
        <w:rPr>
          <w:rFonts w:asciiTheme="minorHAnsi" w:hAnsiTheme="minorHAnsi"/>
          <w:i/>
          <w:lang w:val="sq-AL"/>
        </w:rPr>
      </w:pPr>
      <w:r w:rsidRPr="009638F4">
        <w:rPr>
          <w:rFonts w:asciiTheme="minorHAnsi" w:hAnsiTheme="minorHAnsi"/>
          <w:i/>
          <w:lang w:val="sq-AL"/>
        </w:rPr>
        <w:t>Inspektime, hetime tatimore, nuk ka realizim për shkak të situatës së pandemisë, pritet realizimi katër mujorin e dytë.</w:t>
      </w:r>
    </w:p>
    <w:p w:rsidR="00990CDF" w:rsidRPr="009638F4" w:rsidRDefault="00990CDF" w:rsidP="007F0B61">
      <w:pPr>
        <w:pStyle w:val="ListParagraph"/>
        <w:numPr>
          <w:ilvl w:val="0"/>
          <w:numId w:val="37"/>
        </w:numPr>
        <w:jc w:val="both"/>
        <w:rPr>
          <w:rFonts w:asciiTheme="minorHAnsi" w:hAnsiTheme="minorHAnsi"/>
          <w:i/>
          <w:lang w:val="sq-AL"/>
        </w:rPr>
      </w:pPr>
      <w:r w:rsidRPr="009638F4">
        <w:rPr>
          <w:rFonts w:asciiTheme="minorHAnsi" w:hAnsiTheme="minorHAnsi"/>
          <w:i/>
          <w:lang w:val="sq-AL"/>
        </w:rPr>
        <w:t>Vendime gjyqësore të ekzekutuara, janë realizuar 100 nga 200 të planifikuara, në vlerën 53,287 mijë lekë.</w:t>
      </w:r>
    </w:p>
    <w:p w:rsidR="00990CDF" w:rsidRPr="009638F4" w:rsidRDefault="00990CDF" w:rsidP="007F0B61">
      <w:pPr>
        <w:pStyle w:val="ListParagraph"/>
        <w:numPr>
          <w:ilvl w:val="0"/>
          <w:numId w:val="37"/>
        </w:numPr>
        <w:jc w:val="both"/>
        <w:rPr>
          <w:rFonts w:asciiTheme="minorHAnsi" w:hAnsiTheme="minorHAnsi"/>
          <w:i/>
          <w:lang w:val="sq-AL"/>
        </w:rPr>
      </w:pPr>
      <w:r w:rsidRPr="009638F4">
        <w:rPr>
          <w:rFonts w:asciiTheme="minorHAnsi" w:hAnsiTheme="minorHAnsi"/>
          <w:i/>
          <w:lang w:val="sq-AL"/>
        </w:rPr>
        <w:t>Përmirësimi i modulit të menaxhimit të kontrollit të faturimit, projekt iniciuar në 2018, realizuar në vlerën 271’000 mijë lekë për vitin 2021, pritet shtim fondi në vlerën 220’858 mijë lekë.</w:t>
      </w:r>
    </w:p>
    <w:p w:rsidR="00990CDF" w:rsidRPr="009638F4" w:rsidRDefault="00990CDF" w:rsidP="007F0B61">
      <w:pPr>
        <w:pStyle w:val="ListParagraph"/>
        <w:numPr>
          <w:ilvl w:val="0"/>
          <w:numId w:val="37"/>
        </w:numPr>
        <w:jc w:val="both"/>
        <w:rPr>
          <w:rFonts w:asciiTheme="minorHAnsi" w:hAnsiTheme="minorHAnsi"/>
          <w:i/>
          <w:lang w:val="sq-AL"/>
        </w:rPr>
      </w:pPr>
      <w:r w:rsidRPr="009638F4">
        <w:rPr>
          <w:rFonts w:asciiTheme="minorHAnsi" w:hAnsiTheme="minorHAnsi"/>
          <w:i/>
          <w:lang w:val="sq-AL"/>
        </w:rPr>
        <w:t>Pagesë kontributi vjetor Fiskal</w:t>
      </w:r>
      <w:r w:rsidR="009638F4">
        <w:rPr>
          <w:rFonts w:asciiTheme="minorHAnsi" w:hAnsiTheme="minorHAnsi"/>
          <w:i/>
          <w:lang w:val="sq-AL"/>
        </w:rPr>
        <w:t>is 2020, realizuar në vlerën 15.</w:t>
      </w:r>
      <w:r w:rsidRPr="009638F4">
        <w:rPr>
          <w:rFonts w:asciiTheme="minorHAnsi" w:hAnsiTheme="minorHAnsi"/>
          <w:i/>
          <w:lang w:val="sq-AL"/>
        </w:rPr>
        <w:t>000 mijë lekë.</w:t>
      </w:r>
    </w:p>
    <w:p w:rsidR="00990CDF" w:rsidRPr="00BF005F" w:rsidRDefault="00990CDF" w:rsidP="006F25E7">
      <w:pPr>
        <w:spacing w:line="276" w:lineRule="auto"/>
        <w:jc w:val="both"/>
        <w:rPr>
          <w:rFonts w:asciiTheme="minorHAnsi" w:hAnsiTheme="minorHAnsi"/>
          <w:lang w:val="sq-AL"/>
        </w:rPr>
      </w:pPr>
      <w:r w:rsidRPr="00BF005F">
        <w:rPr>
          <w:rFonts w:asciiTheme="minorHAnsi" w:hAnsiTheme="minorHAnsi"/>
          <w:lang w:val="sq-AL"/>
        </w:rPr>
        <w:lastRenderedPageBreak/>
        <w:t>Sa i përket programit “</w:t>
      </w:r>
      <w:r w:rsidRPr="00BF005F">
        <w:rPr>
          <w:rFonts w:asciiTheme="minorHAnsi" w:hAnsiTheme="minorHAnsi"/>
          <w:b/>
          <w:lang w:val="sq-AL"/>
        </w:rPr>
        <w:t>Menaxhimi i të Ardhurave Doganore</w:t>
      </w:r>
      <w:r w:rsidRPr="00BF005F">
        <w:rPr>
          <w:rFonts w:asciiTheme="minorHAnsi" w:hAnsiTheme="minorHAnsi"/>
          <w:lang w:val="sq-AL"/>
        </w:rPr>
        <w:t xml:space="preserve">” objektivi kryesor i këtij programi është </w:t>
      </w:r>
      <w:r w:rsidRPr="00BF005F">
        <w:rPr>
          <w:rFonts w:asciiTheme="minorHAnsi" w:hAnsiTheme="minorHAnsi"/>
          <w:i/>
          <w:lang w:val="sq-AL"/>
        </w:rPr>
        <w:t>krijimi i lehtësirave për operatorët ekonomikë nëpërmjet lehtësimit dhe përshpejtimit të procedurave doganore</w:t>
      </w:r>
      <w:r w:rsidRPr="00BF005F">
        <w:rPr>
          <w:rFonts w:asciiTheme="minorHAnsi" w:hAnsiTheme="minorHAnsi"/>
          <w:lang w:val="sq-AL"/>
        </w:rPr>
        <w:t xml:space="preserve">. Për arritjen e këtij objektivi, për 4-mujorin 2021, janë realizuar produktet me të dhënat si vijon: </w:t>
      </w:r>
    </w:p>
    <w:p w:rsidR="00990CDF" w:rsidRPr="00BF005F" w:rsidRDefault="00990CDF" w:rsidP="007F0B61">
      <w:pPr>
        <w:pStyle w:val="ListParagraph"/>
        <w:numPr>
          <w:ilvl w:val="0"/>
          <w:numId w:val="38"/>
        </w:numPr>
        <w:spacing w:line="276" w:lineRule="auto"/>
        <w:jc w:val="both"/>
        <w:rPr>
          <w:rFonts w:asciiTheme="minorHAnsi" w:hAnsiTheme="minorHAnsi"/>
          <w:lang w:val="sq-AL"/>
        </w:rPr>
      </w:pPr>
      <w:r w:rsidRPr="00BF005F">
        <w:rPr>
          <w:rFonts w:asciiTheme="minorHAnsi" w:hAnsiTheme="minorHAnsi"/>
          <w:lang w:val="sq-AL"/>
        </w:rPr>
        <w:t>Deklarata doganore të procesuara në masën 186.116 deklarata nga 550.000 deklarata të rishikuara.</w:t>
      </w:r>
    </w:p>
    <w:p w:rsidR="00990CDF" w:rsidRPr="00BF005F" w:rsidRDefault="00990CDF" w:rsidP="007F0B61">
      <w:pPr>
        <w:pStyle w:val="ListParagraph"/>
        <w:numPr>
          <w:ilvl w:val="0"/>
          <w:numId w:val="38"/>
        </w:numPr>
        <w:spacing w:line="276" w:lineRule="auto"/>
        <w:jc w:val="both"/>
        <w:rPr>
          <w:rFonts w:asciiTheme="minorHAnsi" w:hAnsiTheme="minorHAnsi"/>
          <w:lang w:val="sq-AL"/>
        </w:rPr>
      </w:pPr>
      <w:r w:rsidRPr="00BF005F">
        <w:rPr>
          <w:rFonts w:asciiTheme="minorHAnsi" w:hAnsiTheme="minorHAnsi"/>
          <w:lang w:val="sq-AL"/>
        </w:rPr>
        <w:t>Vendime Gjyqësore të Ekzekutuara, realizuar 20 vendime gjyqësore.</w:t>
      </w:r>
    </w:p>
    <w:p w:rsidR="00990CDF" w:rsidRPr="00BF005F" w:rsidRDefault="00990CDF" w:rsidP="007F0B61">
      <w:pPr>
        <w:pStyle w:val="ListParagraph"/>
        <w:numPr>
          <w:ilvl w:val="0"/>
          <w:numId w:val="38"/>
        </w:numPr>
        <w:spacing w:line="276" w:lineRule="auto"/>
        <w:jc w:val="both"/>
        <w:rPr>
          <w:rFonts w:asciiTheme="minorHAnsi" w:hAnsiTheme="minorHAnsi"/>
          <w:lang w:val="sq-AL"/>
        </w:rPr>
      </w:pPr>
      <w:r w:rsidRPr="00BF005F">
        <w:rPr>
          <w:rFonts w:asciiTheme="minorHAnsi" w:hAnsiTheme="minorHAnsi"/>
          <w:lang w:val="sq-AL"/>
        </w:rPr>
        <w:t>Dixhitalizimi i Shërbimeve Doganore, produkt ky i realizuar në masën 13'848 mijë lekë si dhe obliguar kontrata për diferencën 18'648 mijë lekë .</w:t>
      </w:r>
    </w:p>
    <w:p w:rsidR="00990CDF" w:rsidRPr="00BF005F" w:rsidRDefault="00990CDF" w:rsidP="009638F4">
      <w:pPr>
        <w:spacing w:before="240" w:line="276" w:lineRule="auto"/>
        <w:jc w:val="both"/>
        <w:rPr>
          <w:rFonts w:asciiTheme="minorHAnsi" w:hAnsiTheme="minorHAnsi"/>
          <w:lang w:val="sq-AL"/>
        </w:rPr>
      </w:pPr>
      <w:r w:rsidRPr="00BF005F">
        <w:rPr>
          <w:rFonts w:asciiTheme="minorHAnsi" w:hAnsiTheme="minorHAnsi"/>
          <w:lang w:val="sq-AL"/>
        </w:rPr>
        <w:t>Lidhur me garantimin e sigurisë dhe mbrojtjes kombëtarë nga: kontrabanda, trafiqet paligjshme, mallrat e ndaluara e falsifikuara, evazioni fiskal etj. Nuk janë kryer inspektime doganore për shkak të situatës së pandemisë, pritet realizimi katër mujorin e dytë.</w:t>
      </w:r>
    </w:p>
    <w:p w:rsidR="00990CDF" w:rsidRPr="00BF005F" w:rsidRDefault="00990CDF" w:rsidP="007F0B61">
      <w:pPr>
        <w:pStyle w:val="ListParagraph"/>
        <w:numPr>
          <w:ilvl w:val="0"/>
          <w:numId w:val="38"/>
        </w:numPr>
        <w:spacing w:line="276" w:lineRule="auto"/>
        <w:jc w:val="both"/>
        <w:rPr>
          <w:rFonts w:asciiTheme="minorHAnsi" w:hAnsiTheme="minorHAnsi"/>
          <w:lang w:val="sq-AL"/>
        </w:rPr>
      </w:pPr>
      <w:r w:rsidRPr="00BF005F">
        <w:rPr>
          <w:rFonts w:asciiTheme="minorHAnsi" w:hAnsiTheme="minorHAnsi"/>
          <w:lang w:val="sq-AL"/>
        </w:rPr>
        <w:t>Janë kryer 514 hetimeve nga 2.532 hetime doganore.</w:t>
      </w:r>
    </w:p>
    <w:p w:rsidR="00990CDF" w:rsidRPr="00BF005F" w:rsidRDefault="00990CDF" w:rsidP="007F0B61">
      <w:pPr>
        <w:pStyle w:val="ListParagraph"/>
        <w:numPr>
          <w:ilvl w:val="0"/>
          <w:numId w:val="38"/>
        </w:numPr>
        <w:spacing w:line="276" w:lineRule="auto"/>
        <w:jc w:val="both"/>
        <w:rPr>
          <w:rFonts w:asciiTheme="minorHAnsi" w:hAnsiTheme="minorHAnsi"/>
          <w:lang w:val="sq-AL"/>
        </w:rPr>
      </w:pPr>
      <w:r w:rsidRPr="00BF005F">
        <w:rPr>
          <w:rFonts w:asciiTheme="minorHAnsi" w:hAnsiTheme="minorHAnsi"/>
          <w:lang w:val="sq-AL"/>
        </w:rPr>
        <w:t>Shërbim skanimi, produkt i realizuar në vlerën 527’586 mijë lekë, shërbimi i skanimit është efektiv në pesë pika doganore.</w:t>
      </w:r>
    </w:p>
    <w:p w:rsidR="00990CDF" w:rsidRPr="00BF005F" w:rsidRDefault="00990CDF" w:rsidP="009638F4">
      <w:pPr>
        <w:spacing w:before="240" w:line="276" w:lineRule="auto"/>
        <w:jc w:val="both"/>
        <w:rPr>
          <w:rFonts w:asciiTheme="minorHAnsi" w:hAnsiTheme="minorHAnsi"/>
          <w:lang w:val="sq-AL"/>
        </w:rPr>
      </w:pPr>
      <w:r w:rsidRPr="00BF005F">
        <w:rPr>
          <w:rFonts w:asciiTheme="minorHAnsi" w:hAnsiTheme="minorHAnsi"/>
          <w:lang w:val="sq-AL"/>
        </w:rPr>
        <w:t>Në programin “</w:t>
      </w:r>
      <w:r w:rsidRPr="00BF005F">
        <w:rPr>
          <w:rFonts w:asciiTheme="minorHAnsi" w:hAnsiTheme="minorHAnsi"/>
          <w:b/>
          <w:lang w:val="sq-AL"/>
        </w:rPr>
        <w:t>Tregu i Punës</w:t>
      </w:r>
      <w:r w:rsidRPr="00BF005F">
        <w:rPr>
          <w:rFonts w:asciiTheme="minorHAnsi" w:hAnsiTheme="minorHAnsi"/>
          <w:lang w:val="sq-AL"/>
        </w:rPr>
        <w:t>” i cili ka si objektiv arritjen e aftësive më të larta dhe punë më të mirë për të gjithë femrat dhe meshkujt, nëpërmjet politikave të cilat nxisin vende pune cilësore dhe mundësi aftësimi për të gjithë femrat dhe meshkujt gjatë gjithë ciklit të jetës. Për 4-mujorin 2021, janë realizuar produktet me të dhënat si më poshtë:</w:t>
      </w:r>
    </w:p>
    <w:p w:rsidR="00990CDF" w:rsidRPr="00BF005F" w:rsidRDefault="00990CDF" w:rsidP="007F0B61">
      <w:pPr>
        <w:pStyle w:val="ListParagraph"/>
        <w:numPr>
          <w:ilvl w:val="0"/>
          <w:numId w:val="40"/>
        </w:numPr>
        <w:spacing w:line="276" w:lineRule="auto"/>
        <w:jc w:val="both"/>
        <w:rPr>
          <w:rFonts w:asciiTheme="minorHAnsi" w:hAnsiTheme="minorHAnsi"/>
          <w:lang w:val="sq-AL"/>
        </w:rPr>
      </w:pPr>
      <w:r w:rsidRPr="00BF005F">
        <w:rPr>
          <w:rFonts w:asciiTheme="minorHAnsi" w:hAnsiTheme="minorHAnsi"/>
          <w:lang w:val="sq-AL"/>
        </w:rPr>
        <w:t>Janë realizuar 5’734 ndërmjetësime edhe punësime për punëkërkues të papunë me një kosto faktike prej 71’484 mijë lekë.</w:t>
      </w:r>
    </w:p>
    <w:p w:rsidR="00990CDF" w:rsidRPr="00BF005F" w:rsidRDefault="00990CDF" w:rsidP="007F0B61">
      <w:pPr>
        <w:pStyle w:val="ListParagraph"/>
        <w:numPr>
          <w:ilvl w:val="0"/>
          <w:numId w:val="40"/>
        </w:numPr>
        <w:spacing w:line="276" w:lineRule="auto"/>
        <w:jc w:val="both"/>
        <w:rPr>
          <w:rFonts w:asciiTheme="minorHAnsi" w:hAnsiTheme="minorHAnsi"/>
          <w:lang w:val="sq-AL"/>
        </w:rPr>
      </w:pPr>
      <w:r w:rsidRPr="00BF005F">
        <w:rPr>
          <w:rFonts w:asciiTheme="minorHAnsi" w:hAnsiTheme="minorHAnsi"/>
          <w:lang w:val="sq-AL"/>
        </w:rPr>
        <w:t>Punëkërkues të papunë të trajtuar me pagesë papunësie, janë  trajtuar 5’950 persona</w:t>
      </w:r>
      <w:r w:rsidRPr="00BF005F">
        <w:rPr>
          <w:rFonts w:asciiTheme="minorHAnsi" w:hAnsiTheme="minorHAnsi"/>
        </w:rPr>
        <w:t xml:space="preserve"> </w:t>
      </w:r>
      <w:r w:rsidRPr="00BF005F">
        <w:rPr>
          <w:rFonts w:asciiTheme="minorHAnsi" w:hAnsiTheme="minorHAnsi"/>
          <w:lang w:val="sq-AL"/>
        </w:rPr>
        <w:t>me një kosto faktike prej 386’088 mijë lekë.</w:t>
      </w:r>
    </w:p>
    <w:p w:rsidR="00990CDF" w:rsidRPr="00BF005F" w:rsidRDefault="00990CDF" w:rsidP="007F0B61">
      <w:pPr>
        <w:pStyle w:val="ListParagraph"/>
        <w:numPr>
          <w:ilvl w:val="0"/>
          <w:numId w:val="40"/>
        </w:numPr>
        <w:spacing w:line="276" w:lineRule="auto"/>
        <w:jc w:val="both"/>
        <w:rPr>
          <w:rFonts w:asciiTheme="minorHAnsi" w:hAnsiTheme="minorHAnsi"/>
          <w:lang w:val="sq-AL"/>
        </w:rPr>
      </w:pPr>
      <w:r w:rsidRPr="00BF005F">
        <w:rPr>
          <w:rFonts w:asciiTheme="minorHAnsi" w:hAnsiTheme="minorHAnsi"/>
          <w:lang w:val="sq-AL"/>
        </w:rPr>
        <w:t>Janë shpallur 7’350 vende të lira nga 26’000 vende pune të planifikuara për vitin 2021, me një kosto faktike prej 21’073 mijë lekë.</w:t>
      </w:r>
    </w:p>
    <w:p w:rsidR="00990CDF" w:rsidRPr="00BF005F" w:rsidRDefault="00990CDF" w:rsidP="007F0B61">
      <w:pPr>
        <w:pStyle w:val="ListParagraph"/>
        <w:numPr>
          <w:ilvl w:val="0"/>
          <w:numId w:val="40"/>
        </w:numPr>
        <w:spacing w:line="276" w:lineRule="auto"/>
        <w:jc w:val="both"/>
        <w:rPr>
          <w:rFonts w:asciiTheme="minorHAnsi" w:hAnsiTheme="minorHAnsi"/>
          <w:lang w:val="sq-AL"/>
        </w:rPr>
      </w:pPr>
      <w:r w:rsidRPr="00BF005F">
        <w:rPr>
          <w:rFonts w:asciiTheme="minorHAnsi" w:hAnsiTheme="minorHAnsi"/>
          <w:lang w:val="sq-AL"/>
        </w:rPr>
        <w:t>Punëkërkues të papunë pjesëmarrës në formimit profesional kanë marrë pjesë 1’866 pjesëmarrës, me një kosto faktike prej 83’679 mijë lekë.</w:t>
      </w:r>
    </w:p>
    <w:p w:rsidR="00990CDF" w:rsidRPr="00BF005F" w:rsidRDefault="00990CDF" w:rsidP="007F0B61">
      <w:pPr>
        <w:pStyle w:val="ListParagraph"/>
        <w:numPr>
          <w:ilvl w:val="0"/>
          <w:numId w:val="40"/>
        </w:numPr>
        <w:spacing w:line="276" w:lineRule="auto"/>
        <w:jc w:val="both"/>
        <w:rPr>
          <w:rFonts w:asciiTheme="minorHAnsi" w:hAnsiTheme="minorHAnsi"/>
          <w:lang w:val="sq-AL"/>
        </w:rPr>
      </w:pPr>
      <w:r w:rsidRPr="00BF005F">
        <w:rPr>
          <w:rFonts w:asciiTheme="minorHAnsi" w:hAnsiTheme="minorHAnsi"/>
          <w:lang w:val="sq-AL"/>
        </w:rPr>
        <w:t>Pagat e biznesit për masat anti  COVID- 19, planifikuar fondi me vlerë 461’306 mijë lekë, nga të cilat janë realizuar me vlerë prej 240’419 mijë lekë.</w:t>
      </w:r>
    </w:p>
    <w:p w:rsidR="00990CDF" w:rsidRPr="00BF005F" w:rsidRDefault="00990CDF" w:rsidP="009638F4">
      <w:pPr>
        <w:spacing w:before="240" w:line="276" w:lineRule="auto"/>
        <w:jc w:val="both"/>
        <w:rPr>
          <w:rFonts w:asciiTheme="minorHAnsi" w:hAnsiTheme="minorHAnsi"/>
          <w:lang w:val="sq-AL"/>
        </w:rPr>
      </w:pPr>
      <w:r w:rsidRPr="00BF005F">
        <w:rPr>
          <w:rFonts w:asciiTheme="minorHAnsi" w:hAnsiTheme="minorHAnsi"/>
          <w:lang w:val="sq-AL"/>
        </w:rPr>
        <w:t>Në programin “</w:t>
      </w:r>
      <w:r w:rsidRPr="00BF005F">
        <w:rPr>
          <w:rFonts w:asciiTheme="minorHAnsi" w:hAnsiTheme="minorHAnsi"/>
          <w:b/>
          <w:lang w:val="sq-AL"/>
        </w:rPr>
        <w:t>Strehimi</w:t>
      </w:r>
      <w:r w:rsidRPr="00BF005F">
        <w:rPr>
          <w:rFonts w:asciiTheme="minorHAnsi" w:hAnsiTheme="minorHAnsi"/>
          <w:lang w:val="sq-AL"/>
        </w:rPr>
        <w:t xml:space="preserve">” ka si objektiv </w:t>
      </w:r>
      <w:r w:rsidRPr="00BF005F">
        <w:rPr>
          <w:rFonts w:asciiTheme="minorHAnsi" w:hAnsiTheme="minorHAnsi"/>
          <w:spacing w:val="-10"/>
          <w:lang w:val="sq-AL"/>
        </w:rPr>
        <w:t>të sigurojë strehim të përshtatshëm e të përballueshëm për individë e familje që nuk përballojnë dot kostot e tregut të banesave. Sa i takon r</w:t>
      </w:r>
      <w:r w:rsidRPr="00BF005F">
        <w:rPr>
          <w:rFonts w:asciiTheme="minorHAnsi" w:hAnsiTheme="minorHAnsi"/>
          <w:lang w:val="sq-AL"/>
        </w:rPr>
        <w:t>ealizimit të 4-mujorit të parë për vitin 2021 mund të rendisim sa më poshtë:</w:t>
      </w:r>
    </w:p>
    <w:p w:rsidR="00990CDF" w:rsidRPr="00BF005F" w:rsidRDefault="00990CDF" w:rsidP="007F0B61">
      <w:pPr>
        <w:pStyle w:val="ListParagraph"/>
        <w:numPr>
          <w:ilvl w:val="0"/>
          <w:numId w:val="40"/>
        </w:numPr>
        <w:spacing w:line="276" w:lineRule="auto"/>
        <w:jc w:val="both"/>
        <w:rPr>
          <w:rFonts w:asciiTheme="minorHAnsi" w:hAnsiTheme="minorHAnsi"/>
          <w:lang w:val="sq-AL"/>
        </w:rPr>
      </w:pPr>
      <w:r w:rsidRPr="009638F4">
        <w:rPr>
          <w:rFonts w:asciiTheme="minorHAnsi" w:hAnsiTheme="minorHAnsi"/>
          <w:lang w:val="sq-AL"/>
        </w:rPr>
        <w:t>Subvencionimi i interesave për kreditë ekzistuese</w:t>
      </w:r>
      <w:r w:rsidRPr="00BF005F">
        <w:rPr>
          <w:rFonts w:asciiTheme="minorHAnsi" w:hAnsiTheme="minorHAnsi"/>
          <w:lang w:val="sq-AL"/>
        </w:rPr>
        <w:t xml:space="preserve">, me vlerën 151’200 mijë lekë, është realizuar në vlerën 46,169 mijë lekë, (3’900 familje). Kosto për njësi është parashikuar në vlerën 40 mijë lekë, si pasojë e situatës së shkaktuar nga COVID-19, interesat e bonove të thesarit janë rritur, gjithashtu vazhdojnë pagesat (për çdo muaj) për 3’900 familje. </w:t>
      </w:r>
    </w:p>
    <w:p w:rsidR="00990CDF" w:rsidRPr="00BF005F" w:rsidRDefault="00990CDF" w:rsidP="007F0B61">
      <w:pPr>
        <w:pStyle w:val="ListParagraph"/>
        <w:numPr>
          <w:ilvl w:val="0"/>
          <w:numId w:val="40"/>
        </w:numPr>
        <w:spacing w:line="276" w:lineRule="auto"/>
        <w:jc w:val="both"/>
        <w:rPr>
          <w:rFonts w:asciiTheme="minorHAnsi" w:hAnsiTheme="minorHAnsi"/>
          <w:lang w:val="sq-AL"/>
        </w:rPr>
      </w:pPr>
      <w:r w:rsidRPr="009638F4">
        <w:rPr>
          <w:rFonts w:asciiTheme="minorHAnsi" w:hAnsiTheme="minorHAnsi"/>
          <w:lang w:val="sq-AL"/>
        </w:rPr>
        <w:t>Subvencionimi i interesave të kredive të reja</w:t>
      </w:r>
      <w:r w:rsidRPr="00BF005F">
        <w:rPr>
          <w:rFonts w:asciiTheme="minorHAnsi" w:hAnsiTheme="minorHAnsi"/>
          <w:lang w:val="sq-AL"/>
        </w:rPr>
        <w:t>, me vlerën 51’800 mijë lekë, po vijon procesi i vlerësimit nga ana e bankave për 1550 familje.</w:t>
      </w:r>
    </w:p>
    <w:p w:rsidR="00990CDF" w:rsidRPr="00BF005F" w:rsidRDefault="00990CDF" w:rsidP="007F0B61">
      <w:pPr>
        <w:pStyle w:val="ListParagraph"/>
        <w:numPr>
          <w:ilvl w:val="0"/>
          <w:numId w:val="40"/>
        </w:numPr>
        <w:spacing w:line="276" w:lineRule="auto"/>
        <w:jc w:val="both"/>
        <w:rPr>
          <w:rFonts w:asciiTheme="minorHAnsi" w:hAnsiTheme="minorHAnsi"/>
          <w:lang w:val="sq-AL"/>
        </w:rPr>
      </w:pPr>
      <w:r w:rsidRPr="009638F4">
        <w:rPr>
          <w:rFonts w:asciiTheme="minorHAnsi" w:hAnsiTheme="minorHAnsi"/>
          <w:lang w:val="sq-AL"/>
        </w:rPr>
        <w:lastRenderedPageBreak/>
        <w:t>Subvencionim qiraje në tregun e lirë</w:t>
      </w:r>
      <w:r w:rsidRPr="00BF005F">
        <w:rPr>
          <w:rFonts w:asciiTheme="minorHAnsi" w:hAnsiTheme="minorHAnsi"/>
          <w:lang w:val="sq-AL"/>
        </w:rPr>
        <w:t>, janë alokuar fondet prej 100,000 mijë lekë për 23 Njësitë e Qeverisjes Vendore të vendit. Janë trajtuar 834 familje, pa të ardhura apo me të ardhura shumë të ulëta.</w:t>
      </w:r>
    </w:p>
    <w:p w:rsidR="00990CDF" w:rsidRPr="00BF005F" w:rsidRDefault="00990CDF" w:rsidP="007F0B61">
      <w:pPr>
        <w:pStyle w:val="ListParagraph"/>
        <w:numPr>
          <w:ilvl w:val="0"/>
          <w:numId w:val="40"/>
        </w:numPr>
        <w:spacing w:line="276" w:lineRule="auto"/>
        <w:jc w:val="both"/>
        <w:rPr>
          <w:rFonts w:asciiTheme="minorHAnsi" w:hAnsiTheme="minorHAnsi"/>
          <w:lang w:val="sq-AL"/>
        </w:rPr>
      </w:pPr>
      <w:r w:rsidRPr="009638F4">
        <w:rPr>
          <w:rFonts w:asciiTheme="minorHAnsi" w:hAnsiTheme="minorHAnsi"/>
          <w:lang w:val="sq-AL"/>
        </w:rPr>
        <w:t>Subvencionimi i qirasë për familjet e prekura nga tërmeti</w:t>
      </w:r>
      <w:r w:rsidRPr="00BF005F">
        <w:rPr>
          <w:rFonts w:asciiTheme="minorHAnsi" w:hAnsiTheme="minorHAnsi"/>
          <w:lang w:val="sq-AL"/>
        </w:rPr>
        <w:t>, janë alokuar 1,500,000 mijë lekë, për 11 Njësitë e Qeverisjes Vendore të prekura nga tërmeti i datës 26.11.2019. Realizimi faktit i fondeve është në vlerën 906,268 mijë lekë. Numri i familjeve përfituese të subvencionimit të qirasë, u ul si rezultat i vazhdimit të verifikimeve në terren të banesave të shpallura të pabanueshme me akt konstatim, pasi kanë përfituar grandin e rikonstruksionit të banesës.</w:t>
      </w:r>
    </w:p>
    <w:p w:rsidR="00990CDF" w:rsidRPr="00BF005F" w:rsidRDefault="00990CDF" w:rsidP="007F0B61">
      <w:pPr>
        <w:pStyle w:val="ListParagraph"/>
        <w:numPr>
          <w:ilvl w:val="0"/>
          <w:numId w:val="40"/>
        </w:numPr>
        <w:spacing w:line="276" w:lineRule="auto"/>
        <w:jc w:val="both"/>
        <w:rPr>
          <w:rFonts w:asciiTheme="minorHAnsi" w:hAnsiTheme="minorHAnsi"/>
          <w:lang w:val="sq-AL"/>
        </w:rPr>
      </w:pPr>
      <w:r w:rsidRPr="009638F4">
        <w:rPr>
          <w:rFonts w:asciiTheme="minorHAnsi" w:hAnsiTheme="minorHAnsi"/>
          <w:lang w:val="sq-AL"/>
        </w:rPr>
        <w:t>Granti i menjëhershëm</w:t>
      </w:r>
      <w:r w:rsidRPr="00BF005F">
        <w:rPr>
          <w:rFonts w:asciiTheme="minorHAnsi" w:hAnsiTheme="minorHAnsi"/>
          <w:lang w:val="sq-AL"/>
        </w:rPr>
        <w:t>, përfituan 10 familje me vlerën 2’367 mijë lekë (alokuar Njësive të Qeverisjes Vendore). Ky produkt nuk është realizuar në masën e parashikuar për shkak se Vendimi i Këshillit të Ministrave “Për procedurat, kriteret dhe përparësitë për akordimin e grantit të menjëhershëm” u miratua më 02.07.2020. Përdorimi i fondeve të parashikuara për këtë produkt do të vijojë për 27 familjet e tjera të cilat ende nuk kanë marrë kompensimimin sipas VKM-së nr.359, datë 4.5.2020 “Për shpronësimin, për interes publik, të pronarëve të pasurive të paluajtshme, pronë private, dhe shkëmbimin e pronësisë, në funksion të procesit të rindërtimit, për shpalljen e zonës së re për zhvillimin, në Njësinë Administrative Laç, bashkia Kurbin”.</w:t>
      </w:r>
    </w:p>
    <w:p w:rsidR="00990CDF" w:rsidRPr="00BF005F" w:rsidRDefault="00990CDF" w:rsidP="006F25E7">
      <w:pPr>
        <w:spacing w:before="120" w:after="120" w:line="276" w:lineRule="auto"/>
        <w:jc w:val="both"/>
        <w:rPr>
          <w:rFonts w:asciiTheme="minorHAnsi" w:hAnsiTheme="minorHAnsi"/>
          <w:u w:val="single"/>
          <w:lang w:val="sq-AL"/>
        </w:rPr>
      </w:pPr>
      <w:r w:rsidRPr="00BF005F">
        <w:rPr>
          <w:rFonts w:asciiTheme="minorHAnsi" w:hAnsiTheme="minorHAnsi"/>
          <w:color w:val="000000"/>
          <w:lang w:val="sq-AL" w:eastAsia="et-EE"/>
        </w:rPr>
        <w:t>Fondi i parashikuar, për projektet e shpallura fituese për vitin 2021, është në total 22,814 mijë lekë, të detajuara si më poshtë:</w:t>
      </w:r>
    </w:p>
    <w:p w:rsidR="00990CDF" w:rsidRPr="00BF005F" w:rsidRDefault="00990CDF" w:rsidP="007F0B61">
      <w:pPr>
        <w:pStyle w:val="ListParagraph"/>
        <w:numPr>
          <w:ilvl w:val="0"/>
          <w:numId w:val="39"/>
        </w:numPr>
        <w:spacing w:before="120" w:after="120" w:line="276" w:lineRule="auto"/>
        <w:jc w:val="both"/>
        <w:rPr>
          <w:rFonts w:asciiTheme="minorHAnsi" w:hAnsiTheme="minorHAnsi"/>
          <w:lang w:val="sq-AL"/>
        </w:rPr>
      </w:pPr>
      <w:r w:rsidRPr="00BF005F">
        <w:rPr>
          <w:rFonts w:asciiTheme="minorHAnsi" w:hAnsiTheme="minorHAnsi"/>
          <w:lang w:val="sq-AL"/>
        </w:rPr>
        <w:t>Përmirësim i kushteve të banimit, është alokuar vlera prej 77,318 mijë lekë tek Njësitë e Qeverisjes Vendore, nga atë cilat janë realizuar 15’452 mijë lekë, përfituar 42 familje nga 360 të  parashikuara për fondin 180’000 mijë lekë.</w:t>
      </w:r>
    </w:p>
    <w:p w:rsidR="00990CDF" w:rsidRPr="00BF005F" w:rsidRDefault="00990CDF" w:rsidP="007F0B61">
      <w:pPr>
        <w:pStyle w:val="ListParagraph"/>
        <w:numPr>
          <w:ilvl w:val="0"/>
          <w:numId w:val="39"/>
        </w:numPr>
        <w:spacing w:before="120" w:after="120" w:line="276" w:lineRule="auto"/>
        <w:jc w:val="both"/>
        <w:rPr>
          <w:rFonts w:asciiTheme="minorHAnsi" w:hAnsiTheme="minorHAnsi"/>
          <w:lang w:val="sq-AL"/>
        </w:rPr>
      </w:pPr>
      <w:r w:rsidRPr="00BF005F">
        <w:rPr>
          <w:rFonts w:asciiTheme="minorHAnsi" w:hAnsiTheme="minorHAnsi"/>
          <w:lang w:val="sq-AL"/>
        </w:rPr>
        <w:t>Rikonstruksion i godinave në pronësi të NJVV për Strehim Social, është alokuar vlera prej 61,376 mijë lekë tek Njësitë e Qeverisjes Vendore, nga atë cilat janë realizuar 7’362 mijë lekë, përfituar 13 familje nga 92 të  parashikuara për fondin 120’000 mijë lekë.</w:t>
      </w:r>
    </w:p>
    <w:p w:rsidR="00340D6B" w:rsidRDefault="00340D6B" w:rsidP="006F25E7">
      <w:pPr>
        <w:spacing w:before="120" w:after="120" w:line="276" w:lineRule="auto"/>
        <w:jc w:val="both"/>
        <w:rPr>
          <w:rFonts w:asciiTheme="minorHAnsi" w:hAnsiTheme="minorHAnsi"/>
          <w:b/>
          <w:noProof/>
          <w:color w:val="0070C0"/>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t>MBROJTJA</w:t>
      </w:r>
    </w:p>
    <w:p w:rsidR="00990CDF" w:rsidRPr="00BF005F" w:rsidRDefault="00990CDF" w:rsidP="006F25E7">
      <w:pPr>
        <w:spacing w:line="276" w:lineRule="auto"/>
        <w:jc w:val="both"/>
        <w:rPr>
          <w:rFonts w:asciiTheme="minorHAnsi" w:eastAsia="MS Mincho" w:hAnsiTheme="minorHAnsi"/>
          <w:color w:val="000000"/>
          <w:lang w:val="sq-AL"/>
        </w:rPr>
      </w:pPr>
      <w:r w:rsidRPr="00BF005F">
        <w:rPr>
          <w:rFonts w:asciiTheme="minorHAnsi" w:eastAsia="MS Mincho" w:hAnsiTheme="minorHAnsi"/>
          <w:color w:val="000000"/>
          <w:lang w:val="sq-AL"/>
        </w:rPr>
        <w:t>Shpenzimet e planifikuara dhe ato faktike si dhe realizimi në përqindje për 4 mujorin e pare 2021 për Ministrinë e Mbrojtjes, paraqiten si më poshtë:</w:t>
      </w:r>
    </w:p>
    <w:p w:rsidR="00340D6B" w:rsidRDefault="00990CDF" w:rsidP="00340D6B">
      <w:pPr>
        <w:spacing w:line="276" w:lineRule="auto"/>
        <w:jc w:val="both"/>
        <w:rPr>
          <w:rFonts w:asciiTheme="minorHAnsi" w:eastAsia="MS Mincho" w:hAnsiTheme="minorHAnsi"/>
          <w:i/>
          <w:color w:val="000000"/>
          <w:sz w:val="22"/>
          <w:lang w:val="sq-AL"/>
        </w:rPr>
      </w:pPr>
      <w:bookmarkStart w:id="148" w:name="_Toc76470077"/>
      <w:r w:rsidRPr="009638F4">
        <w:rPr>
          <w:rFonts w:asciiTheme="minorHAnsi" w:hAnsiTheme="minorHAnsi"/>
          <w:i/>
          <w:noProof/>
          <w:sz w:val="22"/>
        </w:rPr>
        <w:t xml:space="preserve">Tabela </w:t>
      </w:r>
      <w:r w:rsidRPr="009638F4">
        <w:rPr>
          <w:rFonts w:asciiTheme="minorHAnsi" w:hAnsiTheme="minorHAnsi"/>
          <w:i/>
          <w:noProof/>
          <w:sz w:val="22"/>
        </w:rPr>
        <w:fldChar w:fldCharType="begin"/>
      </w:r>
      <w:r w:rsidRPr="009638F4">
        <w:rPr>
          <w:rFonts w:asciiTheme="minorHAnsi" w:hAnsiTheme="minorHAnsi"/>
          <w:i/>
          <w:noProof/>
          <w:sz w:val="22"/>
        </w:rPr>
        <w:instrText xml:space="preserve"> SEQ Tabela \* ARABIC </w:instrText>
      </w:r>
      <w:r w:rsidRPr="009638F4">
        <w:rPr>
          <w:rFonts w:asciiTheme="minorHAnsi" w:hAnsiTheme="minorHAnsi"/>
          <w:i/>
          <w:noProof/>
          <w:sz w:val="22"/>
        </w:rPr>
        <w:fldChar w:fldCharType="separate"/>
      </w:r>
      <w:r w:rsidR="003C5F40">
        <w:rPr>
          <w:rFonts w:asciiTheme="minorHAnsi" w:hAnsiTheme="minorHAnsi"/>
          <w:i/>
          <w:noProof/>
          <w:sz w:val="22"/>
        </w:rPr>
        <w:t>23</w:t>
      </w:r>
      <w:r w:rsidRPr="009638F4">
        <w:rPr>
          <w:rFonts w:asciiTheme="minorHAnsi" w:hAnsiTheme="minorHAnsi"/>
          <w:i/>
          <w:noProof/>
          <w:sz w:val="22"/>
        </w:rPr>
        <w:fldChar w:fldCharType="end"/>
      </w:r>
      <w:r w:rsidRPr="009638F4">
        <w:rPr>
          <w:rFonts w:asciiTheme="minorHAnsi" w:hAnsiTheme="minorHAnsi"/>
          <w:i/>
          <w:noProof/>
          <w:sz w:val="22"/>
        </w:rPr>
        <w:t>: Mbrojtja</w:t>
      </w:r>
      <w:bookmarkEnd w:id="148"/>
      <w:r w:rsidR="00340D6B" w:rsidRPr="00340D6B">
        <w:rPr>
          <w:rFonts w:asciiTheme="minorHAnsi" w:eastAsia="MS Mincho" w:hAnsiTheme="minorHAnsi"/>
          <w:i/>
          <w:color w:val="000000"/>
          <w:sz w:val="22"/>
          <w:lang w:val="sq-AL"/>
        </w:rPr>
        <w:t xml:space="preserve"> </w:t>
      </w:r>
    </w:p>
    <w:p w:rsidR="00340D6B" w:rsidRPr="009638F4" w:rsidRDefault="00340D6B" w:rsidP="00340D6B">
      <w:pPr>
        <w:spacing w:line="276" w:lineRule="auto"/>
        <w:ind w:left="2880" w:firstLine="720"/>
        <w:jc w:val="right"/>
        <w:rPr>
          <w:rFonts w:asciiTheme="minorHAnsi" w:eastAsia="MS Mincho" w:hAnsiTheme="minorHAnsi"/>
          <w:i/>
          <w:color w:val="000000"/>
          <w:sz w:val="22"/>
          <w:lang w:val="sq-AL"/>
        </w:rPr>
      </w:pPr>
      <w:r w:rsidRPr="009638F4">
        <w:rPr>
          <w:rFonts w:asciiTheme="minorHAnsi" w:eastAsia="MS Mincho" w:hAnsiTheme="minorHAnsi"/>
          <w:i/>
          <w:color w:val="000000"/>
          <w:sz w:val="22"/>
          <w:lang w:val="sq-AL"/>
        </w:rPr>
        <w:t>Në mijë lekë</w:t>
      </w:r>
    </w:p>
    <w:tbl>
      <w:tblPr>
        <w:tblpPr w:leftFromText="180" w:rightFromText="180" w:vertAnchor="text" w:horzAnchor="margin" w:tblpY="114"/>
        <w:tblW w:w="9929" w:type="dxa"/>
        <w:tblLook w:val="04A0" w:firstRow="1" w:lastRow="0" w:firstColumn="1" w:lastColumn="0" w:noHBand="0" w:noVBand="1"/>
      </w:tblPr>
      <w:tblGrid>
        <w:gridCol w:w="3275"/>
        <w:gridCol w:w="1532"/>
        <w:gridCol w:w="1021"/>
        <w:gridCol w:w="1021"/>
        <w:gridCol w:w="1038"/>
        <w:gridCol w:w="1021"/>
        <w:gridCol w:w="1021"/>
      </w:tblGrid>
      <w:tr w:rsidR="00340D6B" w:rsidRPr="009638F4" w:rsidTr="00340D6B">
        <w:trPr>
          <w:trHeight w:val="260"/>
        </w:trPr>
        <w:tc>
          <w:tcPr>
            <w:tcW w:w="3275" w:type="dxa"/>
            <w:vMerge w:val="restart"/>
            <w:tcBorders>
              <w:top w:val="single" w:sz="8" w:space="0" w:color="4BACC6"/>
              <w:left w:val="single" w:sz="8" w:space="0" w:color="4BACC6"/>
              <w:bottom w:val="single" w:sz="8" w:space="0" w:color="4BACC6"/>
              <w:right w:val="single" w:sz="8" w:space="0" w:color="4BACC6"/>
            </w:tcBorders>
            <w:shd w:val="clear" w:color="000000" w:fill="4BACC6"/>
            <w:vAlign w:val="center"/>
            <w:hideMark/>
          </w:tcPr>
          <w:p w:rsidR="00340D6B" w:rsidRPr="009638F4" w:rsidRDefault="00340D6B" w:rsidP="00340D6B">
            <w:pPr>
              <w:jc w:val="center"/>
              <w:rPr>
                <w:rFonts w:asciiTheme="minorHAnsi" w:hAnsiTheme="minorHAnsi"/>
                <w:b/>
                <w:bCs/>
                <w:color w:val="FFFFFF"/>
                <w:sz w:val="18"/>
              </w:rPr>
            </w:pPr>
            <w:r w:rsidRPr="009638F4">
              <w:rPr>
                <w:rFonts w:asciiTheme="minorHAnsi" w:hAnsiTheme="minorHAnsi"/>
                <w:b/>
                <w:bCs/>
                <w:color w:val="FFFFFF"/>
                <w:sz w:val="18"/>
                <w:lang w:val="sq-AL"/>
              </w:rPr>
              <w:t>Emërtimi i Programit</w:t>
            </w:r>
          </w:p>
        </w:tc>
        <w:tc>
          <w:tcPr>
            <w:tcW w:w="2553" w:type="dxa"/>
            <w:gridSpan w:val="2"/>
            <w:tcBorders>
              <w:top w:val="single" w:sz="8" w:space="0" w:color="4BACC6"/>
              <w:left w:val="nil"/>
              <w:bottom w:val="single" w:sz="8" w:space="0" w:color="4BACC6"/>
              <w:right w:val="single" w:sz="8" w:space="0" w:color="4BACC6"/>
            </w:tcBorders>
            <w:shd w:val="clear" w:color="000000" w:fill="4BACC6"/>
            <w:vAlign w:val="center"/>
            <w:hideMark/>
          </w:tcPr>
          <w:p w:rsidR="00340D6B" w:rsidRPr="009638F4" w:rsidRDefault="00340D6B" w:rsidP="00340D6B">
            <w:pPr>
              <w:jc w:val="center"/>
              <w:rPr>
                <w:rFonts w:asciiTheme="minorHAnsi" w:hAnsiTheme="minorHAnsi"/>
                <w:b/>
                <w:bCs/>
                <w:color w:val="FFFFFF"/>
                <w:sz w:val="18"/>
              </w:rPr>
            </w:pPr>
            <w:r w:rsidRPr="009638F4">
              <w:rPr>
                <w:rFonts w:asciiTheme="minorHAnsi" w:hAnsiTheme="minorHAnsi"/>
                <w:b/>
                <w:bCs/>
                <w:color w:val="FFFFFF"/>
                <w:sz w:val="18"/>
                <w:lang w:val="sq-AL"/>
              </w:rPr>
              <w:t>Plani 2021</w:t>
            </w:r>
          </w:p>
        </w:tc>
        <w:tc>
          <w:tcPr>
            <w:tcW w:w="2059" w:type="dxa"/>
            <w:gridSpan w:val="2"/>
            <w:tcBorders>
              <w:top w:val="single" w:sz="8" w:space="0" w:color="4BACC6"/>
              <w:left w:val="nil"/>
              <w:bottom w:val="single" w:sz="8" w:space="0" w:color="4BACC6"/>
              <w:right w:val="single" w:sz="8" w:space="0" w:color="4BACC6"/>
            </w:tcBorders>
            <w:shd w:val="clear" w:color="000000" w:fill="4BACC6"/>
            <w:vAlign w:val="center"/>
            <w:hideMark/>
          </w:tcPr>
          <w:p w:rsidR="00340D6B" w:rsidRPr="009638F4" w:rsidRDefault="00340D6B" w:rsidP="00340D6B">
            <w:pPr>
              <w:jc w:val="center"/>
              <w:rPr>
                <w:rFonts w:asciiTheme="minorHAnsi" w:hAnsiTheme="minorHAnsi"/>
                <w:b/>
                <w:bCs/>
                <w:color w:val="FFFFFF"/>
                <w:sz w:val="18"/>
              </w:rPr>
            </w:pPr>
            <w:r w:rsidRPr="009638F4">
              <w:rPr>
                <w:rFonts w:asciiTheme="minorHAnsi" w:hAnsiTheme="minorHAnsi"/>
                <w:b/>
                <w:bCs/>
                <w:color w:val="FFFFFF"/>
                <w:sz w:val="18"/>
                <w:lang w:val="sq-AL"/>
              </w:rPr>
              <w:t>Fakti 4 mujor</w:t>
            </w:r>
          </w:p>
        </w:tc>
        <w:tc>
          <w:tcPr>
            <w:tcW w:w="2042" w:type="dxa"/>
            <w:gridSpan w:val="2"/>
            <w:tcBorders>
              <w:top w:val="single" w:sz="8" w:space="0" w:color="4BACC6"/>
              <w:left w:val="nil"/>
              <w:bottom w:val="single" w:sz="8" w:space="0" w:color="4BACC6"/>
              <w:right w:val="single" w:sz="8" w:space="0" w:color="4BACC6"/>
            </w:tcBorders>
            <w:shd w:val="clear" w:color="000000" w:fill="4BACC6"/>
            <w:vAlign w:val="center"/>
            <w:hideMark/>
          </w:tcPr>
          <w:p w:rsidR="00340D6B" w:rsidRPr="009638F4" w:rsidRDefault="00340D6B" w:rsidP="00340D6B">
            <w:pPr>
              <w:jc w:val="center"/>
              <w:rPr>
                <w:rFonts w:asciiTheme="minorHAnsi" w:hAnsiTheme="minorHAnsi"/>
                <w:b/>
                <w:bCs/>
                <w:color w:val="FFFFFF"/>
                <w:sz w:val="18"/>
              </w:rPr>
            </w:pPr>
            <w:r w:rsidRPr="009638F4">
              <w:rPr>
                <w:rFonts w:asciiTheme="minorHAnsi" w:hAnsiTheme="minorHAnsi"/>
                <w:b/>
                <w:bCs/>
                <w:color w:val="FFFFFF"/>
                <w:sz w:val="18"/>
                <w:lang w:val="sq-AL"/>
              </w:rPr>
              <w:t>Përqindja  e realizimit</w:t>
            </w:r>
          </w:p>
        </w:tc>
      </w:tr>
      <w:tr w:rsidR="00340D6B" w:rsidRPr="009638F4" w:rsidTr="00340D6B">
        <w:trPr>
          <w:trHeight w:val="248"/>
        </w:trPr>
        <w:tc>
          <w:tcPr>
            <w:tcW w:w="3275" w:type="dxa"/>
            <w:vMerge/>
            <w:tcBorders>
              <w:top w:val="single" w:sz="8" w:space="0" w:color="4BACC6"/>
              <w:left w:val="single" w:sz="8" w:space="0" w:color="4BACC6"/>
              <w:bottom w:val="single" w:sz="8" w:space="0" w:color="4BACC6"/>
              <w:right w:val="single" w:sz="8" w:space="0" w:color="4BACC6"/>
            </w:tcBorders>
            <w:vAlign w:val="center"/>
            <w:hideMark/>
          </w:tcPr>
          <w:p w:rsidR="00340D6B" w:rsidRPr="009638F4" w:rsidRDefault="00340D6B" w:rsidP="00340D6B">
            <w:pPr>
              <w:jc w:val="center"/>
              <w:rPr>
                <w:rFonts w:asciiTheme="minorHAnsi" w:hAnsiTheme="minorHAnsi"/>
                <w:b/>
                <w:bCs/>
                <w:color w:val="FFFFFF"/>
                <w:sz w:val="18"/>
              </w:rPr>
            </w:pPr>
          </w:p>
        </w:tc>
        <w:tc>
          <w:tcPr>
            <w:tcW w:w="1532"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Korrente</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Investime</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Korrente</w:t>
            </w:r>
          </w:p>
        </w:tc>
        <w:tc>
          <w:tcPr>
            <w:tcW w:w="1038"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Investime</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Korrente</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Investime</w:t>
            </w:r>
          </w:p>
        </w:tc>
      </w:tr>
      <w:tr w:rsidR="00340D6B" w:rsidRPr="009638F4" w:rsidTr="00340D6B">
        <w:trPr>
          <w:trHeight w:val="248"/>
        </w:trPr>
        <w:tc>
          <w:tcPr>
            <w:tcW w:w="3275" w:type="dxa"/>
            <w:tcBorders>
              <w:top w:val="nil"/>
              <w:left w:val="single" w:sz="8" w:space="0" w:color="4BACC6"/>
              <w:bottom w:val="single" w:sz="8" w:space="0" w:color="4BACC6"/>
              <w:right w:val="single" w:sz="8" w:space="0" w:color="4BACC6"/>
            </w:tcBorders>
            <w:shd w:val="clear" w:color="000000" w:fill="FFFFFF"/>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Planifikimi, Menaxhimi dhe Administrimi</w:t>
            </w:r>
          </w:p>
        </w:tc>
        <w:tc>
          <w:tcPr>
            <w:tcW w:w="1532"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1,190,300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120,000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280,436</w:t>
            </w:r>
          </w:p>
        </w:tc>
        <w:tc>
          <w:tcPr>
            <w:tcW w:w="1038"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0</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rPr>
              <w:t>23.56%</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0.00%</w:t>
            </w:r>
          </w:p>
        </w:tc>
      </w:tr>
      <w:tr w:rsidR="00340D6B" w:rsidRPr="009638F4" w:rsidTr="00340D6B">
        <w:trPr>
          <w:trHeight w:val="248"/>
        </w:trPr>
        <w:tc>
          <w:tcPr>
            <w:tcW w:w="3275" w:type="dxa"/>
            <w:tcBorders>
              <w:top w:val="nil"/>
              <w:left w:val="single" w:sz="8" w:space="0" w:color="4BACC6"/>
              <w:bottom w:val="single" w:sz="8" w:space="0" w:color="4BACC6"/>
              <w:right w:val="single" w:sz="8" w:space="0" w:color="4BACC6"/>
            </w:tcBorders>
            <w:shd w:val="clear" w:color="000000" w:fill="FFFFFF"/>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Forcat e Luftimit</w:t>
            </w:r>
          </w:p>
        </w:tc>
        <w:tc>
          <w:tcPr>
            <w:tcW w:w="1532"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5,670,000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3,057,500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1,216,632</w:t>
            </w:r>
          </w:p>
        </w:tc>
        <w:tc>
          <w:tcPr>
            <w:tcW w:w="1038"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811,324</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21.46%</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26.54%</w:t>
            </w:r>
          </w:p>
        </w:tc>
      </w:tr>
      <w:tr w:rsidR="00340D6B" w:rsidRPr="009638F4" w:rsidTr="00340D6B">
        <w:trPr>
          <w:trHeight w:val="248"/>
        </w:trPr>
        <w:tc>
          <w:tcPr>
            <w:tcW w:w="3275" w:type="dxa"/>
            <w:tcBorders>
              <w:top w:val="nil"/>
              <w:left w:val="single" w:sz="8" w:space="0" w:color="4BACC6"/>
              <w:bottom w:val="single" w:sz="8" w:space="0" w:color="4BACC6"/>
              <w:right w:val="single" w:sz="8" w:space="0" w:color="4BACC6"/>
            </w:tcBorders>
            <w:shd w:val="clear" w:color="000000" w:fill="FFFFFF"/>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Arsimi Ushtarak</w:t>
            </w:r>
          </w:p>
        </w:tc>
        <w:tc>
          <w:tcPr>
            <w:tcW w:w="1532"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620,000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251,625</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185,610</w:t>
            </w:r>
          </w:p>
        </w:tc>
        <w:tc>
          <w:tcPr>
            <w:tcW w:w="1038"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0</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29.94%</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0.00%</w:t>
            </w:r>
          </w:p>
        </w:tc>
      </w:tr>
      <w:tr w:rsidR="00340D6B" w:rsidRPr="009638F4" w:rsidTr="00340D6B">
        <w:trPr>
          <w:trHeight w:val="248"/>
        </w:trPr>
        <w:tc>
          <w:tcPr>
            <w:tcW w:w="3275" w:type="dxa"/>
            <w:tcBorders>
              <w:top w:val="nil"/>
              <w:left w:val="single" w:sz="8" w:space="0" w:color="4BACC6"/>
              <w:bottom w:val="single" w:sz="8" w:space="0" w:color="4BACC6"/>
              <w:right w:val="single" w:sz="8" w:space="0" w:color="4BACC6"/>
            </w:tcBorders>
            <w:shd w:val="clear" w:color="000000" w:fill="FFFFFF"/>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Mbështetja e Luftimit</w:t>
            </w:r>
          </w:p>
        </w:tc>
        <w:tc>
          <w:tcPr>
            <w:tcW w:w="1532"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5,536,000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961,375</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1,690,253</w:t>
            </w:r>
          </w:p>
        </w:tc>
        <w:tc>
          <w:tcPr>
            <w:tcW w:w="1038"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181,430</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30.53%</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18.87%</w:t>
            </w:r>
          </w:p>
        </w:tc>
      </w:tr>
      <w:tr w:rsidR="00340D6B" w:rsidRPr="009638F4" w:rsidTr="00340D6B">
        <w:trPr>
          <w:trHeight w:val="248"/>
        </w:trPr>
        <w:tc>
          <w:tcPr>
            <w:tcW w:w="3275" w:type="dxa"/>
            <w:tcBorders>
              <w:top w:val="nil"/>
              <w:left w:val="single" w:sz="8" w:space="0" w:color="4BACC6"/>
              <w:bottom w:val="single" w:sz="8" w:space="0" w:color="4BACC6"/>
              <w:right w:val="single" w:sz="8" w:space="0" w:color="4BACC6"/>
            </w:tcBorders>
            <w:shd w:val="clear" w:color="000000" w:fill="FFFFFF"/>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Mbështetje për Shëndetësinë</w:t>
            </w:r>
          </w:p>
        </w:tc>
        <w:tc>
          <w:tcPr>
            <w:tcW w:w="1532"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1,016,000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200,000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285,244</w:t>
            </w:r>
          </w:p>
        </w:tc>
        <w:tc>
          <w:tcPr>
            <w:tcW w:w="1038"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0</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28.08%</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0.00%</w:t>
            </w:r>
          </w:p>
        </w:tc>
      </w:tr>
      <w:tr w:rsidR="00340D6B" w:rsidRPr="009638F4" w:rsidTr="00340D6B">
        <w:trPr>
          <w:trHeight w:val="248"/>
        </w:trPr>
        <w:tc>
          <w:tcPr>
            <w:tcW w:w="3275" w:type="dxa"/>
            <w:tcBorders>
              <w:top w:val="nil"/>
              <w:left w:val="single" w:sz="8" w:space="0" w:color="4BACC6"/>
              <w:bottom w:val="single" w:sz="8" w:space="0" w:color="4BACC6"/>
              <w:right w:val="single" w:sz="8" w:space="0" w:color="4BACC6"/>
            </w:tcBorders>
            <w:shd w:val="clear" w:color="000000" w:fill="FFFFFF"/>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Emergjencat Civile</w:t>
            </w:r>
          </w:p>
        </w:tc>
        <w:tc>
          <w:tcPr>
            <w:tcW w:w="1532"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396,000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420,000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45,423</w:t>
            </w:r>
          </w:p>
        </w:tc>
        <w:tc>
          <w:tcPr>
            <w:tcW w:w="1038"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8,921</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11.47%</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2.12%</w:t>
            </w:r>
          </w:p>
        </w:tc>
      </w:tr>
      <w:tr w:rsidR="00340D6B" w:rsidRPr="009638F4" w:rsidTr="00340D6B">
        <w:trPr>
          <w:trHeight w:val="248"/>
        </w:trPr>
        <w:tc>
          <w:tcPr>
            <w:tcW w:w="3275" w:type="dxa"/>
            <w:tcBorders>
              <w:top w:val="nil"/>
              <w:left w:val="single" w:sz="8" w:space="0" w:color="4BACC6"/>
              <w:bottom w:val="single" w:sz="8" w:space="0" w:color="4BACC6"/>
              <w:right w:val="single" w:sz="8" w:space="0" w:color="4BACC6"/>
            </w:tcBorders>
            <w:shd w:val="clear" w:color="000000" w:fill="FFFFFF"/>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Sigurimet Shoqerore per ushtaraket</w:t>
            </w:r>
          </w:p>
        </w:tc>
        <w:tc>
          <w:tcPr>
            <w:tcW w:w="1532"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5,308,200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0</w:t>
            </w:r>
          </w:p>
        </w:tc>
        <w:tc>
          <w:tcPr>
            <w:tcW w:w="1021"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1,730,592</w:t>
            </w:r>
          </w:p>
        </w:tc>
        <w:tc>
          <w:tcPr>
            <w:tcW w:w="1038" w:type="dxa"/>
            <w:tcBorders>
              <w:top w:val="nil"/>
              <w:left w:val="nil"/>
              <w:bottom w:val="single" w:sz="8" w:space="0" w:color="4BACC6"/>
              <w:right w:val="single" w:sz="8" w:space="0" w:color="4BACC6"/>
            </w:tcBorders>
            <w:shd w:val="clear" w:color="auto" w:fill="auto"/>
            <w:noWrap/>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0</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32.60%</w:t>
            </w:r>
          </w:p>
        </w:tc>
        <w:tc>
          <w:tcPr>
            <w:tcW w:w="1021" w:type="dxa"/>
            <w:tcBorders>
              <w:top w:val="nil"/>
              <w:left w:val="nil"/>
              <w:bottom w:val="single" w:sz="8" w:space="0" w:color="4BACC6"/>
              <w:right w:val="single" w:sz="8" w:space="0" w:color="4BACC6"/>
            </w:tcBorders>
            <w:shd w:val="clear" w:color="auto" w:fill="auto"/>
            <w:vAlign w:val="center"/>
            <w:hideMark/>
          </w:tcPr>
          <w:p w:rsidR="00340D6B" w:rsidRPr="009638F4" w:rsidRDefault="00340D6B" w:rsidP="00340D6B">
            <w:pPr>
              <w:jc w:val="center"/>
              <w:rPr>
                <w:rFonts w:asciiTheme="minorHAnsi" w:hAnsiTheme="minorHAnsi"/>
                <w:sz w:val="18"/>
              </w:rPr>
            </w:pPr>
            <w:r w:rsidRPr="009638F4">
              <w:rPr>
                <w:rFonts w:asciiTheme="minorHAnsi" w:hAnsiTheme="minorHAnsi"/>
                <w:sz w:val="18"/>
                <w:lang w:val="sq-AL"/>
              </w:rPr>
              <w:t>0.00%</w:t>
            </w:r>
          </w:p>
        </w:tc>
      </w:tr>
      <w:tr w:rsidR="00340D6B" w:rsidRPr="009638F4" w:rsidTr="00340D6B">
        <w:trPr>
          <w:trHeight w:val="248"/>
        </w:trPr>
        <w:tc>
          <w:tcPr>
            <w:tcW w:w="3275" w:type="dxa"/>
            <w:tcBorders>
              <w:top w:val="nil"/>
              <w:left w:val="single" w:sz="8" w:space="0" w:color="4BACC6"/>
              <w:bottom w:val="nil"/>
              <w:right w:val="single" w:sz="8" w:space="0" w:color="4BACC6"/>
            </w:tcBorders>
            <w:shd w:val="clear" w:color="000000" w:fill="FFFFFF"/>
            <w:vAlign w:val="center"/>
            <w:hideMark/>
          </w:tcPr>
          <w:p w:rsidR="00340D6B" w:rsidRPr="009638F4" w:rsidRDefault="00340D6B" w:rsidP="00340D6B">
            <w:pPr>
              <w:jc w:val="center"/>
              <w:rPr>
                <w:rFonts w:asciiTheme="minorHAnsi" w:hAnsiTheme="minorHAnsi"/>
                <w:b/>
                <w:bCs/>
                <w:sz w:val="18"/>
              </w:rPr>
            </w:pPr>
            <w:r w:rsidRPr="009638F4">
              <w:rPr>
                <w:rFonts w:asciiTheme="minorHAnsi" w:hAnsiTheme="minorHAnsi"/>
                <w:b/>
                <w:bCs/>
                <w:sz w:val="18"/>
                <w:lang w:val="sq-AL"/>
              </w:rPr>
              <w:t>Total</w:t>
            </w:r>
          </w:p>
        </w:tc>
        <w:tc>
          <w:tcPr>
            <w:tcW w:w="1532" w:type="dxa"/>
            <w:tcBorders>
              <w:top w:val="nil"/>
              <w:left w:val="nil"/>
              <w:bottom w:val="nil"/>
              <w:right w:val="single" w:sz="8" w:space="0" w:color="4BACC6"/>
            </w:tcBorders>
            <w:shd w:val="clear" w:color="auto" w:fill="auto"/>
            <w:vAlign w:val="center"/>
            <w:hideMark/>
          </w:tcPr>
          <w:p w:rsidR="00340D6B" w:rsidRPr="009638F4" w:rsidRDefault="00340D6B" w:rsidP="00340D6B">
            <w:pPr>
              <w:jc w:val="center"/>
              <w:rPr>
                <w:rFonts w:asciiTheme="minorHAnsi" w:hAnsiTheme="minorHAnsi"/>
                <w:b/>
                <w:bCs/>
                <w:sz w:val="18"/>
              </w:rPr>
            </w:pPr>
            <w:r w:rsidRPr="009638F4">
              <w:rPr>
                <w:rFonts w:asciiTheme="minorHAnsi" w:hAnsiTheme="minorHAnsi"/>
                <w:b/>
                <w:bCs/>
                <w:sz w:val="18"/>
                <w:lang w:val="sq-AL"/>
              </w:rPr>
              <w:t>19,736,500</w:t>
            </w:r>
          </w:p>
        </w:tc>
        <w:tc>
          <w:tcPr>
            <w:tcW w:w="1021" w:type="dxa"/>
            <w:tcBorders>
              <w:top w:val="nil"/>
              <w:left w:val="nil"/>
              <w:bottom w:val="nil"/>
              <w:right w:val="single" w:sz="8" w:space="0" w:color="4BACC6"/>
            </w:tcBorders>
            <w:shd w:val="clear" w:color="auto" w:fill="auto"/>
            <w:vAlign w:val="center"/>
            <w:hideMark/>
          </w:tcPr>
          <w:p w:rsidR="00340D6B" w:rsidRPr="009638F4" w:rsidRDefault="00340D6B" w:rsidP="00340D6B">
            <w:pPr>
              <w:jc w:val="center"/>
              <w:rPr>
                <w:rFonts w:asciiTheme="minorHAnsi" w:hAnsiTheme="minorHAnsi"/>
                <w:b/>
                <w:bCs/>
                <w:sz w:val="18"/>
              </w:rPr>
            </w:pPr>
            <w:r w:rsidRPr="009638F4">
              <w:rPr>
                <w:rFonts w:asciiTheme="minorHAnsi" w:hAnsiTheme="minorHAnsi"/>
                <w:b/>
                <w:bCs/>
                <w:sz w:val="18"/>
                <w:lang w:val="sq-AL"/>
              </w:rPr>
              <w:t>5,010,500</w:t>
            </w:r>
          </w:p>
        </w:tc>
        <w:tc>
          <w:tcPr>
            <w:tcW w:w="1021" w:type="dxa"/>
            <w:tcBorders>
              <w:top w:val="nil"/>
              <w:left w:val="nil"/>
              <w:bottom w:val="nil"/>
              <w:right w:val="single" w:sz="8" w:space="0" w:color="4BACC6"/>
            </w:tcBorders>
            <w:shd w:val="clear" w:color="auto" w:fill="auto"/>
            <w:vAlign w:val="center"/>
            <w:hideMark/>
          </w:tcPr>
          <w:p w:rsidR="00340D6B" w:rsidRPr="009638F4" w:rsidRDefault="00340D6B" w:rsidP="00340D6B">
            <w:pPr>
              <w:jc w:val="center"/>
              <w:rPr>
                <w:rFonts w:asciiTheme="minorHAnsi" w:hAnsiTheme="minorHAnsi"/>
                <w:b/>
                <w:bCs/>
                <w:sz w:val="18"/>
              </w:rPr>
            </w:pPr>
            <w:r w:rsidRPr="009638F4">
              <w:rPr>
                <w:rFonts w:asciiTheme="minorHAnsi" w:hAnsiTheme="minorHAnsi"/>
                <w:b/>
                <w:bCs/>
                <w:sz w:val="18"/>
                <w:lang w:val="sq-AL"/>
              </w:rPr>
              <w:t>5,434,190</w:t>
            </w:r>
          </w:p>
        </w:tc>
        <w:tc>
          <w:tcPr>
            <w:tcW w:w="1038" w:type="dxa"/>
            <w:tcBorders>
              <w:top w:val="nil"/>
              <w:left w:val="nil"/>
              <w:bottom w:val="nil"/>
              <w:right w:val="single" w:sz="8" w:space="0" w:color="4BACC6"/>
            </w:tcBorders>
            <w:shd w:val="clear" w:color="auto" w:fill="auto"/>
            <w:vAlign w:val="center"/>
            <w:hideMark/>
          </w:tcPr>
          <w:p w:rsidR="00340D6B" w:rsidRPr="009638F4" w:rsidRDefault="00340D6B" w:rsidP="00340D6B">
            <w:pPr>
              <w:jc w:val="center"/>
              <w:rPr>
                <w:rFonts w:asciiTheme="minorHAnsi" w:hAnsiTheme="minorHAnsi"/>
                <w:b/>
                <w:bCs/>
                <w:sz w:val="18"/>
              </w:rPr>
            </w:pPr>
            <w:r w:rsidRPr="009638F4">
              <w:rPr>
                <w:rFonts w:asciiTheme="minorHAnsi" w:hAnsiTheme="minorHAnsi"/>
                <w:b/>
                <w:bCs/>
                <w:sz w:val="18"/>
                <w:lang w:val="sq-AL"/>
              </w:rPr>
              <w:t>1,001,675</w:t>
            </w:r>
          </w:p>
        </w:tc>
        <w:tc>
          <w:tcPr>
            <w:tcW w:w="1021" w:type="dxa"/>
            <w:tcBorders>
              <w:top w:val="nil"/>
              <w:left w:val="nil"/>
              <w:bottom w:val="nil"/>
              <w:right w:val="single" w:sz="8" w:space="0" w:color="4BACC6"/>
            </w:tcBorders>
            <w:shd w:val="clear" w:color="auto" w:fill="auto"/>
            <w:vAlign w:val="center"/>
            <w:hideMark/>
          </w:tcPr>
          <w:p w:rsidR="00340D6B" w:rsidRPr="009638F4" w:rsidRDefault="00340D6B" w:rsidP="00340D6B">
            <w:pPr>
              <w:jc w:val="center"/>
              <w:rPr>
                <w:rFonts w:asciiTheme="minorHAnsi" w:hAnsiTheme="minorHAnsi"/>
                <w:b/>
                <w:bCs/>
                <w:sz w:val="18"/>
              </w:rPr>
            </w:pPr>
            <w:r w:rsidRPr="009638F4">
              <w:rPr>
                <w:rFonts w:asciiTheme="minorHAnsi" w:hAnsiTheme="minorHAnsi"/>
                <w:b/>
                <w:bCs/>
                <w:sz w:val="18"/>
                <w:lang w:val="sq-AL"/>
              </w:rPr>
              <w:t>27.53%</w:t>
            </w:r>
          </w:p>
        </w:tc>
        <w:tc>
          <w:tcPr>
            <w:tcW w:w="1021" w:type="dxa"/>
            <w:tcBorders>
              <w:top w:val="nil"/>
              <w:left w:val="nil"/>
              <w:bottom w:val="nil"/>
              <w:right w:val="single" w:sz="8" w:space="0" w:color="4BACC6"/>
            </w:tcBorders>
            <w:shd w:val="clear" w:color="auto" w:fill="auto"/>
            <w:vAlign w:val="center"/>
            <w:hideMark/>
          </w:tcPr>
          <w:p w:rsidR="00340D6B" w:rsidRPr="009638F4" w:rsidRDefault="00340D6B" w:rsidP="00340D6B">
            <w:pPr>
              <w:jc w:val="center"/>
              <w:rPr>
                <w:rFonts w:asciiTheme="minorHAnsi" w:hAnsiTheme="minorHAnsi"/>
                <w:b/>
                <w:bCs/>
                <w:sz w:val="18"/>
              </w:rPr>
            </w:pPr>
            <w:r w:rsidRPr="009638F4">
              <w:rPr>
                <w:rFonts w:asciiTheme="minorHAnsi" w:hAnsiTheme="minorHAnsi"/>
                <w:b/>
                <w:bCs/>
                <w:sz w:val="18"/>
                <w:lang w:val="sq-AL"/>
              </w:rPr>
              <w:t>19.99%</w:t>
            </w:r>
          </w:p>
        </w:tc>
      </w:tr>
    </w:tbl>
    <w:p w:rsidR="00340D6B" w:rsidRDefault="00340D6B" w:rsidP="006F25E7">
      <w:pPr>
        <w:spacing w:line="276" w:lineRule="auto"/>
        <w:jc w:val="both"/>
        <w:rPr>
          <w:rFonts w:asciiTheme="minorHAnsi" w:hAnsiTheme="minorHAnsi"/>
          <w:lang w:val="sq-AL"/>
        </w:rPr>
      </w:pPr>
    </w:p>
    <w:p w:rsidR="00990CDF" w:rsidRPr="00BF005F" w:rsidRDefault="00990CDF" w:rsidP="006F25E7">
      <w:pPr>
        <w:spacing w:line="276" w:lineRule="auto"/>
        <w:jc w:val="both"/>
        <w:rPr>
          <w:rFonts w:asciiTheme="minorHAnsi" w:hAnsiTheme="minorHAnsi"/>
          <w:lang w:val="sq-AL"/>
        </w:rPr>
      </w:pPr>
      <w:r w:rsidRPr="00BF005F">
        <w:rPr>
          <w:rFonts w:asciiTheme="minorHAnsi" w:hAnsiTheme="minorHAnsi"/>
          <w:lang w:val="sq-AL"/>
        </w:rPr>
        <w:lastRenderedPageBreak/>
        <w:t>Sipas të dhënave, realizimi faktik i shpenzimeve korente paraqitet në mesataren e periudhës, ndërsa investimet pritet të kenë realizim më të lartë në periudhën në vazhdim.</w:t>
      </w:r>
    </w:p>
    <w:p w:rsidR="00990CDF" w:rsidRPr="009638F4" w:rsidRDefault="00990CDF" w:rsidP="006F25E7">
      <w:pPr>
        <w:spacing w:line="276" w:lineRule="auto"/>
        <w:jc w:val="both"/>
        <w:rPr>
          <w:rFonts w:asciiTheme="minorHAnsi" w:hAnsiTheme="minorHAnsi"/>
          <w:sz w:val="8"/>
          <w:szCs w:val="8"/>
          <w:lang w:val="sq-AL"/>
        </w:rPr>
      </w:pPr>
    </w:p>
    <w:p w:rsidR="009638F4" w:rsidRDefault="00CF57B7" w:rsidP="006F25E7">
      <w:pPr>
        <w:spacing w:line="276" w:lineRule="auto"/>
        <w:jc w:val="both"/>
        <w:rPr>
          <w:rFonts w:asciiTheme="minorHAnsi" w:hAnsiTheme="minorHAnsi" w:cstheme="minorHAnsi"/>
          <w:color w:val="000000"/>
          <w:lang w:val="sq-AL"/>
        </w:rPr>
      </w:pPr>
      <w:r>
        <w:rPr>
          <w:rFonts w:asciiTheme="minorHAnsi" w:hAnsiTheme="minorHAnsi" w:cstheme="minorHAnsi"/>
          <w:lang w:val="sq-AL"/>
        </w:rPr>
        <w:t>Për vitin 2021 objektivi kryesor</w:t>
      </w:r>
      <w:r w:rsidR="00990CDF" w:rsidRPr="00BF005F">
        <w:rPr>
          <w:rFonts w:asciiTheme="minorHAnsi" w:hAnsiTheme="minorHAnsi" w:cstheme="minorHAnsi"/>
          <w:lang w:val="sq-AL"/>
        </w:rPr>
        <w:t xml:space="preserve"> në programin “</w:t>
      </w:r>
      <w:r w:rsidR="00990CDF" w:rsidRPr="00BF005F">
        <w:rPr>
          <w:rFonts w:asciiTheme="minorHAnsi" w:hAnsiTheme="minorHAnsi" w:cstheme="minorHAnsi"/>
          <w:b/>
          <w:lang w:val="sq-AL"/>
        </w:rPr>
        <w:t>Planifikimi menaxhimi administrimi</w:t>
      </w:r>
      <w:r w:rsidR="00990CDF" w:rsidRPr="00BF005F">
        <w:rPr>
          <w:rFonts w:asciiTheme="minorHAnsi" w:hAnsiTheme="minorHAnsi" w:cstheme="minorHAnsi"/>
          <w:lang w:val="sq-AL"/>
        </w:rPr>
        <w:t xml:space="preserve">” </w:t>
      </w:r>
      <w:r>
        <w:rPr>
          <w:rFonts w:asciiTheme="minorHAnsi" w:hAnsiTheme="minorHAnsi" w:cstheme="minorHAnsi"/>
          <w:lang w:val="sq-AL"/>
        </w:rPr>
        <w:t>është</w:t>
      </w:r>
      <w:r w:rsidR="009638F4">
        <w:rPr>
          <w:rFonts w:asciiTheme="minorHAnsi" w:hAnsiTheme="minorHAnsi" w:cstheme="minorHAnsi"/>
          <w:lang w:val="sq-AL"/>
        </w:rPr>
        <w:t xml:space="preserve"> </w:t>
      </w:r>
      <w:r w:rsidR="00990CDF" w:rsidRPr="00BF005F">
        <w:rPr>
          <w:rFonts w:asciiTheme="minorHAnsi" w:hAnsiTheme="minorHAnsi" w:cstheme="minorHAnsi"/>
          <w:color w:val="000000"/>
          <w:lang w:val="sq-AL"/>
        </w:rPr>
        <w:t>Menaxhimi me efiçenc</w:t>
      </w:r>
      <w:r>
        <w:rPr>
          <w:rFonts w:asciiTheme="minorHAnsi" w:hAnsiTheme="minorHAnsi" w:cstheme="minorHAnsi"/>
          <w:color w:val="000000"/>
          <w:lang w:val="sq-AL"/>
        </w:rPr>
        <w:t>ë</w:t>
      </w:r>
      <w:r w:rsidR="00990CDF" w:rsidRPr="00BF005F">
        <w:rPr>
          <w:rFonts w:asciiTheme="minorHAnsi" w:hAnsiTheme="minorHAnsi" w:cstheme="minorHAnsi"/>
          <w:color w:val="000000"/>
          <w:lang w:val="sq-AL"/>
        </w:rPr>
        <w:t xml:space="preserve"> dhe efektivitet i burimeve njerëzore dhe financiare. </w:t>
      </w:r>
    </w:p>
    <w:p w:rsidR="009638F4" w:rsidRPr="009638F4" w:rsidRDefault="009638F4" w:rsidP="006F25E7">
      <w:pPr>
        <w:spacing w:line="276" w:lineRule="auto"/>
        <w:jc w:val="both"/>
        <w:rPr>
          <w:rFonts w:asciiTheme="minorHAnsi" w:hAnsiTheme="minorHAnsi" w:cstheme="minorHAnsi"/>
          <w:color w:val="000000"/>
          <w:sz w:val="8"/>
          <w:szCs w:val="8"/>
          <w:lang w:val="sq-AL"/>
        </w:rPr>
      </w:pPr>
    </w:p>
    <w:p w:rsidR="00990CDF" w:rsidRPr="009638F4" w:rsidRDefault="00990CDF" w:rsidP="006F25E7">
      <w:pPr>
        <w:spacing w:line="276" w:lineRule="auto"/>
        <w:jc w:val="both"/>
        <w:rPr>
          <w:rFonts w:asciiTheme="minorHAnsi" w:hAnsiTheme="minorHAnsi" w:cstheme="minorHAnsi"/>
          <w:lang w:val="sq-AL"/>
        </w:rPr>
      </w:pPr>
      <w:r w:rsidRPr="00BF005F">
        <w:rPr>
          <w:rFonts w:asciiTheme="minorHAnsi" w:hAnsiTheme="minorHAnsi" w:cstheme="minorHAnsi"/>
          <w:color w:val="000000"/>
          <w:lang w:val="sq-AL"/>
        </w:rPr>
        <w:t xml:space="preserve">Treguesit e performancës për këtë objektiv: </w:t>
      </w:r>
    </w:p>
    <w:p w:rsidR="00990CDF" w:rsidRPr="00BF005F" w:rsidRDefault="00990CDF" w:rsidP="00020968">
      <w:pPr>
        <w:numPr>
          <w:ilvl w:val="0"/>
          <w:numId w:val="26"/>
        </w:numPr>
        <w:spacing w:after="200"/>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Rritja e % e punonjësve të trajnuar kundrejt totalit.</w:t>
      </w:r>
    </w:p>
    <w:p w:rsidR="00990CDF" w:rsidRPr="00BF005F" w:rsidRDefault="00990CDF" w:rsidP="00020968">
      <w:pPr>
        <w:numPr>
          <w:ilvl w:val="0"/>
          <w:numId w:val="26"/>
        </w:numPr>
        <w:spacing w:after="200"/>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Numër raportesh vlerësimi të kryera,</w:t>
      </w:r>
    </w:p>
    <w:p w:rsidR="00990CDF" w:rsidRPr="00BF005F" w:rsidRDefault="00990CDF" w:rsidP="00020968">
      <w:pPr>
        <w:numPr>
          <w:ilvl w:val="0"/>
          <w:numId w:val="26"/>
        </w:numPr>
        <w:spacing w:after="200"/>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Numër Aktesh  ligjore e nënligjore të përgatitura kundrejt planifikimit,</w:t>
      </w:r>
    </w:p>
    <w:p w:rsidR="00990CDF" w:rsidRPr="00BF005F" w:rsidRDefault="00990CDF" w:rsidP="00020968">
      <w:pPr>
        <w:numPr>
          <w:ilvl w:val="0"/>
          <w:numId w:val="26"/>
        </w:numPr>
        <w:spacing w:after="200"/>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Numër Auditimesh  të kryera kundrejt planifikimit,</w:t>
      </w:r>
    </w:p>
    <w:p w:rsidR="00990CDF" w:rsidRPr="00BF005F" w:rsidRDefault="00990CDF" w:rsidP="00020968">
      <w:pPr>
        <w:numPr>
          <w:ilvl w:val="0"/>
          <w:numId w:val="26"/>
        </w:numPr>
        <w:spacing w:after="200"/>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Rritja e numrit të  personave  të rekrutuar,</w:t>
      </w:r>
    </w:p>
    <w:p w:rsidR="00990CDF" w:rsidRPr="00BF005F" w:rsidRDefault="00990CDF" w:rsidP="00020968">
      <w:pPr>
        <w:numPr>
          <w:ilvl w:val="0"/>
          <w:numId w:val="26"/>
        </w:numPr>
        <w:spacing w:after="200"/>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Rritja e numrit të  Marrëveshjeve të realizuara kundrejt planifikimit.</w:t>
      </w:r>
    </w:p>
    <w:p w:rsidR="00990CDF" w:rsidRPr="009638F4" w:rsidRDefault="00990CDF" w:rsidP="006F25E7">
      <w:pPr>
        <w:autoSpaceDE w:val="0"/>
        <w:autoSpaceDN w:val="0"/>
        <w:adjustRightInd w:val="0"/>
        <w:spacing w:line="276" w:lineRule="auto"/>
        <w:jc w:val="both"/>
        <w:rPr>
          <w:rFonts w:asciiTheme="minorHAnsi" w:hAnsiTheme="minorHAnsi" w:cstheme="minorHAnsi"/>
          <w:sz w:val="8"/>
          <w:szCs w:val="8"/>
          <w:lang w:val="sq-AL"/>
        </w:rPr>
      </w:pPr>
    </w:p>
    <w:p w:rsidR="00990CDF" w:rsidRPr="00BF005F" w:rsidRDefault="00990CDF" w:rsidP="006F25E7">
      <w:pPr>
        <w:autoSpaceDE w:val="0"/>
        <w:autoSpaceDN w:val="0"/>
        <w:adjustRightInd w:val="0"/>
        <w:spacing w:line="276" w:lineRule="auto"/>
        <w:jc w:val="both"/>
        <w:rPr>
          <w:rFonts w:asciiTheme="minorHAnsi" w:hAnsiTheme="minorHAnsi" w:cstheme="minorHAnsi"/>
          <w:lang w:val="sq-AL"/>
        </w:rPr>
      </w:pPr>
      <w:r w:rsidRPr="00BF005F">
        <w:rPr>
          <w:rFonts w:asciiTheme="minorHAnsi" w:hAnsiTheme="minorHAnsi" w:cstheme="minorHAnsi"/>
          <w:lang w:val="sq-AL"/>
        </w:rPr>
        <w:t>Për ketë program buxhetor janë parashikuar 5 produkte si më poshtë:</w:t>
      </w:r>
    </w:p>
    <w:p w:rsidR="00990CDF" w:rsidRPr="00BF005F" w:rsidRDefault="00990CDF" w:rsidP="00020968">
      <w:pPr>
        <w:numPr>
          <w:ilvl w:val="0"/>
          <w:numId w:val="26"/>
        </w:numPr>
        <w:spacing w:after="200"/>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Akte ligjore e nënligjore te përgatitura nga Ministria e Mbrojtjes</w:t>
      </w:r>
    </w:p>
    <w:p w:rsidR="00990CDF" w:rsidRPr="00BF005F" w:rsidRDefault="00990CDF" w:rsidP="00020968">
      <w:pPr>
        <w:numPr>
          <w:ilvl w:val="0"/>
          <w:numId w:val="26"/>
        </w:numPr>
        <w:spacing w:after="200"/>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 xml:space="preserve">Marrëveshje ndërkombëtare të nënshkruara </w:t>
      </w:r>
    </w:p>
    <w:p w:rsidR="00990CDF" w:rsidRPr="00BF005F" w:rsidRDefault="00990CDF" w:rsidP="00020968">
      <w:pPr>
        <w:numPr>
          <w:ilvl w:val="0"/>
          <w:numId w:val="26"/>
        </w:numPr>
        <w:spacing w:after="200"/>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Sisteme te mirëmbajtura për aparatin e  Ministrisë së Mbrojtjes</w:t>
      </w:r>
    </w:p>
    <w:p w:rsidR="00990CDF" w:rsidRPr="00BF005F" w:rsidRDefault="00990CDF" w:rsidP="00020968">
      <w:pPr>
        <w:numPr>
          <w:ilvl w:val="0"/>
          <w:numId w:val="26"/>
        </w:numPr>
        <w:spacing w:after="200"/>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 xml:space="preserve">Përmirësimi ne hardware/software dhe ndërtime të dhomave të serverëve </w:t>
      </w:r>
    </w:p>
    <w:p w:rsidR="00990CDF" w:rsidRPr="00BF005F" w:rsidRDefault="00990CDF" w:rsidP="00020968">
      <w:pPr>
        <w:numPr>
          <w:ilvl w:val="0"/>
          <w:numId w:val="26"/>
        </w:numPr>
        <w:spacing w:after="200"/>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Sistemi i automatizimit të Burimeve të Mbrojtjes (j-6)</w:t>
      </w:r>
    </w:p>
    <w:p w:rsidR="00990CDF" w:rsidRPr="009638F4" w:rsidRDefault="00990CDF" w:rsidP="006F25E7">
      <w:pPr>
        <w:spacing w:after="200" w:line="276" w:lineRule="auto"/>
        <w:ind w:left="90"/>
        <w:contextualSpacing/>
        <w:jc w:val="both"/>
        <w:rPr>
          <w:rFonts w:asciiTheme="minorHAnsi" w:eastAsiaTheme="minorHAnsi" w:hAnsiTheme="minorHAnsi"/>
          <w:i/>
          <w:sz w:val="8"/>
          <w:szCs w:val="8"/>
          <w:lang w:val="sq-AL"/>
        </w:rPr>
      </w:pPr>
    </w:p>
    <w:p w:rsidR="00990CDF" w:rsidRPr="00BF005F" w:rsidRDefault="00990CDF" w:rsidP="006F25E7">
      <w:pPr>
        <w:autoSpaceDE w:val="0"/>
        <w:autoSpaceDN w:val="0"/>
        <w:adjustRightInd w:val="0"/>
        <w:spacing w:line="276" w:lineRule="auto"/>
        <w:jc w:val="both"/>
        <w:rPr>
          <w:rFonts w:asciiTheme="minorHAnsi" w:hAnsiTheme="minorHAnsi" w:cstheme="minorHAnsi"/>
          <w:lang w:val="sq-AL"/>
        </w:rPr>
      </w:pPr>
      <w:r w:rsidRPr="00BF005F">
        <w:rPr>
          <w:rFonts w:asciiTheme="minorHAnsi" w:hAnsiTheme="minorHAnsi" w:cstheme="minorHAnsi"/>
          <w:lang w:val="sq-AL"/>
        </w:rPr>
        <w:t>Realizimi i fondeve buxhetore në këtë program buxhetor për grupin e shpenzimeve korente rezulton në masën 24 përqind, ndërkohë për grupin e projekteve dhe invstimeve ka mosrealizim të fondeve.</w:t>
      </w:r>
      <w:r w:rsidRPr="00BF005F">
        <w:rPr>
          <w:rFonts w:asciiTheme="minorHAnsi" w:eastAsiaTheme="minorHAnsi" w:hAnsiTheme="minorHAnsi" w:cstheme="minorBidi"/>
          <w:lang w:val="sq-AL"/>
        </w:rPr>
        <w:t xml:space="preserve"> </w:t>
      </w:r>
    </w:p>
    <w:p w:rsidR="00990CDF" w:rsidRPr="009638F4" w:rsidRDefault="00990CDF" w:rsidP="006F25E7">
      <w:pPr>
        <w:autoSpaceDE w:val="0"/>
        <w:autoSpaceDN w:val="0"/>
        <w:adjustRightInd w:val="0"/>
        <w:spacing w:line="276" w:lineRule="auto"/>
        <w:jc w:val="both"/>
        <w:rPr>
          <w:rFonts w:asciiTheme="minorHAnsi" w:hAnsiTheme="minorHAnsi" w:cstheme="minorHAnsi"/>
          <w:sz w:val="8"/>
          <w:szCs w:val="8"/>
          <w:lang w:val="sq-AL"/>
        </w:rPr>
      </w:pPr>
    </w:p>
    <w:p w:rsidR="009638F4" w:rsidRDefault="00990CDF" w:rsidP="006F25E7">
      <w:pPr>
        <w:autoSpaceDE w:val="0"/>
        <w:autoSpaceDN w:val="0"/>
        <w:adjustRightInd w:val="0"/>
        <w:spacing w:line="276" w:lineRule="auto"/>
        <w:contextualSpacing/>
        <w:jc w:val="both"/>
        <w:rPr>
          <w:rFonts w:asciiTheme="minorHAnsi" w:hAnsiTheme="minorHAnsi" w:cstheme="minorHAnsi"/>
          <w:lang w:val="sq-AL"/>
        </w:rPr>
      </w:pPr>
      <w:r w:rsidRPr="00BF005F">
        <w:rPr>
          <w:rFonts w:asciiTheme="minorHAnsi" w:hAnsiTheme="minorHAnsi" w:cstheme="minorHAnsi"/>
          <w:lang w:val="sq-AL"/>
        </w:rPr>
        <w:t>Fondet e akorduara për programin “</w:t>
      </w:r>
      <w:r w:rsidRPr="00BF005F">
        <w:rPr>
          <w:rFonts w:asciiTheme="minorHAnsi" w:hAnsiTheme="minorHAnsi" w:cstheme="minorHAnsi"/>
          <w:b/>
          <w:lang w:val="sq-AL"/>
        </w:rPr>
        <w:t>Forca e Luftimit</w:t>
      </w:r>
      <w:r w:rsidRPr="00BF005F">
        <w:rPr>
          <w:rFonts w:asciiTheme="minorHAnsi" w:hAnsiTheme="minorHAnsi" w:cstheme="minorHAnsi"/>
          <w:lang w:val="sq-AL"/>
        </w:rPr>
        <w:t xml:space="preserve">” përbëjnë rreth 35 </w:t>
      </w:r>
      <w:r w:rsidRPr="00BF005F">
        <w:rPr>
          <w:rFonts w:asciiTheme="minorHAnsi" w:hAnsiTheme="minorHAnsi" w:cstheme="minorHAnsi"/>
          <w:color w:val="000000"/>
          <w:lang w:val="sq-AL" w:eastAsia="en-GB"/>
        </w:rPr>
        <w:t>përqind</w:t>
      </w:r>
      <w:r w:rsidRPr="00BF005F">
        <w:rPr>
          <w:rFonts w:asciiTheme="minorHAnsi" w:hAnsiTheme="minorHAnsi" w:cstheme="minorHAnsi"/>
          <w:lang w:val="sq-AL"/>
        </w:rPr>
        <w:t xml:space="preserve"> të buxhetit me ndryshime të miratuar për Ministrinë e Mbrojtjes për vitin 2021. Programi Forcat e Luftimit ka parashikuar objektiva specifike dhe plane veprimi për realizimin e tyre. </w:t>
      </w:r>
    </w:p>
    <w:p w:rsidR="009638F4" w:rsidRPr="00020968" w:rsidRDefault="009638F4" w:rsidP="006F25E7">
      <w:pPr>
        <w:autoSpaceDE w:val="0"/>
        <w:autoSpaceDN w:val="0"/>
        <w:adjustRightInd w:val="0"/>
        <w:spacing w:line="276" w:lineRule="auto"/>
        <w:contextualSpacing/>
        <w:jc w:val="both"/>
        <w:rPr>
          <w:rFonts w:asciiTheme="minorHAnsi" w:hAnsiTheme="minorHAnsi" w:cstheme="minorHAnsi"/>
          <w:sz w:val="8"/>
          <w:szCs w:val="8"/>
          <w:lang w:val="sq-AL"/>
        </w:rPr>
      </w:pPr>
    </w:p>
    <w:p w:rsidR="00990CDF" w:rsidRPr="00BF005F" w:rsidRDefault="00990CDF" w:rsidP="006F25E7">
      <w:pPr>
        <w:autoSpaceDE w:val="0"/>
        <w:autoSpaceDN w:val="0"/>
        <w:adjustRightInd w:val="0"/>
        <w:spacing w:line="276" w:lineRule="auto"/>
        <w:contextualSpacing/>
        <w:jc w:val="both"/>
        <w:rPr>
          <w:rFonts w:asciiTheme="minorHAnsi" w:hAnsiTheme="minorHAnsi" w:cstheme="minorHAnsi"/>
          <w:lang w:val="sq-AL"/>
        </w:rPr>
      </w:pPr>
      <w:r w:rsidRPr="00BF005F">
        <w:rPr>
          <w:rFonts w:asciiTheme="minorHAnsi" w:hAnsiTheme="minorHAnsi" w:cstheme="minorHAnsi"/>
          <w:lang w:val="sq-AL"/>
        </w:rPr>
        <w:t>Objektivat e këtij programi për vitin 2021 janë:</w:t>
      </w:r>
    </w:p>
    <w:p w:rsidR="00990CDF" w:rsidRPr="00BF005F" w:rsidRDefault="00990CDF" w:rsidP="007F0B61">
      <w:pPr>
        <w:numPr>
          <w:ilvl w:val="0"/>
          <w:numId w:val="26"/>
        </w:numPr>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Mbajtja në gatishmëri dhe përmirësimi i kapaciteteve Operacionale të Forcës Tokësore</w:t>
      </w:r>
    </w:p>
    <w:p w:rsidR="00990CDF" w:rsidRPr="00BF005F" w:rsidRDefault="00990CDF" w:rsidP="007F0B61">
      <w:pPr>
        <w:numPr>
          <w:ilvl w:val="0"/>
          <w:numId w:val="26"/>
        </w:numPr>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Mbajtja në gatishmëri dhe përmirësimi i kapaciteteve Operacionale të Forcës Detare</w:t>
      </w:r>
    </w:p>
    <w:p w:rsidR="00990CDF" w:rsidRPr="00BF005F" w:rsidRDefault="00990CDF" w:rsidP="007F0B61">
      <w:pPr>
        <w:numPr>
          <w:ilvl w:val="0"/>
          <w:numId w:val="26"/>
        </w:numPr>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Mbajtja në gatishmëri dhe përmirësimi i kapaciteteve Operacionale të Forcës Ajrore</w:t>
      </w:r>
    </w:p>
    <w:p w:rsidR="00990CDF" w:rsidRPr="009638F4" w:rsidRDefault="00990CDF" w:rsidP="006F25E7">
      <w:pPr>
        <w:spacing w:line="276" w:lineRule="auto"/>
        <w:jc w:val="both"/>
        <w:rPr>
          <w:rFonts w:asciiTheme="minorHAnsi" w:hAnsiTheme="minorHAnsi" w:cstheme="minorHAnsi"/>
          <w:color w:val="000000"/>
          <w:sz w:val="8"/>
          <w:szCs w:val="8"/>
          <w:lang w:val="sq-AL"/>
        </w:rPr>
      </w:pPr>
    </w:p>
    <w:p w:rsidR="00990CDF" w:rsidRPr="00BF005F" w:rsidRDefault="00990CDF" w:rsidP="006F25E7">
      <w:pPr>
        <w:spacing w:line="276" w:lineRule="auto"/>
        <w:jc w:val="both"/>
        <w:rPr>
          <w:rFonts w:asciiTheme="minorHAnsi" w:hAnsiTheme="minorHAnsi" w:cstheme="minorHAnsi"/>
          <w:color w:val="000000"/>
          <w:lang w:val="sq-AL"/>
        </w:rPr>
      </w:pPr>
      <w:r w:rsidRPr="00BF005F">
        <w:rPr>
          <w:rFonts w:asciiTheme="minorHAnsi" w:hAnsiTheme="minorHAnsi" w:cstheme="minorHAnsi"/>
          <w:color w:val="000000"/>
          <w:lang w:val="sq-AL"/>
        </w:rPr>
        <w:t>Treguesit e performancës për këto objektiva:</w:t>
      </w:r>
    </w:p>
    <w:p w:rsidR="00990CDF" w:rsidRPr="00BF005F" w:rsidRDefault="00990CDF" w:rsidP="007F0B61">
      <w:pPr>
        <w:numPr>
          <w:ilvl w:val="0"/>
          <w:numId w:val="26"/>
        </w:numPr>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Përgatitja e trupave për misione paqeruajtëse.</w:t>
      </w:r>
    </w:p>
    <w:p w:rsidR="00990CDF" w:rsidRPr="00BF005F" w:rsidRDefault="00990CDF" w:rsidP="007F0B61">
      <w:pPr>
        <w:numPr>
          <w:ilvl w:val="0"/>
          <w:numId w:val="26"/>
        </w:numPr>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Aftësia dislokuese e trupave për përmbushjen e misionit në një kohë rekord.</w:t>
      </w:r>
    </w:p>
    <w:p w:rsidR="00990CDF" w:rsidRPr="00BF005F" w:rsidRDefault="00990CDF" w:rsidP="007F0B61">
      <w:pPr>
        <w:numPr>
          <w:ilvl w:val="0"/>
          <w:numId w:val="26"/>
        </w:numPr>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Ndërveprueshmëria e trupave për përmbushjen e misioneve në det.</w:t>
      </w:r>
    </w:p>
    <w:p w:rsidR="00990CDF" w:rsidRPr="00BF005F" w:rsidRDefault="00990CDF" w:rsidP="007F0B61">
      <w:pPr>
        <w:numPr>
          <w:ilvl w:val="0"/>
          <w:numId w:val="26"/>
        </w:numPr>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Kontrolli i hapësirës ajrore të Republikës së Shqipërisë.</w:t>
      </w:r>
    </w:p>
    <w:p w:rsidR="00990CDF" w:rsidRPr="009638F4" w:rsidRDefault="00990CDF" w:rsidP="006F25E7">
      <w:pPr>
        <w:spacing w:line="276" w:lineRule="auto"/>
        <w:jc w:val="both"/>
        <w:rPr>
          <w:rFonts w:asciiTheme="minorHAnsi" w:hAnsiTheme="minorHAnsi" w:cstheme="minorHAnsi"/>
          <w:sz w:val="8"/>
          <w:szCs w:val="8"/>
          <w:lang w:val="sq-AL" w:eastAsia="sq-AL"/>
        </w:rPr>
      </w:pPr>
    </w:p>
    <w:p w:rsidR="00990CDF" w:rsidRPr="00BF005F" w:rsidRDefault="00990CDF" w:rsidP="006F25E7">
      <w:pPr>
        <w:spacing w:line="276" w:lineRule="auto"/>
        <w:jc w:val="both"/>
        <w:rPr>
          <w:rFonts w:asciiTheme="minorHAnsi" w:hAnsiTheme="minorHAnsi" w:cstheme="minorHAnsi"/>
          <w:lang w:val="sq-AL" w:eastAsia="sq-AL"/>
        </w:rPr>
      </w:pPr>
      <w:r w:rsidRPr="00BF005F">
        <w:rPr>
          <w:rFonts w:asciiTheme="minorHAnsi" w:hAnsiTheme="minorHAnsi" w:cstheme="minorHAnsi"/>
          <w:lang w:val="sq-AL" w:eastAsia="sq-AL"/>
        </w:rPr>
        <w:t>Fondet e akorduara për Programin “</w:t>
      </w:r>
      <w:r w:rsidRPr="00BF005F">
        <w:rPr>
          <w:rFonts w:asciiTheme="minorHAnsi" w:hAnsiTheme="minorHAnsi" w:cstheme="minorHAnsi"/>
          <w:b/>
          <w:bCs/>
          <w:color w:val="000000"/>
          <w:lang w:val="sq-AL"/>
        </w:rPr>
        <w:t>Mbështetja e Luftimit</w:t>
      </w:r>
      <w:r w:rsidRPr="00BF005F">
        <w:rPr>
          <w:rFonts w:asciiTheme="minorHAnsi" w:hAnsiTheme="minorHAnsi" w:cstheme="minorHAnsi"/>
          <w:lang w:val="sq-AL" w:eastAsia="sq-AL"/>
        </w:rPr>
        <w:t xml:space="preserve">” përbëjnë rreth 26 </w:t>
      </w:r>
      <w:r w:rsidRPr="00BF005F">
        <w:rPr>
          <w:rFonts w:asciiTheme="minorHAnsi" w:hAnsiTheme="minorHAnsi" w:cstheme="minorHAnsi"/>
          <w:color w:val="000000"/>
          <w:lang w:val="sq-AL" w:eastAsia="en-GB"/>
        </w:rPr>
        <w:t>përqind</w:t>
      </w:r>
      <w:r w:rsidRPr="00BF005F">
        <w:rPr>
          <w:rFonts w:asciiTheme="minorHAnsi" w:hAnsiTheme="minorHAnsi" w:cstheme="minorHAnsi"/>
          <w:lang w:val="sq-AL" w:eastAsia="sq-AL"/>
        </w:rPr>
        <w:t xml:space="preserve"> të buxhetit me ndryshime të miratuar për </w:t>
      </w:r>
      <w:r w:rsidRPr="00BF005F">
        <w:rPr>
          <w:rFonts w:asciiTheme="minorHAnsi" w:hAnsiTheme="minorHAnsi" w:cstheme="minorHAnsi"/>
          <w:lang w:val="sq-AL"/>
        </w:rPr>
        <w:t xml:space="preserve">Ministrinë e Mbrojtjes </w:t>
      </w:r>
      <w:r w:rsidRPr="00BF005F">
        <w:rPr>
          <w:rFonts w:asciiTheme="minorHAnsi" w:hAnsiTheme="minorHAnsi" w:cstheme="minorHAnsi"/>
          <w:lang w:val="sq-AL" w:eastAsia="sq-AL"/>
        </w:rPr>
        <w:t>për 4-mujorin e parë të vitit 2021. Për këtë program janë parashikuar objektiva specifike për realizimin e tyre, si:</w:t>
      </w:r>
    </w:p>
    <w:p w:rsidR="00990CDF" w:rsidRPr="00BF005F" w:rsidRDefault="00990CDF" w:rsidP="007F0B61">
      <w:pPr>
        <w:numPr>
          <w:ilvl w:val="0"/>
          <w:numId w:val="26"/>
        </w:numPr>
        <w:spacing w:after="200" w:line="276" w:lineRule="auto"/>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 xml:space="preserve">Sigurimi i logjistikes së  nevojshme si dhe mbështetja në operacione humanitare dhe misione ndërkombëtare.Treguesit e performancës për këtë objektiv janë: </w:t>
      </w:r>
    </w:p>
    <w:p w:rsidR="00990CDF" w:rsidRPr="00BF005F" w:rsidRDefault="00990CDF" w:rsidP="007F0B61">
      <w:pPr>
        <w:numPr>
          <w:ilvl w:val="0"/>
          <w:numId w:val="27"/>
        </w:numPr>
        <w:autoSpaceDE w:val="0"/>
        <w:autoSpaceDN w:val="0"/>
        <w:adjustRightInd w:val="0"/>
        <w:spacing w:after="200" w:line="276" w:lineRule="auto"/>
        <w:contextualSpacing/>
        <w:jc w:val="both"/>
        <w:rPr>
          <w:rFonts w:asciiTheme="minorHAnsi" w:hAnsiTheme="minorHAnsi" w:cstheme="minorHAnsi"/>
          <w:color w:val="000000"/>
          <w:lang w:val="sq-AL"/>
        </w:rPr>
      </w:pPr>
      <w:r w:rsidRPr="00BF005F">
        <w:rPr>
          <w:rFonts w:asciiTheme="minorHAnsi" w:hAnsiTheme="minorHAnsi" w:cstheme="minorHAnsi"/>
          <w:color w:val="000000"/>
          <w:lang w:val="sq-AL"/>
        </w:rPr>
        <w:t>Përqindja e furnizimit në kohë dhe mbështetja logjistike e Forcave të Armatosura.</w:t>
      </w:r>
    </w:p>
    <w:p w:rsidR="00990CDF" w:rsidRPr="00BF005F" w:rsidRDefault="00990CDF" w:rsidP="007F0B61">
      <w:pPr>
        <w:numPr>
          <w:ilvl w:val="0"/>
          <w:numId w:val="27"/>
        </w:numPr>
        <w:autoSpaceDE w:val="0"/>
        <w:autoSpaceDN w:val="0"/>
        <w:adjustRightInd w:val="0"/>
        <w:spacing w:after="200" w:line="276" w:lineRule="auto"/>
        <w:contextualSpacing/>
        <w:jc w:val="both"/>
        <w:rPr>
          <w:rFonts w:asciiTheme="minorHAnsi" w:hAnsiTheme="minorHAnsi" w:cstheme="minorHAnsi"/>
          <w:color w:val="000000"/>
          <w:lang w:val="sq-AL"/>
        </w:rPr>
      </w:pPr>
      <w:r w:rsidRPr="00BF005F">
        <w:rPr>
          <w:rFonts w:asciiTheme="minorHAnsi" w:hAnsiTheme="minorHAnsi" w:cstheme="minorHAnsi"/>
          <w:color w:val="000000"/>
          <w:lang w:val="sq-AL"/>
        </w:rPr>
        <w:t>Menaxhimi në kohë dhe profesional i operacioneve të EC dhe CIMIC.</w:t>
      </w:r>
    </w:p>
    <w:p w:rsidR="00990CDF" w:rsidRPr="00BF005F" w:rsidRDefault="00990CDF" w:rsidP="007F0B61">
      <w:pPr>
        <w:numPr>
          <w:ilvl w:val="0"/>
          <w:numId w:val="27"/>
        </w:numPr>
        <w:autoSpaceDE w:val="0"/>
        <w:autoSpaceDN w:val="0"/>
        <w:adjustRightInd w:val="0"/>
        <w:spacing w:after="200" w:line="276" w:lineRule="auto"/>
        <w:contextualSpacing/>
        <w:jc w:val="both"/>
        <w:rPr>
          <w:rFonts w:asciiTheme="minorHAnsi" w:hAnsiTheme="minorHAnsi" w:cstheme="minorHAnsi"/>
          <w:color w:val="000000"/>
          <w:lang w:val="sq-AL"/>
        </w:rPr>
      </w:pPr>
      <w:r w:rsidRPr="00BF005F">
        <w:rPr>
          <w:rFonts w:asciiTheme="minorHAnsi" w:hAnsiTheme="minorHAnsi" w:cstheme="minorHAnsi"/>
          <w:color w:val="000000"/>
          <w:lang w:val="sq-AL"/>
        </w:rPr>
        <w:t>Dokumente të procesuara dhe arkivuara sipas legjislacionit ne fuqi.</w:t>
      </w:r>
    </w:p>
    <w:p w:rsidR="00990CDF" w:rsidRPr="00BF005F" w:rsidRDefault="00990CDF" w:rsidP="007F0B61">
      <w:pPr>
        <w:numPr>
          <w:ilvl w:val="0"/>
          <w:numId w:val="26"/>
        </w:numPr>
        <w:spacing w:after="200" w:line="276" w:lineRule="auto"/>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Sigurimi i inteligjencës strategjike të nevojshme dhe sipas standardeve të NATO-s  për siguri dhe stabilitet .Treguesit e performancës për këtë objektiv Nr 2:</w:t>
      </w:r>
    </w:p>
    <w:p w:rsidR="00990CDF" w:rsidRPr="00BF005F" w:rsidRDefault="00990CDF" w:rsidP="00020968">
      <w:pPr>
        <w:numPr>
          <w:ilvl w:val="0"/>
          <w:numId w:val="27"/>
        </w:numPr>
        <w:autoSpaceDE w:val="0"/>
        <w:autoSpaceDN w:val="0"/>
        <w:adjustRightInd w:val="0"/>
        <w:spacing w:after="200"/>
        <w:contextualSpacing/>
        <w:jc w:val="both"/>
        <w:rPr>
          <w:rFonts w:asciiTheme="minorHAnsi" w:hAnsiTheme="minorHAnsi" w:cstheme="minorHAnsi"/>
          <w:color w:val="000000"/>
          <w:lang w:val="sq-AL"/>
        </w:rPr>
      </w:pPr>
      <w:r w:rsidRPr="00BF005F">
        <w:rPr>
          <w:rFonts w:asciiTheme="minorHAnsi" w:hAnsiTheme="minorHAnsi" w:cstheme="minorHAnsi"/>
          <w:color w:val="000000"/>
          <w:lang w:val="sq-AL"/>
        </w:rPr>
        <w:t>Përqindja e arritjes së përmbushjes së objektivave të kapaciteteve në fushën e inteligjencës ushtarake dhe të NATO-s.</w:t>
      </w:r>
    </w:p>
    <w:p w:rsidR="00990CDF" w:rsidRPr="00BF005F" w:rsidRDefault="00990CDF" w:rsidP="00020968">
      <w:pPr>
        <w:numPr>
          <w:ilvl w:val="0"/>
          <w:numId w:val="27"/>
        </w:numPr>
        <w:autoSpaceDE w:val="0"/>
        <w:autoSpaceDN w:val="0"/>
        <w:adjustRightInd w:val="0"/>
        <w:spacing w:after="200"/>
        <w:contextualSpacing/>
        <w:jc w:val="both"/>
        <w:rPr>
          <w:rFonts w:asciiTheme="minorHAnsi" w:hAnsiTheme="minorHAnsi" w:cstheme="minorHAnsi"/>
          <w:color w:val="000000"/>
          <w:lang w:val="sq-AL"/>
        </w:rPr>
      </w:pPr>
      <w:r w:rsidRPr="00BF005F">
        <w:rPr>
          <w:rFonts w:asciiTheme="minorHAnsi" w:hAnsiTheme="minorHAnsi" w:cstheme="minorHAnsi"/>
          <w:color w:val="000000"/>
          <w:lang w:val="sq-AL"/>
        </w:rPr>
        <w:lastRenderedPageBreak/>
        <w:t>Përqindja e arritjes së kapaciteteve te nevojshme operacionale.</w:t>
      </w:r>
    </w:p>
    <w:p w:rsidR="00990CDF" w:rsidRPr="009638F4" w:rsidRDefault="00990CDF" w:rsidP="006F25E7">
      <w:pPr>
        <w:spacing w:line="276" w:lineRule="auto"/>
        <w:ind w:left="2160"/>
        <w:contextualSpacing/>
        <w:jc w:val="both"/>
        <w:rPr>
          <w:rFonts w:asciiTheme="minorHAnsi" w:hAnsiTheme="minorHAnsi" w:cstheme="minorHAnsi"/>
          <w:sz w:val="8"/>
          <w:szCs w:val="8"/>
          <w:lang w:val="sq-AL" w:eastAsia="sq-AL"/>
        </w:rPr>
      </w:pPr>
    </w:p>
    <w:p w:rsidR="00990CDF" w:rsidRPr="00BF005F" w:rsidRDefault="00990CDF" w:rsidP="007F0B61">
      <w:pPr>
        <w:numPr>
          <w:ilvl w:val="0"/>
          <w:numId w:val="26"/>
        </w:numPr>
        <w:spacing w:after="200" w:line="276" w:lineRule="auto"/>
        <w:ind w:left="360" w:hanging="270"/>
        <w:contextualSpacing/>
        <w:jc w:val="both"/>
        <w:rPr>
          <w:rFonts w:asciiTheme="minorHAnsi" w:eastAsiaTheme="minorHAnsi" w:hAnsiTheme="minorHAnsi"/>
          <w:i/>
          <w:lang w:val="sq-AL"/>
        </w:rPr>
      </w:pPr>
      <w:r w:rsidRPr="00BF005F">
        <w:rPr>
          <w:rFonts w:asciiTheme="minorHAnsi" w:eastAsiaTheme="minorHAnsi" w:hAnsiTheme="minorHAnsi"/>
          <w:i/>
          <w:lang w:val="sq-AL"/>
        </w:rPr>
        <w:t xml:space="preserve">Sigurimi dhe mbështesja e sistemeve të teknologjisë  brenda standardeve  të NATO-s. Treguesit e performancës për këtë objektiv Nr 3: </w:t>
      </w:r>
    </w:p>
    <w:p w:rsidR="00990CDF" w:rsidRPr="00BF005F" w:rsidRDefault="00990CDF" w:rsidP="00020968">
      <w:pPr>
        <w:numPr>
          <w:ilvl w:val="0"/>
          <w:numId w:val="27"/>
        </w:numPr>
        <w:autoSpaceDE w:val="0"/>
        <w:autoSpaceDN w:val="0"/>
        <w:adjustRightInd w:val="0"/>
        <w:spacing w:after="200"/>
        <w:contextualSpacing/>
        <w:jc w:val="both"/>
        <w:rPr>
          <w:rFonts w:asciiTheme="minorHAnsi" w:hAnsiTheme="minorHAnsi" w:cstheme="minorHAnsi"/>
          <w:color w:val="000000"/>
          <w:lang w:val="sq-AL"/>
        </w:rPr>
      </w:pPr>
      <w:r w:rsidRPr="00BF005F">
        <w:rPr>
          <w:rFonts w:asciiTheme="minorHAnsi" w:hAnsiTheme="minorHAnsi" w:cstheme="minorHAnsi"/>
          <w:color w:val="000000"/>
          <w:lang w:val="sq-AL"/>
        </w:rPr>
        <w:t xml:space="preserve">Kapacitete operacionale per ASNI </w:t>
      </w:r>
    </w:p>
    <w:p w:rsidR="00990CDF" w:rsidRPr="00BF005F" w:rsidRDefault="00990CDF" w:rsidP="00020968">
      <w:pPr>
        <w:numPr>
          <w:ilvl w:val="0"/>
          <w:numId w:val="27"/>
        </w:numPr>
        <w:autoSpaceDE w:val="0"/>
        <w:autoSpaceDN w:val="0"/>
        <w:adjustRightInd w:val="0"/>
        <w:spacing w:after="200"/>
        <w:contextualSpacing/>
        <w:jc w:val="both"/>
        <w:rPr>
          <w:rFonts w:asciiTheme="minorHAnsi" w:hAnsiTheme="minorHAnsi" w:cstheme="minorHAnsi"/>
          <w:color w:val="000000"/>
          <w:lang w:val="sq-AL"/>
        </w:rPr>
      </w:pPr>
      <w:r w:rsidRPr="00BF005F">
        <w:rPr>
          <w:rFonts w:asciiTheme="minorHAnsi" w:hAnsiTheme="minorHAnsi" w:cstheme="minorHAnsi"/>
          <w:color w:val="000000"/>
          <w:lang w:val="sq-AL"/>
        </w:rPr>
        <w:t>Ruajtja e nivelit oreracional për Repartin nr. 6630</w:t>
      </w:r>
    </w:p>
    <w:p w:rsidR="00990CDF" w:rsidRPr="00BF005F" w:rsidRDefault="00990CDF" w:rsidP="00020968">
      <w:pPr>
        <w:numPr>
          <w:ilvl w:val="0"/>
          <w:numId w:val="27"/>
        </w:numPr>
        <w:autoSpaceDE w:val="0"/>
        <w:autoSpaceDN w:val="0"/>
        <w:adjustRightInd w:val="0"/>
        <w:spacing w:after="200"/>
        <w:contextualSpacing/>
        <w:jc w:val="both"/>
        <w:rPr>
          <w:rFonts w:asciiTheme="minorHAnsi" w:hAnsiTheme="minorHAnsi" w:cstheme="minorHAnsi"/>
          <w:color w:val="000000"/>
          <w:lang w:val="sq-AL"/>
        </w:rPr>
      </w:pPr>
      <w:r w:rsidRPr="00BF005F">
        <w:rPr>
          <w:rFonts w:asciiTheme="minorHAnsi" w:hAnsiTheme="minorHAnsi" w:cstheme="minorHAnsi"/>
          <w:color w:val="000000"/>
          <w:lang w:val="sq-AL"/>
        </w:rPr>
        <w:t>Janë planifikuar 12 produkteve në zërat “Shpenzime Korrente “ dhe  27 Projekte  Investimi në zërin “Shpenzime Kapitale”.</w:t>
      </w:r>
    </w:p>
    <w:p w:rsidR="00990CDF" w:rsidRPr="009638F4" w:rsidRDefault="00990CDF" w:rsidP="006F25E7">
      <w:pPr>
        <w:autoSpaceDE w:val="0"/>
        <w:autoSpaceDN w:val="0"/>
        <w:adjustRightInd w:val="0"/>
        <w:spacing w:line="276" w:lineRule="auto"/>
        <w:jc w:val="both"/>
        <w:rPr>
          <w:rFonts w:asciiTheme="minorHAnsi" w:hAnsiTheme="minorHAnsi" w:cstheme="minorHAnsi"/>
          <w:color w:val="000000"/>
          <w:sz w:val="8"/>
          <w:szCs w:val="8"/>
          <w:lang w:val="sq-AL"/>
        </w:rPr>
      </w:pPr>
    </w:p>
    <w:p w:rsidR="00990CDF" w:rsidRPr="00BF005F" w:rsidRDefault="00990CDF" w:rsidP="006F25E7">
      <w:pPr>
        <w:tabs>
          <w:tab w:val="left" w:pos="2355"/>
        </w:tabs>
        <w:spacing w:line="276" w:lineRule="auto"/>
        <w:jc w:val="both"/>
        <w:rPr>
          <w:rFonts w:asciiTheme="minorHAnsi" w:hAnsiTheme="minorHAnsi" w:cstheme="minorHAnsi"/>
          <w:bCs/>
          <w:iCs/>
          <w:lang w:val="sq-AL"/>
        </w:rPr>
      </w:pPr>
      <w:r w:rsidRPr="00BF005F">
        <w:rPr>
          <w:rFonts w:asciiTheme="minorHAnsi" w:hAnsiTheme="minorHAnsi" w:cstheme="minorHAnsi"/>
          <w:bCs/>
          <w:iCs/>
          <w:lang w:val="sq-AL"/>
        </w:rPr>
        <w:t>Realizimi i fondeve buxhetore për 4-mujorin 2021 në këtë program buxhetor për grupin e shpenzimeve korrente rezulton në masën 31 përqind, ndërkohë realizimi i projekteve të investimeve arrin në masën 19 përqind.</w:t>
      </w:r>
    </w:p>
    <w:p w:rsidR="00990CDF" w:rsidRPr="009638F4" w:rsidRDefault="00990CDF" w:rsidP="006F25E7">
      <w:pPr>
        <w:tabs>
          <w:tab w:val="left" w:pos="2355"/>
        </w:tabs>
        <w:spacing w:line="276" w:lineRule="auto"/>
        <w:jc w:val="both"/>
        <w:rPr>
          <w:rFonts w:asciiTheme="minorHAnsi" w:hAnsiTheme="minorHAnsi" w:cstheme="minorHAnsi"/>
          <w:bCs/>
          <w:iCs/>
          <w:sz w:val="8"/>
          <w:szCs w:val="8"/>
          <w:lang w:val="sq-AL"/>
        </w:rPr>
      </w:pPr>
    </w:p>
    <w:p w:rsidR="00990CDF" w:rsidRPr="00020968" w:rsidRDefault="00990CDF" w:rsidP="006F25E7">
      <w:pPr>
        <w:spacing w:line="276" w:lineRule="auto"/>
        <w:jc w:val="both"/>
        <w:rPr>
          <w:rFonts w:asciiTheme="minorHAnsi" w:hAnsiTheme="minorHAnsi" w:cstheme="minorHAnsi"/>
          <w:bCs/>
          <w:lang w:val="sq-AL"/>
        </w:rPr>
      </w:pPr>
      <w:r w:rsidRPr="00BF005F">
        <w:rPr>
          <w:rFonts w:asciiTheme="minorHAnsi" w:hAnsiTheme="minorHAnsi" w:cstheme="minorHAnsi"/>
          <w:lang w:val="sq-AL" w:eastAsia="sq-AL"/>
        </w:rPr>
        <w:t>Fondet e akorduara për Programin “</w:t>
      </w:r>
      <w:r w:rsidRPr="00BF005F">
        <w:rPr>
          <w:rFonts w:asciiTheme="minorHAnsi" w:hAnsiTheme="minorHAnsi" w:cstheme="minorHAnsi"/>
          <w:b/>
          <w:lang w:val="sq-AL"/>
        </w:rPr>
        <w:t>Arsimi Ushtarak</w:t>
      </w:r>
      <w:r w:rsidRPr="00BF005F">
        <w:rPr>
          <w:rFonts w:asciiTheme="minorHAnsi" w:hAnsiTheme="minorHAnsi" w:cstheme="minorHAnsi"/>
          <w:lang w:val="sq-AL"/>
        </w:rPr>
        <w:t>”</w:t>
      </w:r>
      <w:r w:rsidRPr="00BF005F">
        <w:rPr>
          <w:rFonts w:asciiTheme="minorHAnsi" w:hAnsiTheme="minorHAnsi" w:cstheme="minorHAnsi"/>
          <w:lang w:val="sq-AL" w:eastAsia="sq-AL"/>
        </w:rPr>
        <w:t xml:space="preserve"> përbëjnë rreth 3.5 përqind të buxhetit me ndryshime të miratuar për MM-në për 4-mujorin e vitit 2021. </w:t>
      </w:r>
      <w:r w:rsidRPr="00BF005F">
        <w:rPr>
          <w:rFonts w:asciiTheme="minorHAnsi" w:hAnsiTheme="minorHAnsi" w:cstheme="minorHAnsi"/>
          <w:color w:val="000000"/>
          <w:lang w:val="sq-AL"/>
        </w:rPr>
        <w:t>Ky program synon</w:t>
      </w:r>
      <w:r w:rsidRPr="00BF005F">
        <w:rPr>
          <w:rFonts w:asciiTheme="minorHAnsi" w:hAnsiTheme="minorHAnsi" w:cstheme="minorHAnsi"/>
          <w:bCs/>
          <w:lang w:val="sq-AL"/>
        </w:rPr>
        <w:t xml:space="preserve"> “Rritjen e kapaciteteve të burimeve njerëzore dhe transformimi i sistemit të edukimit ushtarak e civil nëpërmjet programeve të integruara dhe gjithëpërfshirëse në përputhje me standardet e NATO”. </w:t>
      </w:r>
      <w:r w:rsidRPr="00BF005F">
        <w:rPr>
          <w:rFonts w:asciiTheme="minorHAnsi" w:hAnsiTheme="minorHAnsi" w:cstheme="minorHAnsi"/>
          <w:color w:val="000000"/>
          <w:lang w:val="sq-AL"/>
        </w:rPr>
        <w:t xml:space="preserve">Treguesit e performancës për këtë objektiv: </w:t>
      </w:r>
    </w:p>
    <w:p w:rsidR="00990CDF" w:rsidRPr="009638F4" w:rsidRDefault="00990CDF" w:rsidP="007F0B61">
      <w:pPr>
        <w:numPr>
          <w:ilvl w:val="0"/>
          <w:numId w:val="26"/>
        </w:numPr>
        <w:ind w:left="360" w:hanging="270"/>
        <w:contextualSpacing/>
        <w:jc w:val="both"/>
        <w:rPr>
          <w:rFonts w:asciiTheme="minorHAnsi" w:eastAsiaTheme="minorHAnsi" w:hAnsiTheme="minorHAnsi"/>
          <w:i/>
          <w:sz w:val="22"/>
          <w:lang w:val="sq-AL"/>
        </w:rPr>
      </w:pPr>
      <w:r w:rsidRPr="009638F4">
        <w:rPr>
          <w:rFonts w:asciiTheme="minorHAnsi" w:eastAsiaTheme="minorHAnsi" w:hAnsiTheme="minorHAnsi"/>
          <w:i/>
          <w:sz w:val="22"/>
          <w:lang w:val="sq-AL"/>
        </w:rPr>
        <w:t>Numër ushtarakësh të rinj të trajnuar dhe pranuar kundrejt numrit të aplikimeve</w:t>
      </w:r>
    </w:p>
    <w:p w:rsidR="00990CDF" w:rsidRPr="009638F4" w:rsidRDefault="00990CDF" w:rsidP="007F0B61">
      <w:pPr>
        <w:numPr>
          <w:ilvl w:val="0"/>
          <w:numId w:val="26"/>
        </w:numPr>
        <w:ind w:left="360" w:hanging="270"/>
        <w:contextualSpacing/>
        <w:jc w:val="both"/>
        <w:rPr>
          <w:rFonts w:asciiTheme="minorHAnsi" w:eastAsiaTheme="minorHAnsi" w:hAnsiTheme="minorHAnsi"/>
          <w:i/>
          <w:sz w:val="22"/>
          <w:lang w:val="sq-AL"/>
        </w:rPr>
      </w:pPr>
      <w:r w:rsidRPr="009638F4">
        <w:rPr>
          <w:rFonts w:asciiTheme="minorHAnsi" w:eastAsiaTheme="minorHAnsi" w:hAnsiTheme="minorHAnsi"/>
          <w:i/>
          <w:sz w:val="22"/>
          <w:lang w:val="sq-AL"/>
        </w:rPr>
        <w:t>Numër personeli që përfundojnë trajnimet dhe kalojnë testet.</w:t>
      </w:r>
    </w:p>
    <w:p w:rsidR="00990CDF" w:rsidRPr="009638F4" w:rsidRDefault="00990CDF" w:rsidP="007F0B61">
      <w:pPr>
        <w:numPr>
          <w:ilvl w:val="0"/>
          <w:numId w:val="26"/>
        </w:numPr>
        <w:ind w:left="360" w:hanging="270"/>
        <w:contextualSpacing/>
        <w:jc w:val="both"/>
        <w:rPr>
          <w:rFonts w:asciiTheme="minorHAnsi" w:eastAsiaTheme="minorHAnsi" w:hAnsiTheme="minorHAnsi"/>
          <w:i/>
          <w:sz w:val="22"/>
          <w:lang w:val="sq-AL"/>
        </w:rPr>
      </w:pPr>
      <w:r w:rsidRPr="009638F4">
        <w:rPr>
          <w:rFonts w:asciiTheme="minorHAnsi" w:eastAsiaTheme="minorHAnsi" w:hAnsiTheme="minorHAnsi"/>
          <w:i/>
          <w:sz w:val="22"/>
          <w:lang w:val="sq-AL"/>
        </w:rPr>
        <w:t>Numër manualesh të botuara kundrejt planifikimit.</w:t>
      </w:r>
    </w:p>
    <w:p w:rsidR="00990CDF" w:rsidRPr="009638F4" w:rsidRDefault="00990CDF" w:rsidP="007F0B61">
      <w:pPr>
        <w:numPr>
          <w:ilvl w:val="0"/>
          <w:numId w:val="26"/>
        </w:numPr>
        <w:ind w:left="360" w:hanging="270"/>
        <w:contextualSpacing/>
        <w:jc w:val="both"/>
        <w:rPr>
          <w:rFonts w:asciiTheme="minorHAnsi" w:eastAsiaTheme="minorHAnsi" w:hAnsiTheme="minorHAnsi"/>
          <w:i/>
          <w:sz w:val="22"/>
          <w:lang w:val="sq-AL"/>
        </w:rPr>
      </w:pPr>
      <w:r w:rsidRPr="009638F4">
        <w:rPr>
          <w:rFonts w:asciiTheme="minorHAnsi" w:eastAsiaTheme="minorHAnsi" w:hAnsiTheme="minorHAnsi"/>
          <w:i/>
          <w:sz w:val="22"/>
          <w:lang w:val="sq-AL"/>
        </w:rPr>
        <w:t>Numër kërkimesh shkencore të publikuara kundrejt planifikimit.</w:t>
      </w:r>
    </w:p>
    <w:p w:rsidR="00990CDF" w:rsidRPr="009638F4" w:rsidRDefault="00990CDF" w:rsidP="007F0B61">
      <w:pPr>
        <w:numPr>
          <w:ilvl w:val="0"/>
          <w:numId w:val="26"/>
        </w:numPr>
        <w:ind w:left="360" w:hanging="270"/>
        <w:contextualSpacing/>
        <w:jc w:val="both"/>
        <w:rPr>
          <w:rFonts w:asciiTheme="minorHAnsi" w:eastAsiaTheme="minorHAnsi" w:hAnsiTheme="minorHAnsi"/>
          <w:i/>
          <w:sz w:val="22"/>
          <w:lang w:val="sq-AL"/>
        </w:rPr>
      </w:pPr>
      <w:r w:rsidRPr="009638F4">
        <w:rPr>
          <w:rFonts w:asciiTheme="minorHAnsi" w:eastAsiaTheme="minorHAnsi" w:hAnsiTheme="minorHAnsi"/>
          <w:i/>
          <w:sz w:val="22"/>
          <w:lang w:val="sq-AL"/>
        </w:rPr>
        <w:t>Numër studimesh të zhvilluara për standardizimin e FA-ve.</w:t>
      </w:r>
    </w:p>
    <w:p w:rsidR="00990CDF" w:rsidRPr="009638F4" w:rsidRDefault="00990CDF" w:rsidP="007F0B61">
      <w:pPr>
        <w:numPr>
          <w:ilvl w:val="0"/>
          <w:numId w:val="26"/>
        </w:numPr>
        <w:ind w:left="360" w:hanging="270"/>
        <w:contextualSpacing/>
        <w:jc w:val="both"/>
        <w:rPr>
          <w:rFonts w:asciiTheme="minorHAnsi" w:eastAsiaTheme="minorHAnsi" w:hAnsiTheme="minorHAnsi"/>
          <w:i/>
          <w:sz w:val="22"/>
          <w:lang w:val="sq-AL"/>
        </w:rPr>
      </w:pPr>
      <w:r w:rsidRPr="009638F4">
        <w:rPr>
          <w:rFonts w:asciiTheme="minorHAnsi" w:eastAsiaTheme="minorHAnsi" w:hAnsiTheme="minorHAnsi"/>
          <w:i/>
          <w:sz w:val="22"/>
          <w:lang w:val="sq-AL"/>
        </w:rPr>
        <w:t>Numër personeli ushtarakë të gjinisë femra të pranuara në FA.</w:t>
      </w:r>
    </w:p>
    <w:p w:rsidR="00990CDF" w:rsidRPr="009638F4" w:rsidRDefault="00990CDF" w:rsidP="007F0B61">
      <w:pPr>
        <w:numPr>
          <w:ilvl w:val="0"/>
          <w:numId w:val="26"/>
        </w:numPr>
        <w:ind w:left="360" w:hanging="270"/>
        <w:contextualSpacing/>
        <w:jc w:val="both"/>
        <w:rPr>
          <w:rFonts w:asciiTheme="minorHAnsi" w:eastAsiaTheme="minorHAnsi" w:hAnsiTheme="minorHAnsi"/>
          <w:i/>
          <w:sz w:val="22"/>
          <w:lang w:val="sq-AL"/>
        </w:rPr>
      </w:pPr>
      <w:r w:rsidRPr="009638F4">
        <w:rPr>
          <w:rFonts w:asciiTheme="minorHAnsi" w:eastAsiaTheme="minorHAnsi" w:hAnsiTheme="minorHAnsi"/>
          <w:i/>
          <w:sz w:val="22"/>
          <w:lang w:val="sq-AL"/>
        </w:rPr>
        <w:t>Numër personeli i trajnuar/stërvitur.</w:t>
      </w:r>
    </w:p>
    <w:p w:rsidR="00990CDF" w:rsidRPr="00BF005F" w:rsidRDefault="00990CDF" w:rsidP="006F25E7">
      <w:pPr>
        <w:autoSpaceDE w:val="0"/>
        <w:autoSpaceDN w:val="0"/>
        <w:adjustRightInd w:val="0"/>
        <w:spacing w:line="276" w:lineRule="auto"/>
        <w:jc w:val="both"/>
        <w:rPr>
          <w:rFonts w:asciiTheme="minorHAnsi" w:hAnsiTheme="minorHAnsi" w:cstheme="minorHAnsi"/>
          <w:color w:val="000000"/>
          <w:lang w:val="sq-AL"/>
        </w:rPr>
      </w:pPr>
      <w:r w:rsidRPr="00BF005F">
        <w:rPr>
          <w:rFonts w:asciiTheme="minorHAnsi" w:hAnsiTheme="minorHAnsi" w:cstheme="minorHAnsi"/>
          <w:bCs/>
          <w:iCs/>
          <w:lang w:val="sq-AL"/>
        </w:rPr>
        <w:t>Realizimi i fondeve buxhetore sipas për 4-mujorin 2021 në këtë program buxhetor për grupin e shpenzimeve korente rezulton në masën 30 përqind, nërsa produktet e investimit janë në proces të përgatitjes së fillimit të procedurave të mëtejshme për realizimin e tyre.</w:t>
      </w:r>
    </w:p>
    <w:p w:rsidR="00990CDF" w:rsidRPr="009638F4" w:rsidRDefault="00990CDF" w:rsidP="006F25E7">
      <w:pPr>
        <w:shd w:val="clear" w:color="auto" w:fill="FFFFFF"/>
        <w:spacing w:line="276" w:lineRule="auto"/>
        <w:jc w:val="both"/>
        <w:rPr>
          <w:rFonts w:asciiTheme="minorHAnsi" w:hAnsiTheme="minorHAnsi" w:cstheme="minorHAnsi"/>
          <w:color w:val="201F1E"/>
          <w:sz w:val="8"/>
          <w:szCs w:val="8"/>
          <w:bdr w:val="none" w:sz="0" w:space="0" w:color="auto" w:frame="1"/>
          <w:lang w:val="sq-AL"/>
        </w:rPr>
      </w:pPr>
    </w:p>
    <w:p w:rsidR="00020968" w:rsidRDefault="00990CDF" w:rsidP="00020968">
      <w:pPr>
        <w:shd w:val="clear" w:color="auto" w:fill="FFFFFF"/>
        <w:spacing w:line="276" w:lineRule="auto"/>
        <w:jc w:val="both"/>
        <w:rPr>
          <w:rFonts w:asciiTheme="minorHAnsi" w:hAnsiTheme="minorHAnsi" w:cstheme="minorHAnsi"/>
          <w:bCs/>
          <w:iCs/>
          <w:lang w:val="sq-AL"/>
        </w:rPr>
      </w:pPr>
      <w:r w:rsidRPr="00BF005F">
        <w:rPr>
          <w:rFonts w:asciiTheme="minorHAnsi" w:hAnsiTheme="minorHAnsi" w:cstheme="minorHAnsi"/>
          <w:bCs/>
          <w:iCs/>
          <w:lang w:val="sq-AL"/>
        </w:rPr>
        <w:t>Fondet e akorduara Mistrisë së Mbrojtjes për Programin “</w:t>
      </w:r>
      <w:r w:rsidRPr="00BF005F">
        <w:rPr>
          <w:rFonts w:asciiTheme="minorHAnsi" w:hAnsiTheme="minorHAnsi" w:cstheme="minorHAnsi"/>
          <w:b/>
          <w:bCs/>
          <w:iCs/>
          <w:lang w:val="sq-AL"/>
        </w:rPr>
        <w:t>Mbështetje për Shëndetësinë</w:t>
      </w:r>
      <w:r w:rsidRPr="00BF005F">
        <w:rPr>
          <w:rFonts w:asciiTheme="minorHAnsi" w:hAnsiTheme="minorHAnsi" w:cstheme="minorHAnsi"/>
          <w:bCs/>
          <w:iCs/>
          <w:lang w:val="sq-AL"/>
        </w:rPr>
        <w:t>” përbëjnë rreth 4.9 përqind të buxhetit me ndryshime, miratuar për MM n</w:t>
      </w:r>
      <w:r w:rsidR="009638F4">
        <w:rPr>
          <w:rFonts w:asciiTheme="minorHAnsi" w:hAnsiTheme="minorHAnsi" w:cstheme="minorHAnsi"/>
          <w:bCs/>
          <w:iCs/>
          <w:lang w:val="sq-AL"/>
        </w:rPr>
        <w:t xml:space="preserve">ë vitin 2021. </w:t>
      </w:r>
    </w:p>
    <w:p w:rsidR="00020968" w:rsidRPr="00020968" w:rsidRDefault="00020968" w:rsidP="00020968">
      <w:pPr>
        <w:shd w:val="clear" w:color="auto" w:fill="FFFFFF"/>
        <w:spacing w:line="276" w:lineRule="auto"/>
        <w:jc w:val="both"/>
        <w:rPr>
          <w:rFonts w:asciiTheme="minorHAnsi" w:hAnsiTheme="minorHAnsi" w:cstheme="minorHAnsi"/>
          <w:bCs/>
          <w:iCs/>
          <w:sz w:val="8"/>
          <w:szCs w:val="8"/>
          <w:lang w:val="sq-AL"/>
        </w:rPr>
      </w:pPr>
    </w:p>
    <w:p w:rsidR="00990CDF" w:rsidRPr="00020968" w:rsidRDefault="00990CDF" w:rsidP="00020968">
      <w:pPr>
        <w:shd w:val="clear" w:color="auto" w:fill="FFFFFF"/>
        <w:spacing w:line="276" w:lineRule="auto"/>
        <w:jc w:val="both"/>
        <w:rPr>
          <w:rFonts w:asciiTheme="minorHAnsi" w:hAnsiTheme="minorHAnsi" w:cstheme="minorHAnsi"/>
          <w:bCs/>
          <w:iCs/>
          <w:lang w:val="sq-AL"/>
        </w:rPr>
      </w:pPr>
      <w:r w:rsidRPr="00BF005F">
        <w:rPr>
          <w:rFonts w:asciiTheme="minorHAnsi" w:hAnsiTheme="minorHAnsi" w:cstheme="minorHAnsi"/>
          <w:bCs/>
          <w:iCs/>
          <w:lang w:val="sq-AL"/>
        </w:rPr>
        <w:t>Qëllimi i këtij programi është ‘Ofrimi i një</w:t>
      </w:r>
      <w:r w:rsidRPr="00BF005F">
        <w:rPr>
          <w:rFonts w:asciiTheme="minorHAnsi" w:hAnsiTheme="minorHAnsi" w:cstheme="minorHAnsi"/>
          <w:color w:val="201F1E"/>
          <w:bdr w:val="none" w:sz="0" w:space="0" w:color="auto" w:frame="1"/>
          <w:lang w:val="sq-AL"/>
        </w:rPr>
        <w:t xml:space="preserve"> Shërbimi sa më të Specializuar Mjekësor dhe Spitalor në nivel Universitar në trajtim në rang Kombëtar të politraumave”. </w:t>
      </w:r>
      <w:r w:rsidRPr="00BF005F">
        <w:rPr>
          <w:rFonts w:asciiTheme="minorHAnsi" w:hAnsiTheme="minorHAnsi" w:cstheme="minorHAnsi"/>
          <w:color w:val="000000"/>
          <w:bdr w:val="none" w:sz="0" w:space="0" w:color="auto" w:frame="1"/>
          <w:lang w:val="sq-AL"/>
        </w:rPr>
        <w:t>Treguesi i performancës për këtë qëllim:</w:t>
      </w:r>
    </w:p>
    <w:p w:rsidR="00990CDF" w:rsidRPr="00020968" w:rsidRDefault="00990CDF" w:rsidP="00020968">
      <w:pPr>
        <w:numPr>
          <w:ilvl w:val="0"/>
          <w:numId w:val="26"/>
        </w:numPr>
        <w:spacing w:after="200"/>
        <w:ind w:left="360" w:hanging="270"/>
        <w:contextualSpacing/>
        <w:jc w:val="both"/>
        <w:rPr>
          <w:rFonts w:asciiTheme="minorHAnsi" w:eastAsiaTheme="minorHAnsi" w:hAnsiTheme="minorHAnsi"/>
          <w:i/>
          <w:sz w:val="22"/>
          <w:lang w:val="sq-AL"/>
        </w:rPr>
      </w:pPr>
      <w:r w:rsidRPr="00020968">
        <w:rPr>
          <w:rFonts w:asciiTheme="minorHAnsi" w:eastAsiaTheme="minorHAnsi" w:hAnsiTheme="minorHAnsi"/>
          <w:i/>
          <w:sz w:val="22"/>
          <w:lang w:val="sq-AL"/>
        </w:rPr>
        <w:t xml:space="preserve">Numri i Urgjencave të shërbimit të Kirurgjisë dhe Terapisë </w:t>
      </w:r>
    </w:p>
    <w:p w:rsidR="00990CDF" w:rsidRPr="00020968" w:rsidRDefault="00990CDF" w:rsidP="00020968">
      <w:pPr>
        <w:numPr>
          <w:ilvl w:val="0"/>
          <w:numId w:val="26"/>
        </w:numPr>
        <w:spacing w:after="200"/>
        <w:ind w:left="360" w:hanging="270"/>
        <w:contextualSpacing/>
        <w:jc w:val="both"/>
        <w:rPr>
          <w:rFonts w:asciiTheme="minorHAnsi" w:eastAsiaTheme="minorHAnsi" w:hAnsiTheme="minorHAnsi"/>
          <w:i/>
          <w:sz w:val="22"/>
          <w:lang w:val="sq-AL"/>
        </w:rPr>
      </w:pPr>
      <w:r w:rsidRPr="00020968">
        <w:rPr>
          <w:rFonts w:asciiTheme="minorHAnsi" w:eastAsiaTheme="minorHAnsi" w:hAnsiTheme="minorHAnsi"/>
          <w:i/>
          <w:sz w:val="22"/>
          <w:lang w:val="sq-AL"/>
        </w:rPr>
        <w:t xml:space="preserve">Numri i Pacienteve të shtruar, të planifikuar dhe urgjente në SUT </w:t>
      </w:r>
    </w:p>
    <w:p w:rsidR="00990CDF" w:rsidRPr="00020968" w:rsidRDefault="00990CDF" w:rsidP="00020968">
      <w:pPr>
        <w:numPr>
          <w:ilvl w:val="0"/>
          <w:numId w:val="26"/>
        </w:numPr>
        <w:spacing w:after="200"/>
        <w:ind w:left="360" w:hanging="270"/>
        <w:contextualSpacing/>
        <w:jc w:val="both"/>
        <w:rPr>
          <w:rFonts w:asciiTheme="minorHAnsi" w:eastAsiaTheme="minorHAnsi" w:hAnsiTheme="minorHAnsi"/>
          <w:i/>
          <w:sz w:val="22"/>
          <w:lang w:val="sq-AL"/>
        </w:rPr>
      </w:pPr>
      <w:r w:rsidRPr="00020968">
        <w:rPr>
          <w:rFonts w:asciiTheme="minorHAnsi" w:eastAsiaTheme="minorHAnsi" w:hAnsiTheme="minorHAnsi"/>
          <w:i/>
          <w:sz w:val="22"/>
          <w:lang w:val="sq-AL"/>
        </w:rPr>
        <w:t>Numri i Operacioneve të sallës operatore të urgjencës</w:t>
      </w:r>
    </w:p>
    <w:p w:rsidR="00990CDF" w:rsidRPr="00020968" w:rsidRDefault="00990CDF" w:rsidP="00020968">
      <w:pPr>
        <w:numPr>
          <w:ilvl w:val="0"/>
          <w:numId w:val="26"/>
        </w:numPr>
        <w:spacing w:after="200"/>
        <w:ind w:left="360" w:hanging="270"/>
        <w:contextualSpacing/>
        <w:jc w:val="both"/>
        <w:rPr>
          <w:rFonts w:asciiTheme="minorHAnsi" w:eastAsiaTheme="minorHAnsi" w:hAnsiTheme="minorHAnsi"/>
          <w:i/>
          <w:sz w:val="22"/>
          <w:lang w:val="sq-AL"/>
        </w:rPr>
      </w:pPr>
      <w:r w:rsidRPr="00020968">
        <w:rPr>
          <w:rFonts w:asciiTheme="minorHAnsi" w:eastAsiaTheme="minorHAnsi" w:hAnsiTheme="minorHAnsi"/>
          <w:i/>
          <w:sz w:val="22"/>
          <w:lang w:val="sq-AL"/>
        </w:rPr>
        <w:t>Përqindja e vdekshmërisë.</w:t>
      </w:r>
    </w:p>
    <w:p w:rsidR="00990CDF" w:rsidRPr="009638F4" w:rsidRDefault="00990CDF" w:rsidP="006F25E7">
      <w:pPr>
        <w:shd w:val="clear" w:color="auto" w:fill="FFFFFF"/>
        <w:spacing w:line="276" w:lineRule="auto"/>
        <w:jc w:val="both"/>
        <w:rPr>
          <w:rFonts w:asciiTheme="minorHAnsi" w:hAnsiTheme="minorHAnsi" w:cstheme="minorHAnsi"/>
          <w:color w:val="201F1E"/>
          <w:sz w:val="8"/>
          <w:szCs w:val="8"/>
          <w:bdr w:val="none" w:sz="0" w:space="0" w:color="auto" w:frame="1"/>
          <w:lang w:val="sq-AL"/>
        </w:rPr>
      </w:pPr>
    </w:p>
    <w:p w:rsidR="00990CDF" w:rsidRPr="00BF005F" w:rsidRDefault="00990CDF" w:rsidP="006F25E7">
      <w:pPr>
        <w:shd w:val="clear" w:color="auto" w:fill="FFFFFF"/>
        <w:spacing w:line="276" w:lineRule="auto"/>
        <w:jc w:val="both"/>
        <w:rPr>
          <w:rFonts w:asciiTheme="minorHAnsi" w:hAnsiTheme="minorHAnsi" w:cstheme="minorHAnsi"/>
          <w:lang w:val="sq-AL"/>
        </w:rPr>
      </w:pPr>
      <w:r w:rsidRPr="00BF005F">
        <w:rPr>
          <w:rFonts w:asciiTheme="minorHAnsi" w:hAnsiTheme="minorHAnsi" w:cstheme="minorHAnsi"/>
          <w:color w:val="201F1E"/>
          <w:bdr w:val="none" w:sz="0" w:space="0" w:color="auto" w:frame="1"/>
          <w:lang w:val="sq-AL"/>
        </w:rPr>
        <w:t xml:space="preserve">Objektivi i parë  për këtë program është “Pritja dhe trajtimi I  pacienteve te poli traumatizuar  nëe kohe reale pranë Urgjencës të SUT”. </w:t>
      </w:r>
      <w:r w:rsidRPr="00BF005F">
        <w:rPr>
          <w:rFonts w:asciiTheme="minorHAnsi" w:hAnsiTheme="minorHAnsi" w:cstheme="minorHAnsi"/>
          <w:lang w:val="sq-AL"/>
        </w:rPr>
        <w:t>Treguesi i performancës për këtë objektiv:</w:t>
      </w:r>
    </w:p>
    <w:p w:rsidR="00990CDF" w:rsidRPr="00AA20B2" w:rsidRDefault="00990CDF" w:rsidP="00020968">
      <w:pPr>
        <w:numPr>
          <w:ilvl w:val="0"/>
          <w:numId w:val="26"/>
        </w:numPr>
        <w:spacing w:after="200"/>
        <w:ind w:left="360" w:hanging="270"/>
        <w:contextualSpacing/>
        <w:jc w:val="both"/>
        <w:rPr>
          <w:rFonts w:asciiTheme="minorHAnsi" w:eastAsiaTheme="minorHAnsi" w:hAnsiTheme="minorHAnsi"/>
          <w:i/>
          <w:sz w:val="22"/>
          <w:lang w:val="sq-AL"/>
        </w:rPr>
      </w:pPr>
      <w:r w:rsidRPr="00AA20B2">
        <w:rPr>
          <w:rFonts w:asciiTheme="minorHAnsi" w:eastAsiaTheme="minorHAnsi" w:hAnsiTheme="minorHAnsi"/>
          <w:i/>
          <w:sz w:val="22"/>
          <w:lang w:val="sq-AL"/>
        </w:rPr>
        <w:t>Nr. i Shtrimeve nga Urgjenca</w:t>
      </w:r>
    </w:p>
    <w:p w:rsidR="00990CDF" w:rsidRPr="00AA20B2" w:rsidRDefault="00990CDF" w:rsidP="00020968">
      <w:pPr>
        <w:numPr>
          <w:ilvl w:val="0"/>
          <w:numId w:val="26"/>
        </w:numPr>
        <w:spacing w:after="200"/>
        <w:ind w:left="360" w:hanging="270"/>
        <w:contextualSpacing/>
        <w:jc w:val="both"/>
        <w:rPr>
          <w:rFonts w:asciiTheme="minorHAnsi" w:eastAsiaTheme="minorHAnsi" w:hAnsiTheme="minorHAnsi"/>
          <w:i/>
          <w:sz w:val="22"/>
          <w:lang w:val="sq-AL"/>
        </w:rPr>
      </w:pPr>
      <w:r w:rsidRPr="00AA20B2">
        <w:rPr>
          <w:rFonts w:asciiTheme="minorHAnsi" w:eastAsiaTheme="minorHAnsi" w:hAnsiTheme="minorHAnsi"/>
          <w:i/>
          <w:sz w:val="22"/>
          <w:lang w:val="sq-AL"/>
        </w:rPr>
        <w:t xml:space="preserve">Nr. i Urgjencave te shërbimit te Kirurgjisë </w:t>
      </w:r>
    </w:p>
    <w:p w:rsidR="00990CDF" w:rsidRPr="00AA20B2" w:rsidRDefault="00990CDF" w:rsidP="00020968">
      <w:pPr>
        <w:numPr>
          <w:ilvl w:val="0"/>
          <w:numId w:val="26"/>
        </w:numPr>
        <w:spacing w:after="200"/>
        <w:ind w:left="360" w:hanging="270"/>
        <w:contextualSpacing/>
        <w:jc w:val="both"/>
        <w:rPr>
          <w:rFonts w:asciiTheme="minorHAnsi" w:eastAsiaTheme="minorHAnsi" w:hAnsiTheme="minorHAnsi"/>
          <w:i/>
          <w:sz w:val="22"/>
          <w:lang w:val="sq-AL"/>
        </w:rPr>
      </w:pPr>
      <w:r w:rsidRPr="00AA20B2">
        <w:rPr>
          <w:rFonts w:asciiTheme="minorHAnsi" w:eastAsiaTheme="minorHAnsi" w:hAnsiTheme="minorHAnsi"/>
          <w:i/>
          <w:sz w:val="22"/>
          <w:lang w:val="sq-AL"/>
        </w:rPr>
        <w:t xml:space="preserve">Nr. i operacioneve ne Sallat Operatore te Urgjencës </w:t>
      </w:r>
    </w:p>
    <w:p w:rsidR="00990CDF" w:rsidRPr="00AA20B2" w:rsidRDefault="00990CDF" w:rsidP="00020968">
      <w:pPr>
        <w:numPr>
          <w:ilvl w:val="0"/>
          <w:numId w:val="26"/>
        </w:numPr>
        <w:spacing w:after="200"/>
        <w:ind w:left="360" w:hanging="270"/>
        <w:contextualSpacing/>
        <w:jc w:val="both"/>
        <w:rPr>
          <w:rFonts w:asciiTheme="minorHAnsi" w:eastAsiaTheme="minorHAnsi" w:hAnsiTheme="minorHAnsi"/>
          <w:i/>
          <w:sz w:val="22"/>
          <w:lang w:val="sq-AL"/>
        </w:rPr>
      </w:pPr>
      <w:r w:rsidRPr="00AA20B2">
        <w:rPr>
          <w:rFonts w:asciiTheme="minorHAnsi" w:eastAsiaTheme="minorHAnsi" w:hAnsiTheme="minorHAnsi"/>
          <w:i/>
          <w:sz w:val="22"/>
          <w:lang w:val="sq-AL"/>
        </w:rPr>
        <w:t xml:space="preserve">Nr. i manipulimeve te ndryshme kirurgjikale </w:t>
      </w:r>
    </w:p>
    <w:p w:rsidR="00990CDF" w:rsidRPr="00AA20B2" w:rsidRDefault="00990CDF" w:rsidP="00020968">
      <w:pPr>
        <w:numPr>
          <w:ilvl w:val="0"/>
          <w:numId w:val="26"/>
        </w:numPr>
        <w:spacing w:after="200"/>
        <w:ind w:left="360" w:hanging="270"/>
        <w:contextualSpacing/>
        <w:jc w:val="both"/>
        <w:rPr>
          <w:rFonts w:asciiTheme="minorHAnsi" w:eastAsiaTheme="minorHAnsi" w:hAnsiTheme="minorHAnsi"/>
          <w:i/>
          <w:sz w:val="22"/>
          <w:lang w:val="sq-AL"/>
        </w:rPr>
      </w:pPr>
      <w:r w:rsidRPr="00AA20B2">
        <w:rPr>
          <w:rFonts w:asciiTheme="minorHAnsi" w:eastAsiaTheme="minorHAnsi" w:hAnsiTheme="minorHAnsi"/>
          <w:i/>
          <w:sz w:val="22"/>
          <w:lang w:val="sq-AL"/>
        </w:rPr>
        <w:t xml:space="preserve">% e Mortalitetit ne Urgjence </w:t>
      </w:r>
    </w:p>
    <w:p w:rsidR="00990CDF" w:rsidRPr="009638F4" w:rsidRDefault="00990CDF" w:rsidP="006F25E7">
      <w:pPr>
        <w:shd w:val="clear" w:color="auto" w:fill="FFFFFF"/>
        <w:spacing w:line="276" w:lineRule="auto"/>
        <w:jc w:val="both"/>
        <w:rPr>
          <w:rFonts w:asciiTheme="minorHAnsi" w:hAnsiTheme="minorHAnsi" w:cstheme="minorHAnsi"/>
          <w:bCs/>
          <w:color w:val="000000"/>
          <w:sz w:val="8"/>
          <w:szCs w:val="8"/>
          <w:bdr w:val="none" w:sz="0" w:space="0" w:color="auto" w:frame="1"/>
          <w:lang w:val="sq-AL"/>
        </w:rPr>
      </w:pPr>
    </w:p>
    <w:p w:rsidR="00020968" w:rsidRDefault="00020968" w:rsidP="006F25E7">
      <w:pPr>
        <w:shd w:val="clear" w:color="auto" w:fill="FFFFFF"/>
        <w:spacing w:line="276" w:lineRule="auto"/>
        <w:jc w:val="both"/>
        <w:rPr>
          <w:rFonts w:asciiTheme="minorHAnsi" w:hAnsiTheme="minorHAnsi" w:cstheme="minorHAnsi"/>
          <w:bCs/>
          <w:color w:val="000000"/>
          <w:bdr w:val="none" w:sz="0" w:space="0" w:color="auto" w:frame="1"/>
          <w:lang w:val="sq-AL"/>
        </w:rPr>
      </w:pPr>
    </w:p>
    <w:p w:rsidR="00020968" w:rsidRDefault="00020968" w:rsidP="006F25E7">
      <w:pPr>
        <w:shd w:val="clear" w:color="auto" w:fill="FFFFFF"/>
        <w:spacing w:line="276" w:lineRule="auto"/>
        <w:jc w:val="both"/>
        <w:rPr>
          <w:rFonts w:asciiTheme="minorHAnsi" w:hAnsiTheme="minorHAnsi" w:cstheme="minorHAnsi"/>
          <w:bCs/>
          <w:color w:val="000000"/>
          <w:bdr w:val="none" w:sz="0" w:space="0" w:color="auto" w:frame="1"/>
          <w:lang w:val="sq-AL"/>
        </w:rPr>
      </w:pPr>
    </w:p>
    <w:p w:rsidR="00990CDF" w:rsidRPr="00BF005F" w:rsidRDefault="00990CDF" w:rsidP="006F25E7">
      <w:pPr>
        <w:shd w:val="clear" w:color="auto" w:fill="FFFFFF"/>
        <w:spacing w:line="276" w:lineRule="auto"/>
        <w:jc w:val="both"/>
        <w:rPr>
          <w:rFonts w:asciiTheme="minorHAnsi" w:hAnsiTheme="minorHAnsi" w:cstheme="minorHAnsi"/>
          <w:lang w:val="sq-AL"/>
        </w:rPr>
      </w:pPr>
      <w:r w:rsidRPr="00BF005F">
        <w:rPr>
          <w:rFonts w:asciiTheme="minorHAnsi" w:hAnsiTheme="minorHAnsi" w:cstheme="minorHAnsi"/>
          <w:bCs/>
          <w:color w:val="000000"/>
          <w:bdr w:val="none" w:sz="0" w:space="0" w:color="auto" w:frame="1"/>
          <w:lang w:val="sq-AL"/>
        </w:rPr>
        <w:lastRenderedPageBreak/>
        <w:t xml:space="preserve">Objektivi i </w:t>
      </w:r>
      <w:r w:rsidR="009638F4">
        <w:rPr>
          <w:rFonts w:asciiTheme="minorHAnsi" w:hAnsiTheme="minorHAnsi" w:cstheme="minorHAnsi"/>
          <w:bCs/>
          <w:color w:val="000000"/>
          <w:bdr w:val="none" w:sz="0" w:space="0" w:color="auto" w:frame="1"/>
          <w:lang w:val="sq-AL"/>
        </w:rPr>
        <w:t>dy</w:t>
      </w:r>
      <w:r w:rsidRPr="00BF005F">
        <w:rPr>
          <w:rFonts w:asciiTheme="minorHAnsi" w:hAnsiTheme="minorHAnsi" w:cstheme="minorHAnsi"/>
          <w:bCs/>
          <w:color w:val="000000"/>
          <w:bdr w:val="none" w:sz="0" w:space="0" w:color="auto" w:frame="1"/>
          <w:lang w:val="sq-AL"/>
        </w:rPr>
        <w:t xml:space="preserve">të “Trajtimi  shëndetësor dhe spitalor i pacienteve te afruara nga specialitetet mjekësore pranë SUT”. </w:t>
      </w:r>
      <w:r w:rsidRPr="00BF005F">
        <w:rPr>
          <w:rFonts w:asciiTheme="minorHAnsi" w:hAnsiTheme="minorHAnsi" w:cstheme="minorHAnsi"/>
          <w:lang w:val="sq-AL"/>
        </w:rPr>
        <w:t>Treguesi i performancës për këtë objektiv:</w:t>
      </w:r>
    </w:p>
    <w:p w:rsidR="00990CDF" w:rsidRPr="00AA20B2" w:rsidRDefault="00990CDF" w:rsidP="007F0B61">
      <w:pPr>
        <w:numPr>
          <w:ilvl w:val="0"/>
          <w:numId w:val="26"/>
        </w:numPr>
        <w:spacing w:after="200" w:line="276" w:lineRule="auto"/>
        <w:ind w:left="360" w:hanging="270"/>
        <w:contextualSpacing/>
        <w:jc w:val="both"/>
        <w:rPr>
          <w:rFonts w:asciiTheme="minorHAnsi" w:eastAsiaTheme="minorHAnsi" w:hAnsiTheme="minorHAnsi"/>
          <w:i/>
          <w:sz w:val="22"/>
          <w:lang w:val="sq-AL"/>
        </w:rPr>
      </w:pPr>
      <w:r w:rsidRPr="00AA20B2">
        <w:rPr>
          <w:rFonts w:asciiTheme="minorHAnsi" w:eastAsiaTheme="minorHAnsi" w:hAnsiTheme="minorHAnsi"/>
          <w:i/>
          <w:sz w:val="22"/>
          <w:lang w:val="sq-AL"/>
        </w:rPr>
        <w:t xml:space="preserve">Nr. i shtrimeve reanimatore </w:t>
      </w:r>
    </w:p>
    <w:p w:rsidR="00990CDF" w:rsidRPr="00AA20B2" w:rsidRDefault="00990CDF" w:rsidP="007F0B61">
      <w:pPr>
        <w:numPr>
          <w:ilvl w:val="0"/>
          <w:numId w:val="26"/>
        </w:numPr>
        <w:spacing w:after="200" w:line="276" w:lineRule="auto"/>
        <w:ind w:left="360" w:hanging="270"/>
        <w:contextualSpacing/>
        <w:jc w:val="both"/>
        <w:rPr>
          <w:rFonts w:asciiTheme="minorHAnsi" w:eastAsiaTheme="minorHAnsi" w:hAnsiTheme="minorHAnsi"/>
          <w:i/>
          <w:sz w:val="22"/>
          <w:lang w:val="sq-AL"/>
        </w:rPr>
      </w:pPr>
      <w:r w:rsidRPr="00AA20B2">
        <w:rPr>
          <w:rFonts w:asciiTheme="minorHAnsi" w:eastAsiaTheme="minorHAnsi" w:hAnsiTheme="minorHAnsi"/>
          <w:i/>
          <w:sz w:val="22"/>
          <w:lang w:val="sq-AL"/>
        </w:rPr>
        <w:t xml:space="preserve">Nr. i operacioneve sipas specialiteteve mjekësore ne bllokun operator  te SUT </w:t>
      </w:r>
    </w:p>
    <w:p w:rsidR="00990CDF" w:rsidRPr="00AA20B2" w:rsidRDefault="00990CDF" w:rsidP="007F0B61">
      <w:pPr>
        <w:numPr>
          <w:ilvl w:val="0"/>
          <w:numId w:val="26"/>
        </w:numPr>
        <w:spacing w:after="200" w:line="276" w:lineRule="auto"/>
        <w:ind w:left="360" w:hanging="270"/>
        <w:contextualSpacing/>
        <w:jc w:val="both"/>
        <w:rPr>
          <w:rFonts w:asciiTheme="minorHAnsi" w:eastAsiaTheme="minorHAnsi" w:hAnsiTheme="minorHAnsi"/>
          <w:i/>
          <w:sz w:val="22"/>
          <w:lang w:val="sq-AL"/>
        </w:rPr>
      </w:pPr>
      <w:r w:rsidRPr="00AA20B2">
        <w:rPr>
          <w:rFonts w:asciiTheme="minorHAnsi" w:eastAsiaTheme="minorHAnsi" w:hAnsiTheme="minorHAnsi"/>
          <w:i/>
          <w:sz w:val="22"/>
          <w:lang w:val="sq-AL"/>
        </w:rPr>
        <w:t xml:space="preserve">Nr. i Ekzaminimeve imazherike </w:t>
      </w:r>
    </w:p>
    <w:p w:rsidR="00990CDF" w:rsidRPr="00AA20B2" w:rsidRDefault="00990CDF" w:rsidP="007F0B61">
      <w:pPr>
        <w:numPr>
          <w:ilvl w:val="0"/>
          <w:numId w:val="26"/>
        </w:numPr>
        <w:spacing w:after="200" w:line="276" w:lineRule="auto"/>
        <w:ind w:left="360" w:hanging="270"/>
        <w:contextualSpacing/>
        <w:jc w:val="both"/>
        <w:rPr>
          <w:rFonts w:asciiTheme="minorHAnsi" w:eastAsiaTheme="minorHAnsi" w:hAnsiTheme="minorHAnsi"/>
          <w:i/>
          <w:sz w:val="22"/>
          <w:lang w:val="sq-AL"/>
        </w:rPr>
      </w:pPr>
      <w:r w:rsidRPr="00AA20B2">
        <w:rPr>
          <w:rFonts w:asciiTheme="minorHAnsi" w:eastAsiaTheme="minorHAnsi" w:hAnsiTheme="minorHAnsi"/>
          <w:i/>
          <w:sz w:val="22"/>
          <w:lang w:val="sq-AL"/>
        </w:rPr>
        <w:t>Nr. i Ekzaminimeve Laboratorike</w:t>
      </w:r>
    </w:p>
    <w:p w:rsidR="00990CDF" w:rsidRPr="00AA20B2" w:rsidRDefault="00990CDF" w:rsidP="007F0B61">
      <w:pPr>
        <w:numPr>
          <w:ilvl w:val="0"/>
          <w:numId w:val="26"/>
        </w:numPr>
        <w:spacing w:after="200" w:line="276" w:lineRule="auto"/>
        <w:ind w:left="360" w:hanging="270"/>
        <w:contextualSpacing/>
        <w:jc w:val="both"/>
        <w:rPr>
          <w:rFonts w:asciiTheme="minorHAnsi" w:eastAsiaTheme="minorHAnsi" w:hAnsiTheme="minorHAnsi"/>
          <w:i/>
          <w:sz w:val="22"/>
          <w:lang w:val="sq-AL"/>
        </w:rPr>
      </w:pPr>
      <w:r w:rsidRPr="00AA20B2">
        <w:rPr>
          <w:rFonts w:asciiTheme="minorHAnsi" w:eastAsiaTheme="minorHAnsi" w:hAnsiTheme="minorHAnsi"/>
          <w:i/>
          <w:sz w:val="22"/>
          <w:lang w:val="sq-AL"/>
        </w:rPr>
        <w:t>Ditë Qëndrimi në spital</w:t>
      </w:r>
    </w:p>
    <w:p w:rsidR="00990CDF" w:rsidRPr="00AA20B2" w:rsidRDefault="00990CDF" w:rsidP="007F0B61">
      <w:pPr>
        <w:numPr>
          <w:ilvl w:val="0"/>
          <w:numId w:val="26"/>
        </w:numPr>
        <w:spacing w:after="200" w:line="276" w:lineRule="auto"/>
        <w:ind w:left="360" w:hanging="270"/>
        <w:contextualSpacing/>
        <w:jc w:val="both"/>
        <w:rPr>
          <w:rFonts w:asciiTheme="minorHAnsi" w:eastAsiaTheme="minorHAnsi" w:hAnsiTheme="minorHAnsi"/>
          <w:i/>
          <w:sz w:val="22"/>
          <w:lang w:val="sq-AL"/>
        </w:rPr>
      </w:pPr>
      <w:r w:rsidRPr="00AA20B2">
        <w:rPr>
          <w:rFonts w:asciiTheme="minorHAnsi" w:eastAsiaTheme="minorHAnsi" w:hAnsiTheme="minorHAnsi"/>
          <w:i/>
          <w:sz w:val="22"/>
          <w:lang w:val="sq-AL"/>
        </w:rPr>
        <w:t>Koeficienti i shfrytëzimit të shtratit etj</w:t>
      </w:r>
    </w:p>
    <w:p w:rsidR="00990CDF" w:rsidRPr="00AA20B2" w:rsidRDefault="00990CDF" w:rsidP="006F25E7">
      <w:pPr>
        <w:numPr>
          <w:ilvl w:val="1"/>
          <w:numId w:val="0"/>
        </w:numPr>
        <w:spacing w:line="276" w:lineRule="auto"/>
        <w:jc w:val="both"/>
        <w:rPr>
          <w:rFonts w:asciiTheme="minorHAnsi" w:eastAsiaTheme="majorEastAsia" w:hAnsiTheme="minorHAnsi" w:cstheme="minorHAnsi"/>
          <w:i/>
          <w:iCs/>
          <w:color w:val="000000"/>
          <w:spacing w:val="15"/>
          <w:sz w:val="8"/>
          <w:szCs w:val="8"/>
          <w:lang w:val="sq-AL" w:eastAsia="en-GB"/>
        </w:rPr>
      </w:pPr>
    </w:p>
    <w:p w:rsidR="00AA20B2" w:rsidRDefault="00990CDF" w:rsidP="00AA20B2">
      <w:pPr>
        <w:shd w:val="clear" w:color="auto" w:fill="FFFFFF"/>
        <w:spacing w:line="276" w:lineRule="auto"/>
        <w:jc w:val="both"/>
        <w:rPr>
          <w:rFonts w:asciiTheme="minorHAnsi" w:hAnsiTheme="minorHAnsi" w:cstheme="minorHAnsi"/>
          <w:bCs/>
          <w:color w:val="000000"/>
          <w:bdr w:val="none" w:sz="0" w:space="0" w:color="auto" w:frame="1"/>
          <w:lang w:val="sq-AL"/>
        </w:rPr>
      </w:pPr>
      <w:r w:rsidRPr="00BF005F">
        <w:rPr>
          <w:rFonts w:asciiTheme="minorHAnsi" w:hAnsiTheme="minorHAnsi" w:cstheme="minorHAnsi"/>
          <w:bCs/>
          <w:color w:val="000000"/>
          <w:bdr w:val="none" w:sz="0" w:space="0" w:color="auto" w:frame="1"/>
          <w:lang w:val="sq-AL"/>
        </w:rPr>
        <w:t>Për programin ”Mbështetje për Shëndetësinë”, realizimi i buxhetit për shpenzimet korrente të programit kundrejt buxhetit të akorduar për vitin 2021 është në nivelin 28 %.</w:t>
      </w:r>
      <w:r w:rsidR="00AA20B2">
        <w:rPr>
          <w:rFonts w:asciiTheme="minorHAnsi" w:hAnsiTheme="minorHAnsi" w:cstheme="minorHAnsi"/>
          <w:bCs/>
          <w:color w:val="000000"/>
          <w:bdr w:val="none" w:sz="0" w:space="0" w:color="auto" w:frame="1"/>
          <w:lang w:val="sq-AL"/>
        </w:rPr>
        <w:t xml:space="preserve"> </w:t>
      </w:r>
    </w:p>
    <w:p w:rsidR="00AA20B2" w:rsidRPr="00020968" w:rsidRDefault="00AA20B2" w:rsidP="00AA20B2">
      <w:pPr>
        <w:shd w:val="clear" w:color="auto" w:fill="FFFFFF"/>
        <w:spacing w:line="276" w:lineRule="auto"/>
        <w:jc w:val="both"/>
        <w:rPr>
          <w:rFonts w:asciiTheme="minorHAnsi" w:hAnsiTheme="minorHAnsi" w:cstheme="minorHAnsi"/>
          <w:bCs/>
          <w:color w:val="000000"/>
          <w:sz w:val="8"/>
          <w:szCs w:val="8"/>
          <w:bdr w:val="none" w:sz="0" w:space="0" w:color="auto" w:frame="1"/>
          <w:lang w:val="sq-AL"/>
        </w:rPr>
      </w:pPr>
    </w:p>
    <w:p w:rsidR="00990CDF" w:rsidRPr="00AA20B2" w:rsidRDefault="00990CDF" w:rsidP="00AA20B2">
      <w:pPr>
        <w:shd w:val="clear" w:color="auto" w:fill="FFFFFF"/>
        <w:spacing w:line="276" w:lineRule="auto"/>
        <w:jc w:val="both"/>
        <w:rPr>
          <w:rFonts w:asciiTheme="minorHAnsi" w:hAnsiTheme="minorHAnsi" w:cstheme="minorHAnsi"/>
          <w:bCs/>
          <w:color w:val="000000"/>
          <w:bdr w:val="none" w:sz="0" w:space="0" w:color="auto" w:frame="1"/>
          <w:lang w:val="sq-AL"/>
        </w:rPr>
      </w:pPr>
      <w:r w:rsidRPr="00BF005F">
        <w:rPr>
          <w:rFonts w:asciiTheme="minorHAnsi" w:hAnsiTheme="minorHAnsi" w:cstheme="minorHAnsi"/>
          <w:lang w:val="sq-AL"/>
        </w:rPr>
        <w:t xml:space="preserve">Fondet e miratuara </w:t>
      </w:r>
      <w:r w:rsidRPr="00BF005F">
        <w:rPr>
          <w:rFonts w:asciiTheme="minorHAnsi" w:hAnsiTheme="minorHAnsi" w:cstheme="minorHAnsi"/>
          <w:lang w:val="sq-AL" w:eastAsia="sq-AL"/>
        </w:rPr>
        <w:t xml:space="preserve">për vitin 2021 </w:t>
      </w:r>
      <w:r w:rsidRPr="00BF005F">
        <w:rPr>
          <w:rFonts w:asciiTheme="minorHAnsi" w:hAnsiTheme="minorHAnsi" w:cstheme="minorHAnsi"/>
          <w:lang w:val="sq-AL"/>
        </w:rPr>
        <w:t>për programin “</w:t>
      </w:r>
      <w:r w:rsidRPr="00BF005F">
        <w:rPr>
          <w:rFonts w:asciiTheme="minorHAnsi" w:hAnsiTheme="minorHAnsi" w:cstheme="minorHAnsi"/>
          <w:b/>
          <w:lang w:val="sq-AL"/>
        </w:rPr>
        <w:t>Emergjencat Civile</w:t>
      </w:r>
      <w:r w:rsidRPr="00BF005F">
        <w:rPr>
          <w:rFonts w:asciiTheme="minorHAnsi" w:hAnsiTheme="minorHAnsi" w:cstheme="minorHAnsi"/>
          <w:lang w:val="sq-AL"/>
        </w:rPr>
        <w:t>” përbëjnë</w:t>
      </w:r>
      <w:r w:rsidRPr="00BF005F">
        <w:rPr>
          <w:rFonts w:asciiTheme="minorHAnsi" w:hAnsiTheme="minorHAnsi" w:cstheme="minorHAnsi"/>
          <w:lang w:val="sq-AL" w:eastAsia="sq-AL"/>
        </w:rPr>
        <w:t xml:space="preserve"> rreth 3.3 % të buxhetit të Ministrisë së Mbrojtjes dhe </w:t>
      </w:r>
      <w:r w:rsidRPr="00BF005F">
        <w:rPr>
          <w:rFonts w:asciiTheme="minorHAnsi" w:hAnsiTheme="minorHAnsi" w:cstheme="minorHAnsi"/>
          <w:lang w:val="sq-AL"/>
        </w:rPr>
        <w:t>shpenzohen për realizimin e objektivave:</w:t>
      </w:r>
    </w:p>
    <w:p w:rsidR="00990CDF" w:rsidRPr="009638F4" w:rsidRDefault="00990CDF" w:rsidP="006F25E7">
      <w:pPr>
        <w:numPr>
          <w:ilvl w:val="1"/>
          <w:numId w:val="0"/>
        </w:numPr>
        <w:spacing w:line="276" w:lineRule="auto"/>
        <w:ind w:left="360"/>
        <w:jc w:val="both"/>
        <w:rPr>
          <w:rFonts w:asciiTheme="minorHAnsi" w:eastAsiaTheme="majorEastAsia" w:hAnsiTheme="minorHAnsi" w:cstheme="minorHAnsi"/>
          <w:b/>
          <w:bCs/>
          <w:i/>
          <w:iCs/>
          <w:spacing w:val="15"/>
          <w:sz w:val="8"/>
          <w:szCs w:val="8"/>
          <w:lang w:val="sq-AL"/>
        </w:rPr>
      </w:pPr>
    </w:p>
    <w:p w:rsidR="00990CDF" w:rsidRPr="00BF005F" w:rsidRDefault="00990CDF" w:rsidP="007F0B61">
      <w:pPr>
        <w:numPr>
          <w:ilvl w:val="0"/>
          <w:numId w:val="26"/>
        </w:numPr>
        <w:spacing w:after="200" w:line="276" w:lineRule="auto"/>
        <w:ind w:left="360" w:hanging="270"/>
        <w:contextualSpacing/>
        <w:jc w:val="both"/>
        <w:rPr>
          <w:rFonts w:asciiTheme="minorHAnsi" w:eastAsiaTheme="minorHAnsi" w:hAnsiTheme="minorHAnsi"/>
          <w:lang w:val="sq-AL"/>
        </w:rPr>
      </w:pPr>
      <w:r w:rsidRPr="00BF005F">
        <w:rPr>
          <w:rFonts w:asciiTheme="minorHAnsi" w:eastAsiaTheme="minorHAnsi" w:hAnsiTheme="minorHAnsi"/>
          <w:lang w:val="sq-AL"/>
        </w:rPr>
        <w:t xml:space="preserve">Sigurimi i logjistikes së  nevojshme si dhe mbështetja në operacione humanitare dhe misione ndërkombëtare.Treguesit e performancës për këtë objektiv NR 1. </w:t>
      </w:r>
    </w:p>
    <w:p w:rsidR="00990CDF" w:rsidRPr="00AA20B2" w:rsidRDefault="00990CDF" w:rsidP="007F0B61">
      <w:pPr>
        <w:numPr>
          <w:ilvl w:val="0"/>
          <w:numId w:val="27"/>
        </w:numPr>
        <w:autoSpaceDE w:val="0"/>
        <w:autoSpaceDN w:val="0"/>
        <w:adjustRightInd w:val="0"/>
        <w:contextualSpacing/>
        <w:jc w:val="both"/>
        <w:rPr>
          <w:rFonts w:asciiTheme="minorHAnsi" w:hAnsiTheme="minorHAnsi" w:cstheme="minorHAnsi"/>
          <w:color w:val="000000"/>
          <w:sz w:val="22"/>
          <w:lang w:val="sq-AL"/>
        </w:rPr>
      </w:pPr>
      <w:r w:rsidRPr="00AA20B2">
        <w:rPr>
          <w:rFonts w:asciiTheme="minorHAnsi" w:hAnsiTheme="minorHAnsi" w:cstheme="minorHAnsi"/>
          <w:color w:val="000000"/>
          <w:sz w:val="22"/>
          <w:lang w:val="sq-AL"/>
        </w:rPr>
        <w:t>% e Furnizimit në kohë dhe mbështetja logjistike e FA.</w:t>
      </w:r>
    </w:p>
    <w:p w:rsidR="00990CDF" w:rsidRPr="00AA20B2" w:rsidRDefault="00990CDF" w:rsidP="007F0B61">
      <w:pPr>
        <w:numPr>
          <w:ilvl w:val="0"/>
          <w:numId w:val="27"/>
        </w:numPr>
        <w:autoSpaceDE w:val="0"/>
        <w:autoSpaceDN w:val="0"/>
        <w:adjustRightInd w:val="0"/>
        <w:contextualSpacing/>
        <w:jc w:val="both"/>
        <w:rPr>
          <w:rFonts w:asciiTheme="minorHAnsi" w:hAnsiTheme="minorHAnsi" w:cstheme="minorHAnsi"/>
          <w:color w:val="000000"/>
          <w:sz w:val="22"/>
          <w:lang w:val="sq-AL"/>
        </w:rPr>
      </w:pPr>
      <w:r w:rsidRPr="00AA20B2">
        <w:rPr>
          <w:rFonts w:asciiTheme="minorHAnsi" w:hAnsiTheme="minorHAnsi" w:cstheme="minorHAnsi"/>
          <w:color w:val="000000"/>
          <w:sz w:val="22"/>
          <w:lang w:val="sq-AL"/>
        </w:rPr>
        <w:t>Menaxhimi në kohë dhe profesional i operacioneve të EC dhe CIMIC.</w:t>
      </w:r>
    </w:p>
    <w:p w:rsidR="00990CDF" w:rsidRPr="00AA20B2" w:rsidRDefault="00990CDF" w:rsidP="007F0B61">
      <w:pPr>
        <w:numPr>
          <w:ilvl w:val="0"/>
          <w:numId w:val="27"/>
        </w:numPr>
        <w:autoSpaceDE w:val="0"/>
        <w:autoSpaceDN w:val="0"/>
        <w:adjustRightInd w:val="0"/>
        <w:contextualSpacing/>
        <w:jc w:val="both"/>
        <w:rPr>
          <w:rFonts w:asciiTheme="minorHAnsi" w:hAnsiTheme="minorHAnsi" w:cstheme="minorHAnsi"/>
          <w:color w:val="000000"/>
          <w:sz w:val="22"/>
          <w:lang w:val="sq-AL"/>
        </w:rPr>
      </w:pPr>
      <w:r w:rsidRPr="00AA20B2">
        <w:rPr>
          <w:rFonts w:asciiTheme="minorHAnsi" w:hAnsiTheme="minorHAnsi" w:cstheme="minorHAnsi"/>
          <w:color w:val="000000"/>
          <w:sz w:val="22"/>
          <w:lang w:val="sq-AL"/>
        </w:rPr>
        <w:t>Dokumente të procesuara dhe arkivuara sipas legjislacionit ne fuqi.</w:t>
      </w:r>
    </w:p>
    <w:p w:rsidR="00990CDF" w:rsidRPr="009638F4" w:rsidRDefault="00990CDF" w:rsidP="006F25E7">
      <w:pPr>
        <w:spacing w:line="276" w:lineRule="auto"/>
        <w:ind w:left="360"/>
        <w:contextualSpacing/>
        <w:jc w:val="both"/>
        <w:rPr>
          <w:rFonts w:asciiTheme="minorHAnsi" w:eastAsiaTheme="minorHAnsi" w:hAnsiTheme="minorHAnsi"/>
          <w:sz w:val="8"/>
          <w:szCs w:val="8"/>
          <w:lang w:val="sq-AL"/>
        </w:rPr>
      </w:pPr>
    </w:p>
    <w:p w:rsidR="00990CDF" w:rsidRPr="00BF005F" w:rsidRDefault="00990CDF" w:rsidP="007F0B61">
      <w:pPr>
        <w:numPr>
          <w:ilvl w:val="0"/>
          <w:numId w:val="26"/>
        </w:numPr>
        <w:spacing w:after="200" w:line="276" w:lineRule="auto"/>
        <w:ind w:left="360" w:hanging="270"/>
        <w:contextualSpacing/>
        <w:jc w:val="both"/>
        <w:rPr>
          <w:rFonts w:asciiTheme="minorHAnsi" w:eastAsiaTheme="minorHAnsi" w:hAnsiTheme="minorHAnsi"/>
          <w:lang w:val="sq-AL"/>
        </w:rPr>
      </w:pPr>
      <w:r w:rsidRPr="00BF005F">
        <w:rPr>
          <w:rFonts w:asciiTheme="minorHAnsi" w:eastAsiaTheme="minorHAnsi" w:hAnsiTheme="minorHAnsi"/>
          <w:lang w:val="sq-AL"/>
        </w:rPr>
        <w:t xml:space="preserve">Zvogëlimi e humbjeve në jetë njerëzish, pasurisë, trashëgimisë kulturore dhe në mjedis. Tregues performance: </w:t>
      </w:r>
      <w:r w:rsidRPr="00BF005F">
        <w:rPr>
          <w:rFonts w:asciiTheme="minorHAnsi" w:eastAsiaTheme="minorHAnsi" w:hAnsiTheme="minorHAnsi"/>
          <w:lang w:val="sq-AL"/>
        </w:rPr>
        <w:tab/>
      </w:r>
    </w:p>
    <w:p w:rsidR="00990CDF" w:rsidRPr="00AA20B2" w:rsidRDefault="00990CDF" w:rsidP="007F0B61">
      <w:pPr>
        <w:numPr>
          <w:ilvl w:val="0"/>
          <w:numId w:val="27"/>
        </w:numPr>
        <w:autoSpaceDE w:val="0"/>
        <w:autoSpaceDN w:val="0"/>
        <w:adjustRightInd w:val="0"/>
        <w:contextualSpacing/>
        <w:jc w:val="both"/>
        <w:rPr>
          <w:rFonts w:asciiTheme="minorHAnsi" w:hAnsiTheme="minorHAnsi" w:cstheme="minorHAnsi"/>
          <w:color w:val="000000"/>
          <w:sz w:val="22"/>
          <w:lang w:val="sq-AL"/>
        </w:rPr>
      </w:pPr>
      <w:r w:rsidRPr="00AA20B2">
        <w:rPr>
          <w:rFonts w:asciiTheme="minorHAnsi" w:hAnsiTheme="minorHAnsi" w:cstheme="minorHAnsi"/>
          <w:color w:val="000000"/>
          <w:sz w:val="22"/>
          <w:lang w:val="sq-AL"/>
        </w:rPr>
        <w:t>Jetë të shpëtuara</w:t>
      </w:r>
    </w:p>
    <w:p w:rsidR="00990CDF" w:rsidRPr="00AA20B2" w:rsidRDefault="00990CDF" w:rsidP="007F0B61">
      <w:pPr>
        <w:numPr>
          <w:ilvl w:val="0"/>
          <w:numId w:val="27"/>
        </w:numPr>
        <w:autoSpaceDE w:val="0"/>
        <w:autoSpaceDN w:val="0"/>
        <w:adjustRightInd w:val="0"/>
        <w:contextualSpacing/>
        <w:jc w:val="both"/>
        <w:rPr>
          <w:rFonts w:asciiTheme="minorHAnsi" w:hAnsiTheme="minorHAnsi" w:cstheme="minorHAnsi"/>
          <w:color w:val="000000"/>
          <w:sz w:val="22"/>
          <w:lang w:val="sq-AL"/>
        </w:rPr>
      </w:pPr>
      <w:r w:rsidRPr="00AA20B2">
        <w:rPr>
          <w:rFonts w:asciiTheme="minorHAnsi" w:hAnsiTheme="minorHAnsi" w:cstheme="minorHAnsi"/>
          <w:color w:val="000000"/>
          <w:sz w:val="22"/>
          <w:lang w:val="sq-AL"/>
        </w:rPr>
        <w:t>Familje të dëmshpërblyera</w:t>
      </w:r>
    </w:p>
    <w:p w:rsidR="00990CDF" w:rsidRPr="00AA20B2" w:rsidRDefault="00990CDF" w:rsidP="007F0B61">
      <w:pPr>
        <w:numPr>
          <w:ilvl w:val="0"/>
          <w:numId w:val="27"/>
        </w:numPr>
        <w:autoSpaceDE w:val="0"/>
        <w:autoSpaceDN w:val="0"/>
        <w:adjustRightInd w:val="0"/>
        <w:contextualSpacing/>
        <w:jc w:val="both"/>
        <w:rPr>
          <w:rFonts w:asciiTheme="minorHAnsi" w:hAnsiTheme="minorHAnsi" w:cstheme="minorHAnsi"/>
          <w:color w:val="000000"/>
          <w:sz w:val="22"/>
          <w:lang w:val="sq-AL"/>
        </w:rPr>
      </w:pPr>
      <w:r w:rsidRPr="00AA20B2">
        <w:rPr>
          <w:rFonts w:asciiTheme="minorHAnsi" w:hAnsiTheme="minorHAnsi" w:cstheme="minorHAnsi"/>
          <w:color w:val="000000"/>
          <w:sz w:val="22"/>
          <w:lang w:val="sq-AL"/>
        </w:rPr>
        <w:t>Infrastrukturë dhe mjedis i mbrojtur</w:t>
      </w:r>
    </w:p>
    <w:p w:rsidR="00990CDF" w:rsidRPr="00BF005F" w:rsidRDefault="00990CDF" w:rsidP="007F0B61">
      <w:pPr>
        <w:numPr>
          <w:ilvl w:val="0"/>
          <w:numId w:val="26"/>
        </w:numPr>
        <w:spacing w:after="200" w:line="276" w:lineRule="auto"/>
        <w:ind w:left="360" w:hanging="270"/>
        <w:contextualSpacing/>
        <w:jc w:val="both"/>
        <w:rPr>
          <w:rFonts w:asciiTheme="minorHAnsi" w:hAnsiTheme="minorHAnsi" w:cstheme="minorHAnsi"/>
          <w:lang w:val="sq-AL"/>
        </w:rPr>
      </w:pPr>
      <w:r w:rsidRPr="00BF005F">
        <w:rPr>
          <w:rFonts w:asciiTheme="minorHAnsi" w:eastAsiaTheme="minorHAnsi" w:hAnsiTheme="minorHAnsi"/>
          <w:lang w:val="sq-AL"/>
        </w:rPr>
        <w:t>Rritja e stokut ne mallra ushqimore e industriale dhe krijimi i kushteve optimale për miradministrimin e mallrave të konsideruara si rezervë shtetërore. Tregues performance:</w:t>
      </w:r>
      <w:r w:rsidRPr="00BF005F">
        <w:rPr>
          <w:rFonts w:asciiTheme="minorHAnsi" w:hAnsiTheme="minorHAnsi" w:cstheme="minorHAnsi"/>
          <w:lang w:val="sq-AL"/>
        </w:rPr>
        <w:tab/>
      </w:r>
    </w:p>
    <w:p w:rsidR="00990CDF" w:rsidRPr="00BF005F" w:rsidRDefault="00990CDF" w:rsidP="007F0B61">
      <w:pPr>
        <w:numPr>
          <w:ilvl w:val="0"/>
          <w:numId w:val="27"/>
        </w:numPr>
        <w:autoSpaceDE w:val="0"/>
        <w:autoSpaceDN w:val="0"/>
        <w:adjustRightInd w:val="0"/>
        <w:spacing w:after="200" w:line="276" w:lineRule="auto"/>
        <w:contextualSpacing/>
        <w:jc w:val="both"/>
        <w:rPr>
          <w:rFonts w:asciiTheme="minorHAnsi" w:hAnsiTheme="minorHAnsi" w:cstheme="minorHAnsi"/>
          <w:color w:val="000000"/>
          <w:lang w:val="sq-AL"/>
        </w:rPr>
      </w:pPr>
      <w:r w:rsidRPr="00BF005F">
        <w:rPr>
          <w:rFonts w:asciiTheme="minorHAnsi" w:hAnsiTheme="minorHAnsi" w:cstheme="minorHAnsi"/>
          <w:color w:val="000000"/>
          <w:lang w:val="sq-AL"/>
        </w:rPr>
        <w:t>Rritja e stokut të mallrave rezervë shteti, të cilat do të përdoren për t’i ardhur në ndihmë 4 000 familjeve të prekur nga fatkeqësitë natyrore me mallra rezervë  shtetërore për një periudhë 1 mujore.</w:t>
      </w:r>
    </w:p>
    <w:p w:rsidR="00990CDF" w:rsidRPr="00BF005F" w:rsidRDefault="00990CDF" w:rsidP="006F25E7">
      <w:pPr>
        <w:spacing w:before="120" w:after="120" w:line="276" w:lineRule="auto"/>
        <w:jc w:val="both"/>
        <w:rPr>
          <w:rFonts w:asciiTheme="minorHAnsi" w:hAnsiTheme="minorHAnsi"/>
          <w:b/>
          <w:noProof/>
          <w:color w:val="0070C0"/>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t>RENDI DHE SIGURIA PUBLIKE</w:t>
      </w:r>
    </w:p>
    <w:p w:rsidR="00990CDF" w:rsidRPr="00BF005F" w:rsidRDefault="00990CDF" w:rsidP="006F25E7">
      <w:pPr>
        <w:spacing w:line="276" w:lineRule="auto"/>
        <w:jc w:val="both"/>
        <w:rPr>
          <w:rFonts w:asciiTheme="minorHAnsi" w:hAnsiTheme="minorHAnsi"/>
          <w:color w:val="000000"/>
          <w:lang w:val="sq-AL"/>
        </w:rPr>
      </w:pPr>
      <w:r w:rsidRPr="00BF005F">
        <w:rPr>
          <w:rFonts w:asciiTheme="minorHAnsi" w:hAnsiTheme="minorHAnsi"/>
          <w:color w:val="000000"/>
          <w:lang w:val="sq-AL"/>
        </w:rPr>
        <w:t>Performanca e treguesve buxhetorë për 5 programet e Ministrisë së Brendshme paraqitet si mëposhtë:</w:t>
      </w:r>
      <w:r w:rsidRPr="00BF005F">
        <w:rPr>
          <w:rFonts w:asciiTheme="minorHAnsi" w:hAnsiTheme="minorHAnsi"/>
          <w:color w:val="000000"/>
          <w:lang w:val="sq-AL"/>
        </w:rPr>
        <w:tab/>
      </w:r>
      <w:r w:rsidRPr="00BF005F">
        <w:rPr>
          <w:rFonts w:asciiTheme="minorHAnsi" w:hAnsiTheme="minorHAnsi"/>
          <w:color w:val="000000"/>
          <w:lang w:val="sq-AL"/>
        </w:rPr>
        <w:tab/>
      </w:r>
      <w:r w:rsidRPr="00BF005F">
        <w:rPr>
          <w:rFonts w:asciiTheme="minorHAnsi" w:hAnsiTheme="minorHAnsi"/>
          <w:color w:val="000000"/>
          <w:lang w:val="sq-AL"/>
        </w:rPr>
        <w:tab/>
      </w:r>
    </w:p>
    <w:p w:rsidR="00990CDF" w:rsidRPr="00AA20B2" w:rsidRDefault="00990CDF" w:rsidP="00AA20B2">
      <w:pPr>
        <w:spacing w:before="240" w:line="276" w:lineRule="auto"/>
        <w:rPr>
          <w:rFonts w:asciiTheme="minorHAnsi" w:hAnsiTheme="minorHAnsi"/>
          <w:b/>
          <w:i/>
          <w:iCs/>
          <w:color w:val="4F81BD" w:themeColor="accent1"/>
          <w:sz w:val="22"/>
          <w:lang w:val="sq-AL"/>
        </w:rPr>
      </w:pPr>
      <w:bookmarkStart w:id="149" w:name="_Toc76470078"/>
      <w:r w:rsidRPr="00AA20B2">
        <w:rPr>
          <w:rFonts w:asciiTheme="minorHAnsi" w:hAnsiTheme="minorHAnsi"/>
          <w:i/>
          <w:noProof/>
          <w:sz w:val="22"/>
          <w:lang w:val="fr-FR"/>
        </w:rPr>
        <w:t xml:space="preserve">Tabela </w:t>
      </w:r>
      <w:r w:rsidRPr="00AA20B2">
        <w:rPr>
          <w:rFonts w:asciiTheme="minorHAnsi" w:hAnsiTheme="minorHAnsi"/>
          <w:i/>
          <w:noProof/>
          <w:sz w:val="22"/>
        </w:rPr>
        <w:fldChar w:fldCharType="begin"/>
      </w:r>
      <w:r w:rsidRPr="00AA20B2">
        <w:rPr>
          <w:rFonts w:asciiTheme="minorHAnsi" w:hAnsiTheme="minorHAnsi"/>
          <w:i/>
          <w:noProof/>
          <w:sz w:val="22"/>
          <w:lang w:val="fr-FR"/>
        </w:rPr>
        <w:instrText xml:space="preserve"> SEQ Tabela \* ARABIC </w:instrText>
      </w:r>
      <w:r w:rsidRPr="00AA20B2">
        <w:rPr>
          <w:rFonts w:asciiTheme="minorHAnsi" w:hAnsiTheme="minorHAnsi"/>
          <w:i/>
          <w:noProof/>
          <w:sz w:val="22"/>
        </w:rPr>
        <w:fldChar w:fldCharType="separate"/>
      </w:r>
      <w:r w:rsidR="003C5F40">
        <w:rPr>
          <w:rFonts w:asciiTheme="minorHAnsi" w:hAnsiTheme="minorHAnsi"/>
          <w:i/>
          <w:noProof/>
          <w:sz w:val="22"/>
          <w:lang w:val="fr-FR"/>
        </w:rPr>
        <w:t>24</w:t>
      </w:r>
      <w:r w:rsidRPr="00AA20B2">
        <w:rPr>
          <w:rFonts w:asciiTheme="minorHAnsi" w:hAnsiTheme="minorHAnsi"/>
          <w:i/>
          <w:noProof/>
          <w:sz w:val="22"/>
        </w:rPr>
        <w:fldChar w:fldCharType="end"/>
      </w:r>
      <w:r w:rsidRPr="00AA20B2">
        <w:rPr>
          <w:rFonts w:asciiTheme="minorHAnsi" w:hAnsiTheme="minorHAnsi"/>
          <w:i/>
          <w:noProof/>
          <w:sz w:val="22"/>
          <w:lang w:val="fr-FR"/>
        </w:rPr>
        <w:t>:  Rendi dhe Siguria Publike</w:t>
      </w:r>
      <w:bookmarkEnd w:id="149"/>
      <w:r w:rsidRPr="00AA20B2">
        <w:rPr>
          <w:rFonts w:asciiTheme="minorHAnsi" w:hAnsiTheme="minorHAnsi"/>
          <w:i/>
          <w:noProof/>
          <w:sz w:val="22"/>
          <w:lang w:val="fr-FR"/>
        </w:rPr>
        <w:tab/>
      </w:r>
      <w:r w:rsidRPr="00AA20B2">
        <w:rPr>
          <w:rFonts w:asciiTheme="minorHAnsi" w:hAnsiTheme="minorHAnsi"/>
          <w:b/>
          <w:bCs/>
          <w:color w:val="000000"/>
          <w:sz w:val="22"/>
          <w:lang w:val="sq-AL"/>
        </w:rPr>
        <w:tab/>
      </w:r>
      <w:r w:rsidRPr="00AA20B2">
        <w:rPr>
          <w:rFonts w:asciiTheme="minorHAnsi" w:hAnsiTheme="minorHAnsi"/>
          <w:b/>
          <w:bCs/>
          <w:color w:val="000000"/>
          <w:sz w:val="22"/>
          <w:lang w:val="sq-AL"/>
        </w:rPr>
        <w:tab/>
      </w:r>
      <w:r w:rsidRPr="00AA20B2">
        <w:rPr>
          <w:rFonts w:asciiTheme="minorHAnsi" w:hAnsiTheme="minorHAnsi"/>
          <w:b/>
          <w:bCs/>
          <w:color w:val="000000"/>
          <w:sz w:val="22"/>
          <w:lang w:val="sq-AL"/>
        </w:rPr>
        <w:tab/>
      </w:r>
      <w:r w:rsidRPr="00AA20B2">
        <w:rPr>
          <w:rFonts w:asciiTheme="minorHAnsi" w:hAnsiTheme="minorHAnsi"/>
          <w:b/>
          <w:bCs/>
          <w:color w:val="000000"/>
          <w:sz w:val="22"/>
          <w:lang w:val="sq-AL"/>
        </w:rPr>
        <w:tab/>
      </w:r>
    </w:p>
    <w:p w:rsidR="00990CDF" w:rsidRPr="00AA20B2" w:rsidRDefault="00990CDF" w:rsidP="006F25E7">
      <w:pPr>
        <w:spacing w:line="276" w:lineRule="auto"/>
        <w:jc w:val="right"/>
        <w:rPr>
          <w:rFonts w:asciiTheme="minorHAnsi" w:hAnsiTheme="minorHAnsi"/>
          <w:color w:val="000000"/>
          <w:sz w:val="22"/>
          <w:lang w:val="sq-AL"/>
        </w:rPr>
      </w:pPr>
      <w:r w:rsidRPr="00AA20B2">
        <w:rPr>
          <w:rFonts w:asciiTheme="minorHAnsi" w:hAnsiTheme="minorHAnsi"/>
          <w:bCs/>
          <w:i/>
          <w:iCs/>
          <w:sz w:val="22"/>
          <w:lang w:val="sq-AL"/>
        </w:rPr>
        <w:t>Në mijë lekë</w:t>
      </w:r>
    </w:p>
    <w:tbl>
      <w:tblPr>
        <w:tblW w:w="9645" w:type="dxa"/>
        <w:tblInd w:w="93" w:type="dxa"/>
        <w:tblLayout w:type="fixed"/>
        <w:tblLook w:val="04A0" w:firstRow="1" w:lastRow="0" w:firstColumn="1" w:lastColumn="0" w:noHBand="0" w:noVBand="1"/>
      </w:tblPr>
      <w:tblGrid>
        <w:gridCol w:w="465"/>
        <w:gridCol w:w="3060"/>
        <w:gridCol w:w="1170"/>
        <w:gridCol w:w="990"/>
        <w:gridCol w:w="990"/>
        <w:gridCol w:w="990"/>
        <w:gridCol w:w="990"/>
        <w:gridCol w:w="990"/>
      </w:tblGrid>
      <w:tr w:rsidR="00990CDF" w:rsidRPr="00AA20B2" w:rsidTr="00E7447D">
        <w:trPr>
          <w:trHeight w:val="315"/>
        </w:trPr>
        <w:tc>
          <w:tcPr>
            <w:tcW w:w="465" w:type="dxa"/>
            <w:vMerge w:val="restart"/>
            <w:tcBorders>
              <w:top w:val="single" w:sz="8" w:space="0" w:color="548DD4"/>
              <w:left w:val="single" w:sz="8" w:space="0" w:color="548DD4"/>
              <w:bottom w:val="single" w:sz="8" w:space="0" w:color="548DD4"/>
              <w:right w:val="single" w:sz="8" w:space="0" w:color="548DD4"/>
            </w:tcBorders>
            <w:shd w:val="clear" w:color="000000" w:fill="4BACC6"/>
            <w:vAlign w:val="center"/>
            <w:hideMark/>
          </w:tcPr>
          <w:p w:rsidR="00990CDF" w:rsidRPr="00AA20B2" w:rsidRDefault="00990CDF" w:rsidP="006F25E7">
            <w:pPr>
              <w:spacing w:line="276" w:lineRule="auto"/>
              <w:jc w:val="center"/>
              <w:rPr>
                <w:rFonts w:asciiTheme="minorHAnsi" w:hAnsiTheme="minorHAnsi"/>
                <w:b/>
                <w:bCs/>
                <w:color w:val="FFFFFF"/>
                <w:sz w:val="18"/>
              </w:rPr>
            </w:pPr>
            <w:r w:rsidRPr="00AA20B2">
              <w:rPr>
                <w:rFonts w:asciiTheme="minorHAnsi" w:hAnsiTheme="minorHAnsi"/>
                <w:b/>
                <w:bCs/>
                <w:color w:val="FFFFFF"/>
                <w:sz w:val="18"/>
                <w:lang w:val="sq-AL"/>
              </w:rPr>
              <w:t>NR</w:t>
            </w:r>
          </w:p>
        </w:tc>
        <w:tc>
          <w:tcPr>
            <w:tcW w:w="3060" w:type="dxa"/>
            <w:vMerge w:val="restart"/>
            <w:tcBorders>
              <w:top w:val="single" w:sz="8" w:space="0" w:color="548DD4"/>
              <w:left w:val="single" w:sz="8" w:space="0" w:color="548DD4"/>
              <w:bottom w:val="single" w:sz="8" w:space="0" w:color="548DD4"/>
              <w:right w:val="single" w:sz="8" w:space="0" w:color="548DD4"/>
            </w:tcBorders>
            <w:shd w:val="clear" w:color="000000" w:fill="4BACC6"/>
            <w:vAlign w:val="center"/>
            <w:hideMark/>
          </w:tcPr>
          <w:p w:rsidR="00990CDF" w:rsidRPr="00AA20B2" w:rsidRDefault="00990CDF" w:rsidP="006F25E7">
            <w:pPr>
              <w:spacing w:line="276" w:lineRule="auto"/>
              <w:jc w:val="center"/>
              <w:rPr>
                <w:rFonts w:asciiTheme="minorHAnsi" w:hAnsiTheme="minorHAnsi"/>
                <w:b/>
                <w:bCs/>
                <w:color w:val="FFFFFF"/>
                <w:sz w:val="18"/>
              </w:rPr>
            </w:pPr>
            <w:r w:rsidRPr="00AA20B2">
              <w:rPr>
                <w:rFonts w:asciiTheme="minorHAnsi" w:hAnsiTheme="minorHAnsi"/>
                <w:b/>
                <w:bCs/>
                <w:color w:val="FFFFFF"/>
                <w:sz w:val="18"/>
                <w:lang w:val="sq-AL"/>
              </w:rPr>
              <w:t>Emërtimi i Programit</w:t>
            </w:r>
          </w:p>
        </w:tc>
        <w:tc>
          <w:tcPr>
            <w:tcW w:w="2160" w:type="dxa"/>
            <w:gridSpan w:val="2"/>
            <w:tcBorders>
              <w:top w:val="single" w:sz="8" w:space="0" w:color="548DD4"/>
              <w:left w:val="nil"/>
              <w:bottom w:val="single" w:sz="8" w:space="0" w:color="548DD4"/>
              <w:right w:val="single" w:sz="8" w:space="0" w:color="548DD4"/>
            </w:tcBorders>
            <w:shd w:val="clear" w:color="000000" w:fill="4BACC6"/>
            <w:vAlign w:val="center"/>
            <w:hideMark/>
          </w:tcPr>
          <w:p w:rsidR="00990CDF" w:rsidRPr="00AA20B2" w:rsidRDefault="00990CDF" w:rsidP="006F25E7">
            <w:pPr>
              <w:spacing w:line="276" w:lineRule="auto"/>
              <w:jc w:val="center"/>
              <w:rPr>
                <w:rFonts w:asciiTheme="minorHAnsi" w:hAnsiTheme="minorHAnsi"/>
                <w:b/>
                <w:bCs/>
                <w:color w:val="FFFFFF"/>
                <w:sz w:val="18"/>
              </w:rPr>
            </w:pPr>
            <w:r w:rsidRPr="00AA20B2">
              <w:rPr>
                <w:rFonts w:asciiTheme="minorHAnsi" w:hAnsiTheme="minorHAnsi"/>
                <w:b/>
                <w:bCs/>
                <w:color w:val="FFFFFF"/>
                <w:sz w:val="18"/>
                <w:lang w:val="sq-AL"/>
              </w:rPr>
              <w:t>Plani 2021</w:t>
            </w:r>
          </w:p>
        </w:tc>
        <w:tc>
          <w:tcPr>
            <w:tcW w:w="1980" w:type="dxa"/>
            <w:gridSpan w:val="2"/>
            <w:tcBorders>
              <w:top w:val="single" w:sz="8" w:space="0" w:color="548DD4"/>
              <w:left w:val="nil"/>
              <w:bottom w:val="single" w:sz="8" w:space="0" w:color="548DD4"/>
              <w:right w:val="single" w:sz="8" w:space="0" w:color="548DD4"/>
            </w:tcBorders>
            <w:shd w:val="clear" w:color="000000" w:fill="4BACC6"/>
            <w:vAlign w:val="center"/>
            <w:hideMark/>
          </w:tcPr>
          <w:p w:rsidR="00990CDF" w:rsidRPr="00AA20B2" w:rsidRDefault="00990CDF" w:rsidP="006F25E7">
            <w:pPr>
              <w:spacing w:line="276" w:lineRule="auto"/>
              <w:jc w:val="center"/>
              <w:rPr>
                <w:rFonts w:asciiTheme="minorHAnsi" w:hAnsiTheme="minorHAnsi"/>
                <w:b/>
                <w:bCs/>
                <w:color w:val="FFFFFF"/>
                <w:sz w:val="18"/>
              </w:rPr>
            </w:pPr>
            <w:r w:rsidRPr="00AA20B2">
              <w:rPr>
                <w:rFonts w:asciiTheme="minorHAnsi" w:hAnsiTheme="minorHAnsi"/>
                <w:b/>
                <w:bCs/>
                <w:color w:val="FFFFFF"/>
                <w:sz w:val="18"/>
                <w:lang w:val="sq-AL"/>
              </w:rPr>
              <w:t>Fakti 4M 2021</w:t>
            </w:r>
          </w:p>
        </w:tc>
        <w:tc>
          <w:tcPr>
            <w:tcW w:w="1980" w:type="dxa"/>
            <w:gridSpan w:val="2"/>
            <w:tcBorders>
              <w:top w:val="single" w:sz="8" w:space="0" w:color="548DD4"/>
              <w:left w:val="nil"/>
              <w:bottom w:val="single" w:sz="8" w:space="0" w:color="548DD4"/>
              <w:right w:val="single" w:sz="8" w:space="0" w:color="548DD4"/>
            </w:tcBorders>
            <w:shd w:val="clear" w:color="000000" w:fill="4BACC6"/>
            <w:vAlign w:val="center"/>
            <w:hideMark/>
          </w:tcPr>
          <w:p w:rsidR="00990CDF" w:rsidRPr="00AA20B2" w:rsidRDefault="00990CDF" w:rsidP="006F25E7">
            <w:pPr>
              <w:spacing w:line="276" w:lineRule="auto"/>
              <w:jc w:val="center"/>
              <w:rPr>
                <w:rFonts w:asciiTheme="minorHAnsi" w:hAnsiTheme="minorHAnsi"/>
                <w:b/>
                <w:bCs/>
                <w:color w:val="FFFFFF"/>
                <w:sz w:val="18"/>
              </w:rPr>
            </w:pPr>
            <w:r w:rsidRPr="00AA20B2">
              <w:rPr>
                <w:rFonts w:asciiTheme="minorHAnsi" w:hAnsiTheme="minorHAnsi"/>
                <w:b/>
                <w:bCs/>
                <w:color w:val="FFFFFF"/>
                <w:sz w:val="18"/>
                <w:lang w:val="sq-AL"/>
              </w:rPr>
              <w:t>Përqindja  e realizimit</w:t>
            </w:r>
          </w:p>
        </w:tc>
      </w:tr>
      <w:tr w:rsidR="00990CDF" w:rsidRPr="00AA20B2" w:rsidTr="00E7447D">
        <w:trPr>
          <w:trHeight w:val="315"/>
        </w:trPr>
        <w:tc>
          <w:tcPr>
            <w:tcW w:w="465" w:type="dxa"/>
            <w:vMerge/>
            <w:tcBorders>
              <w:top w:val="single" w:sz="8" w:space="0" w:color="548DD4"/>
              <w:left w:val="single" w:sz="8" w:space="0" w:color="548DD4"/>
              <w:bottom w:val="single" w:sz="8" w:space="0" w:color="548DD4"/>
              <w:right w:val="single" w:sz="8" w:space="0" w:color="548DD4"/>
            </w:tcBorders>
            <w:vAlign w:val="center"/>
            <w:hideMark/>
          </w:tcPr>
          <w:p w:rsidR="00990CDF" w:rsidRPr="00AA20B2" w:rsidRDefault="00990CDF" w:rsidP="006F25E7">
            <w:pPr>
              <w:spacing w:line="276" w:lineRule="auto"/>
              <w:rPr>
                <w:rFonts w:asciiTheme="minorHAnsi" w:hAnsiTheme="minorHAnsi"/>
                <w:b/>
                <w:bCs/>
                <w:color w:val="FFFFFF"/>
                <w:sz w:val="18"/>
              </w:rPr>
            </w:pPr>
          </w:p>
        </w:tc>
        <w:tc>
          <w:tcPr>
            <w:tcW w:w="3060" w:type="dxa"/>
            <w:vMerge/>
            <w:tcBorders>
              <w:top w:val="single" w:sz="8" w:space="0" w:color="548DD4"/>
              <w:left w:val="single" w:sz="8" w:space="0" w:color="548DD4"/>
              <w:bottom w:val="single" w:sz="8" w:space="0" w:color="548DD4"/>
              <w:right w:val="single" w:sz="8" w:space="0" w:color="548DD4"/>
            </w:tcBorders>
            <w:vAlign w:val="center"/>
            <w:hideMark/>
          </w:tcPr>
          <w:p w:rsidR="00990CDF" w:rsidRPr="00AA20B2" w:rsidRDefault="00990CDF" w:rsidP="006F25E7">
            <w:pPr>
              <w:spacing w:line="276" w:lineRule="auto"/>
              <w:rPr>
                <w:rFonts w:asciiTheme="minorHAnsi" w:hAnsiTheme="minorHAnsi"/>
                <w:b/>
                <w:bCs/>
                <w:color w:val="FFFFFF"/>
                <w:sz w:val="18"/>
              </w:rPr>
            </w:pPr>
          </w:p>
        </w:tc>
        <w:tc>
          <w:tcPr>
            <w:tcW w:w="1170" w:type="dxa"/>
            <w:tcBorders>
              <w:top w:val="nil"/>
              <w:left w:val="nil"/>
              <w:bottom w:val="single" w:sz="8" w:space="0" w:color="548DD4"/>
              <w:right w:val="single" w:sz="8" w:space="0" w:color="548DD4"/>
            </w:tcBorders>
            <w:shd w:val="clear" w:color="000000" w:fill="4BACC6"/>
            <w:vAlign w:val="center"/>
            <w:hideMark/>
          </w:tcPr>
          <w:p w:rsidR="00990CDF" w:rsidRPr="00AA20B2" w:rsidRDefault="00990CDF" w:rsidP="006F25E7">
            <w:pPr>
              <w:spacing w:line="276" w:lineRule="auto"/>
              <w:rPr>
                <w:rFonts w:asciiTheme="minorHAnsi" w:hAnsiTheme="minorHAnsi"/>
                <w:b/>
                <w:bCs/>
                <w:color w:val="FFFFFF"/>
                <w:sz w:val="18"/>
              </w:rPr>
            </w:pPr>
            <w:r w:rsidRPr="00AA20B2">
              <w:rPr>
                <w:rFonts w:asciiTheme="minorHAnsi" w:hAnsiTheme="minorHAnsi"/>
                <w:b/>
                <w:bCs/>
                <w:color w:val="FFFFFF"/>
                <w:sz w:val="18"/>
                <w:lang w:val="sq-AL"/>
              </w:rPr>
              <w:t>Korrente</w:t>
            </w:r>
          </w:p>
        </w:tc>
        <w:tc>
          <w:tcPr>
            <w:tcW w:w="990" w:type="dxa"/>
            <w:tcBorders>
              <w:top w:val="nil"/>
              <w:left w:val="nil"/>
              <w:bottom w:val="single" w:sz="8" w:space="0" w:color="548DD4"/>
              <w:right w:val="single" w:sz="8" w:space="0" w:color="548DD4"/>
            </w:tcBorders>
            <w:shd w:val="clear" w:color="000000" w:fill="4BACC6"/>
            <w:vAlign w:val="center"/>
            <w:hideMark/>
          </w:tcPr>
          <w:p w:rsidR="00990CDF" w:rsidRPr="00AA20B2" w:rsidRDefault="00990CDF" w:rsidP="006F25E7">
            <w:pPr>
              <w:spacing w:line="276" w:lineRule="auto"/>
              <w:jc w:val="center"/>
              <w:rPr>
                <w:rFonts w:asciiTheme="minorHAnsi" w:hAnsiTheme="minorHAnsi"/>
                <w:b/>
                <w:bCs/>
                <w:color w:val="FFFFFF"/>
                <w:sz w:val="18"/>
              </w:rPr>
            </w:pPr>
            <w:r w:rsidRPr="00AA20B2">
              <w:rPr>
                <w:rFonts w:asciiTheme="minorHAnsi" w:hAnsiTheme="minorHAnsi"/>
                <w:b/>
                <w:bCs/>
                <w:color w:val="FFFFFF"/>
                <w:sz w:val="18"/>
                <w:lang w:val="sq-AL"/>
              </w:rPr>
              <w:t>Investime</w:t>
            </w:r>
          </w:p>
        </w:tc>
        <w:tc>
          <w:tcPr>
            <w:tcW w:w="990" w:type="dxa"/>
            <w:tcBorders>
              <w:top w:val="nil"/>
              <w:left w:val="nil"/>
              <w:bottom w:val="single" w:sz="8" w:space="0" w:color="548DD4"/>
              <w:right w:val="single" w:sz="8" w:space="0" w:color="548DD4"/>
            </w:tcBorders>
            <w:shd w:val="clear" w:color="000000" w:fill="4BACC6"/>
            <w:vAlign w:val="center"/>
            <w:hideMark/>
          </w:tcPr>
          <w:p w:rsidR="00990CDF" w:rsidRPr="00AA20B2" w:rsidRDefault="00990CDF" w:rsidP="006F25E7">
            <w:pPr>
              <w:spacing w:line="276" w:lineRule="auto"/>
              <w:jc w:val="center"/>
              <w:rPr>
                <w:rFonts w:asciiTheme="minorHAnsi" w:hAnsiTheme="minorHAnsi"/>
                <w:b/>
                <w:bCs/>
                <w:color w:val="FFFFFF"/>
                <w:sz w:val="18"/>
              </w:rPr>
            </w:pPr>
            <w:r w:rsidRPr="00AA20B2">
              <w:rPr>
                <w:rFonts w:asciiTheme="minorHAnsi" w:hAnsiTheme="minorHAnsi"/>
                <w:b/>
                <w:bCs/>
                <w:color w:val="FFFFFF"/>
                <w:sz w:val="18"/>
                <w:lang w:val="sq-AL"/>
              </w:rPr>
              <w:t>Korrente</w:t>
            </w:r>
          </w:p>
        </w:tc>
        <w:tc>
          <w:tcPr>
            <w:tcW w:w="990" w:type="dxa"/>
            <w:tcBorders>
              <w:top w:val="nil"/>
              <w:left w:val="nil"/>
              <w:bottom w:val="single" w:sz="8" w:space="0" w:color="548DD4"/>
              <w:right w:val="single" w:sz="8" w:space="0" w:color="548DD4"/>
            </w:tcBorders>
            <w:shd w:val="clear" w:color="000000" w:fill="4BACC6"/>
            <w:vAlign w:val="center"/>
            <w:hideMark/>
          </w:tcPr>
          <w:p w:rsidR="00990CDF" w:rsidRPr="00AA20B2" w:rsidRDefault="00990CDF" w:rsidP="006F25E7">
            <w:pPr>
              <w:spacing w:line="276" w:lineRule="auto"/>
              <w:jc w:val="center"/>
              <w:rPr>
                <w:rFonts w:asciiTheme="minorHAnsi" w:hAnsiTheme="minorHAnsi"/>
                <w:b/>
                <w:bCs/>
                <w:color w:val="FFFFFF"/>
                <w:sz w:val="18"/>
              </w:rPr>
            </w:pPr>
            <w:r w:rsidRPr="00AA20B2">
              <w:rPr>
                <w:rFonts w:asciiTheme="minorHAnsi" w:hAnsiTheme="minorHAnsi"/>
                <w:b/>
                <w:bCs/>
                <w:color w:val="FFFFFF"/>
                <w:sz w:val="18"/>
                <w:lang w:val="sq-AL"/>
              </w:rPr>
              <w:t>Investime</w:t>
            </w:r>
          </w:p>
        </w:tc>
        <w:tc>
          <w:tcPr>
            <w:tcW w:w="990" w:type="dxa"/>
            <w:tcBorders>
              <w:top w:val="nil"/>
              <w:left w:val="nil"/>
              <w:bottom w:val="single" w:sz="8" w:space="0" w:color="548DD4"/>
              <w:right w:val="single" w:sz="8" w:space="0" w:color="548DD4"/>
            </w:tcBorders>
            <w:shd w:val="clear" w:color="000000" w:fill="4BACC6"/>
            <w:vAlign w:val="center"/>
            <w:hideMark/>
          </w:tcPr>
          <w:p w:rsidR="00990CDF" w:rsidRPr="00AA20B2" w:rsidRDefault="00990CDF" w:rsidP="006F25E7">
            <w:pPr>
              <w:spacing w:line="276" w:lineRule="auto"/>
              <w:jc w:val="center"/>
              <w:rPr>
                <w:rFonts w:asciiTheme="minorHAnsi" w:hAnsiTheme="minorHAnsi"/>
                <w:b/>
                <w:bCs/>
                <w:color w:val="FFFFFF"/>
                <w:sz w:val="18"/>
              </w:rPr>
            </w:pPr>
            <w:r w:rsidRPr="00AA20B2">
              <w:rPr>
                <w:rFonts w:asciiTheme="minorHAnsi" w:hAnsiTheme="minorHAnsi"/>
                <w:b/>
                <w:bCs/>
                <w:color w:val="FFFFFF"/>
                <w:sz w:val="18"/>
                <w:lang w:val="sq-AL"/>
              </w:rPr>
              <w:t>Korrente</w:t>
            </w:r>
          </w:p>
        </w:tc>
        <w:tc>
          <w:tcPr>
            <w:tcW w:w="990" w:type="dxa"/>
            <w:tcBorders>
              <w:top w:val="nil"/>
              <w:left w:val="nil"/>
              <w:bottom w:val="single" w:sz="8" w:space="0" w:color="548DD4"/>
              <w:right w:val="single" w:sz="8" w:space="0" w:color="548DD4"/>
            </w:tcBorders>
            <w:shd w:val="clear" w:color="000000" w:fill="4BACC6"/>
            <w:vAlign w:val="center"/>
            <w:hideMark/>
          </w:tcPr>
          <w:p w:rsidR="00990CDF" w:rsidRPr="00AA20B2" w:rsidRDefault="00990CDF" w:rsidP="006F25E7">
            <w:pPr>
              <w:spacing w:line="276" w:lineRule="auto"/>
              <w:jc w:val="center"/>
              <w:rPr>
                <w:rFonts w:asciiTheme="minorHAnsi" w:hAnsiTheme="minorHAnsi"/>
                <w:b/>
                <w:bCs/>
                <w:color w:val="FFFFFF"/>
                <w:sz w:val="18"/>
              </w:rPr>
            </w:pPr>
            <w:r w:rsidRPr="00AA20B2">
              <w:rPr>
                <w:rFonts w:asciiTheme="minorHAnsi" w:hAnsiTheme="minorHAnsi"/>
                <w:b/>
                <w:bCs/>
                <w:color w:val="FFFFFF"/>
                <w:sz w:val="18"/>
                <w:lang w:val="sq-AL"/>
              </w:rPr>
              <w:t>Investime</w:t>
            </w:r>
          </w:p>
        </w:tc>
      </w:tr>
      <w:tr w:rsidR="00990CDF" w:rsidRPr="00AA20B2" w:rsidTr="00E7447D">
        <w:trPr>
          <w:trHeight w:val="313"/>
        </w:trPr>
        <w:tc>
          <w:tcPr>
            <w:tcW w:w="465" w:type="dxa"/>
            <w:tcBorders>
              <w:top w:val="nil"/>
              <w:left w:val="single" w:sz="8" w:space="0" w:color="548DD4"/>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rPr>
              <w:t>1</w:t>
            </w:r>
          </w:p>
        </w:tc>
        <w:tc>
          <w:tcPr>
            <w:tcW w:w="306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rPr>
                <w:rFonts w:asciiTheme="minorHAnsi" w:hAnsiTheme="minorHAnsi"/>
                <w:color w:val="000000"/>
                <w:sz w:val="18"/>
              </w:rPr>
            </w:pPr>
            <w:r w:rsidRPr="00AA20B2">
              <w:rPr>
                <w:rFonts w:asciiTheme="minorHAnsi" w:hAnsiTheme="minorHAnsi"/>
                <w:color w:val="000000"/>
                <w:sz w:val="18"/>
              </w:rPr>
              <w:t>Planifikim, Menaxhim, Administrim</w:t>
            </w:r>
          </w:p>
        </w:tc>
        <w:tc>
          <w:tcPr>
            <w:tcW w:w="117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rPr>
              <w:t>1,271,024</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rPr>
              <w:t>93,849</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rPr>
              <w:t>419,191</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rPr>
              <w:t>10,041</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rPr>
              <w:t>32.98%</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rPr>
              <w:t>10.70%</w:t>
            </w:r>
          </w:p>
        </w:tc>
      </w:tr>
      <w:tr w:rsidR="00990CDF" w:rsidRPr="00AA20B2" w:rsidTr="00E7447D">
        <w:trPr>
          <w:trHeight w:val="277"/>
        </w:trPr>
        <w:tc>
          <w:tcPr>
            <w:tcW w:w="465" w:type="dxa"/>
            <w:tcBorders>
              <w:top w:val="nil"/>
              <w:left w:val="single" w:sz="8" w:space="0" w:color="548DD4"/>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2</w:t>
            </w:r>
          </w:p>
        </w:tc>
        <w:tc>
          <w:tcPr>
            <w:tcW w:w="306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rPr>
                <w:rFonts w:asciiTheme="minorHAnsi" w:hAnsiTheme="minorHAnsi"/>
                <w:color w:val="000000"/>
                <w:sz w:val="18"/>
              </w:rPr>
            </w:pPr>
            <w:r w:rsidRPr="00AA20B2">
              <w:rPr>
                <w:rFonts w:asciiTheme="minorHAnsi" w:hAnsiTheme="minorHAnsi"/>
                <w:color w:val="000000"/>
                <w:sz w:val="18"/>
                <w:lang w:val="sq-AL"/>
              </w:rPr>
              <w:t>Policia e Shtetit</w:t>
            </w:r>
          </w:p>
        </w:tc>
        <w:tc>
          <w:tcPr>
            <w:tcW w:w="117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15,486,200</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662,151</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4,683,916</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114,772</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30.25%</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17.33%</w:t>
            </w:r>
          </w:p>
        </w:tc>
      </w:tr>
      <w:tr w:rsidR="00990CDF" w:rsidRPr="00AA20B2" w:rsidTr="00E7447D">
        <w:trPr>
          <w:trHeight w:val="313"/>
        </w:trPr>
        <w:tc>
          <w:tcPr>
            <w:tcW w:w="465" w:type="dxa"/>
            <w:tcBorders>
              <w:top w:val="nil"/>
              <w:left w:val="single" w:sz="8" w:space="0" w:color="548DD4"/>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rPr>
                <w:rFonts w:asciiTheme="minorHAnsi" w:hAnsiTheme="minorHAnsi"/>
                <w:color w:val="000000"/>
                <w:sz w:val="18"/>
              </w:rPr>
            </w:pPr>
            <w:r w:rsidRPr="00AA20B2">
              <w:rPr>
                <w:rFonts w:asciiTheme="minorHAnsi" w:hAnsiTheme="minorHAnsi"/>
                <w:color w:val="000000"/>
                <w:sz w:val="18"/>
                <w:lang w:val="sq-AL"/>
              </w:rPr>
              <w:t> </w:t>
            </w:r>
          </w:p>
        </w:tc>
        <w:tc>
          <w:tcPr>
            <w:tcW w:w="306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center"/>
              <w:rPr>
                <w:rFonts w:asciiTheme="minorHAnsi" w:hAnsiTheme="minorHAnsi"/>
                <w:color w:val="000000"/>
                <w:sz w:val="18"/>
              </w:rPr>
            </w:pPr>
            <w:r w:rsidRPr="00AA20B2">
              <w:rPr>
                <w:rFonts w:asciiTheme="minorHAnsi" w:hAnsiTheme="minorHAnsi"/>
                <w:color w:val="000000"/>
                <w:sz w:val="18"/>
                <w:lang w:val="sq-AL"/>
              </w:rPr>
              <w:t>Financimi i huaj</w:t>
            </w:r>
          </w:p>
        </w:tc>
        <w:tc>
          <w:tcPr>
            <w:tcW w:w="117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 </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618,868</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 </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31,812</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rPr>
              <w:t> </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5.14%</w:t>
            </w:r>
          </w:p>
        </w:tc>
      </w:tr>
      <w:tr w:rsidR="00990CDF" w:rsidRPr="00AA20B2" w:rsidTr="00E7447D">
        <w:trPr>
          <w:trHeight w:val="250"/>
        </w:trPr>
        <w:tc>
          <w:tcPr>
            <w:tcW w:w="465" w:type="dxa"/>
            <w:tcBorders>
              <w:top w:val="nil"/>
              <w:left w:val="single" w:sz="8" w:space="0" w:color="548DD4"/>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3</w:t>
            </w:r>
          </w:p>
        </w:tc>
        <w:tc>
          <w:tcPr>
            <w:tcW w:w="306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rPr>
                <w:rFonts w:asciiTheme="minorHAnsi" w:hAnsiTheme="minorHAnsi"/>
                <w:color w:val="000000"/>
                <w:sz w:val="18"/>
              </w:rPr>
            </w:pPr>
            <w:r w:rsidRPr="00AA20B2">
              <w:rPr>
                <w:rFonts w:asciiTheme="minorHAnsi" w:hAnsiTheme="minorHAnsi"/>
                <w:color w:val="000000"/>
                <w:sz w:val="18"/>
                <w:lang w:val="sq-AL"/>
              </w:rPr>
              <w:t>Garda e Republikës</w:t>
            </w:r>
          </w:p>
        </w:tc>
        <w:tc>
          <w:tcPr>
            <w:tcW w:w="117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1,537,000</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110,000</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545,315</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35.48%</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0.00%</w:t>
            </w:r>
          </w:p>
        </w:tc>
      </w:tr>
      <w:tr w:rsidR="00990CDF" w:rsidRPr="00AA20B2" w:rsidTr="00E7447D">
        <w:trPr>
          <w:trHeight w:val="250"/>
        </w:trPr>
        <w:tc>
          <w:tcPr>
            <w:tcW w:w="465" w:type="dxa"/>
            <w:tcBorders>
              <w:top w:val="nil"/>
              <w:left w:val="single" w:sz="8" w:space="0" w:color="548DD4"/>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4</w:t>
            </w:r>
          </w:p>
        </w:tc>
        <w:tc>
          <w:tcPr>
            <w:tcW w:w="306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rPr>
                <w:rFonts w:asciiTheme="minorHAnsi" w:hAnsiTheme="minorHAnsi"/>
                <w:color w:val="000000"/>
                <w:sz w:val="18"/>
              </w:rPr>
            </w:pPr>
            <w:r w:rsidRPr="00AA20B2">
              <w:rPr>
                <w:rFonts w:asciiTheme="minorHAnsi" w:hAnsiTheme="minorHAnsi"/>
                <w:color w:val="000000"/>
                <w:sz w:val="18"/>
                <w:lang w:val="sq-AL"/>
              </w:rPr>
              <w:t>Shërbimi i Gjendjes Civile</w:t>
            </w:r>
          </w:p>
        </w:tc>
        <w:tc>
          <w:tcPr>
            <w:tcW w:w="117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600,100</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0</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136,343</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22.72%</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0.00%</w:t>
            </w:r>
          </w:p>
        </w:tc>
      </w:tr>
      <w:tr w:rsidR="00990CDF" w:rsidRPr="00AA20B2" w:rsidTr="00E7447D">
        <w:trPr>
          <w:trHeight w:val="250"/>
        </w:trPr>
        <w:tc>
          <w:tcPr>
            <w:tcW w:w="465" w:type="dxa"/>
            <w:tcBorders>
              <w:top w:val="nil"/>
              <w:left w:val="single" w:sz="8" w:space="0" w:color="548DD4"/>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5</w:t>
            </w:r>
          </w:p>
        </w:tc>
        <w:tc>
          <w:tcPr>
            <w:tcW w:w="306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rPr>
                <w:rFonts w:asciiTheme="minorHAnsi" w:hAnsiTheme="minorHAnsi"/>
                <w:color w:val="000000"/>
                <w:sz w:val="18"/>
              </w:rPr>
            </w:pPr>
            <w:r w:rsidRPr="00AA20B2">
              <w:rPr>
                <w:rFonts w:asciiTheme="minorHAnsi" w:hAnsiTheme="minorHAnsi"/>
                <w:color w:val="000000"/>
                <w:sz w:val="18"/>
                <w:lang w:val="sq-AL"/>
              </w:rPr>
              <w:t>Prefekturat dhe Funksionet e Deleguar</w:t>
            </w:r>
          </w:p>
        </w:tc>
        <w:tc>
          <w:tcPr>
            <w:tcW w:w="117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504,507</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15,000</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139,952</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0</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27.74%</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0.00%</w:t>
            </w:r>
          </w:p>
        </w:tc>
      </w:tr>
      <w:tr w:rsidR="00990CDF" w:rsidRPr="00AA20B2" w:rsidTr="00E7447D">
        <w:trPr>
          <w:trHeight w:val="250"/>
        </w:trPr>
        <w:tc>
          <w:tcPr>
            <w:tcW w:w="465" w:type="dxa"/>
            <w:tcBorders>
              <w:top w:val="nil"/>
              <w:left w:val="single" w:sz="8" w:space="0" w:color="548DD4"/>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rPr>
                <w:rFonts w:asciiTheme="minorHAnsi" w:hAnsiTheme="minorHAnsi"/>
                <w:color w:val="000000"/>
                <w:sz w:val="18"/>
              </w:rPr>
            </w:pPr>
            <w:r w:rsidRPr="00AA20B2">
              <w:rPr>
                <w:rFonts w:asciiTheme="minorHAnsi" w:hAnsiTheme="minorHAnsi"/>
                <w:color w:val="000000"/>
                <w:sz w:val="18"/>
                <w:lang w:val="sq-AL"/>
              </w:rPr>
              <w:t> </w:t>
            </w:r>
          </w:p>
        </w:tc>
        <w:tc>
          <w:tcPr>
            <w:tcW w:w="306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rPr>
                <w:rFonts w:asciiTheme="minorHAnsi" w:hAnsiTheme="minorHAnsi"/>
                <w:color w:val="000000"/>
                <w:sz w:val="18"/>
              </w:rPr>
            </w:pPr>
            <w:r w:rsidRPr="00AA20B2">
              <w:rPr>
                <w:rFonts w:asciiTheme="minorHAnsi" w:hAnsiTheme="minorHAnsi"/>
                <w:color w:val="000000"/>
                <w:sz w:val="18"/>
                <w:lang w:val="sq-AL"/>
              </w:rPr>
              <w:t xml:space="preserve">               Financimi i huaj</w:t>
            </w:r>
          </w:p>
        </w:tc>
        <w:tc>
          <w:tcPr>
            <w:tcW w:w="117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 </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 </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2,016</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rPr>
              <w:t> </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color w:val="000000"/>
                <w:sz w:val="18"/>
              </w:rPr>
            </w:pPr>
            <w:r w:rsidRPr="00AA20B2">
              <w:rPr>
                <w:rFonts w:asciiTheme="minorHAnsi" w:hAnsiTheme="minorHAnsi"/>
                <w:color w:val="000000"/>
                <w:sz w:val="18"/>
                <w:lang w:val="sq-AL"/>
              </w:rPr>
              <w:t> </w:t>
            </w:r>
          </w:p>
        </w:tc>
      </w:tr>
      <w:tr w:rsidR="00990CDF" w:rsidRPr="00AA20B2" w:rsidTr="00E7447D">
        <w:trPr>
          <w:trHeight w:val="250"/>
        </w:trPr>
        <w:tc>
          <w:tcPr>
            <w:tcW w:w="465" w:type="dxa"/>
            <w:tcBorders>
              <w:top w:val="nil"/>
              <w:left w:val="single" w:sz="8" w:space="0" w:color="548DD4"/>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rPr>
                <w:rFonts w:asciiTheme="minorHAnsi" w:hAnsiTheme="minorHAnsi"/>
                <w:color w:val="000000"/>
                <w:sz w:val="18"/>
              </w:rPr>
            </w:pPr>
            <w:r w:rsidRPr="00AA20B2">
              <w:rPr>
                <w:rFonts w:asciiTheme="minorHAnsi" w:hAnsiTheme="minorHAnsi"/>
                <w:color w:val="000000"/>
                <w:sz w:val="18"/>
              </w:rPr>
              <w:t> </w:t>
            </w:r>
          </w:p>
        </w:tc>
        <w:tc>
          <w:tcPr>
            <w:tcW w:w="306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center"/>
              <w:rPr>
                <w:rFonts w:asciiTheme="minorHAnsi" w:hAnsiTheme="minorHAnsi"/>
                <w:b/>
                <w:color w:val="000000"/>
                <w:sz w:val="18"/>
              </w:rPr>
            </w:pPr>
            <w:r w:rsidRPr="00AA20B2">
              <w:rPr>
                <w:rFonts w:asciiTheme="minorHAnsi" w:hAnsiTheme="minorHAnsi"/>
                <w:b/>
                <w:color w:val="000000"/>
                <w:sz w:val="18"/>
              </w:rPr>
              <w:t>Total</w:t>
            </w:r>
          </w:p>
        </w:tc>
        <w:tc>
          <w:tcPr>
            <w:tcW w:w="117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b/>
                <w:color w:val="000000"/>
                <w:sz w:val="18"/>
              </w:rPr>
            </w:pPr>
            <w:r w:rsidRPr="00AA20B2">
              <w:rPr>
                <w:rFonts w:asciiTheme="minorHAnsi" w:hAnsiTheme="minorHAnsi"/>
                <w:b/>
                <w:color w:val="000000"/>
                <w:sz w:val="18"/>
              </w:rPr>
              <w:t>19,398,831</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b/>
                <w:color w:val="000000"/>
                <w:sz w:val="18"/>
              </w:rPr>
            </w:pPr>
            <w:r w:rsidRPr="00AA20B2">
              <w:rPr>
                <w:rFonts w:asciiTheme="minorHAnsi" w:hAnsiTheme="minorHAnsi"/>
                <w:b/>
                <w:color w:val="000000"/>
                <w:sz w:val="18"/>
              </w:rPr>
              <w:t>1,499,868</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b/>
                <w:color w:val="000000"/>
                <w:sz w:val="18"/>
              </w:rPr>
            </w:pPr>
            <w:r w:rsidRPr="00AA20B2">
              <w:rPr>
                <w:rFonts w:asciiTheme="minorHAnsi" w:hAnsiTheme="minorHAnsi"/>
                <w:b/>
                <w:color w:val="000000"/>
                <w:sz w:val="18"/>
              </w:rPr>
              <w:t>5,924,717</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b/>
                <w:color w:val="000000"/>
                <w:sz w:val="18"/>
              </w:rPr>
            </w:pPr>
            <w:r w:rsidRPr="00AA20B2">
              <w:rPr>
                <w:rFonts w:asciiTheme="minorHAnsi" w:hAnsiTheme="minorHAnsi"/>
                <w:b/>
                <w:color w:val="000000"/>
                <w:sz w:val="18"/>
              </w:rPr>
              <w:t>158,641</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b/>
                <w:color w:val="000000"/>
                <w:sz w:val="18"/>
              </w:rPr>
            </w:pPr>
            <w:r w:rsidRPr="00AA20B2">
              <w:rPr>
                <w:rFonts w:asciiTheme="minorHAnsi" w:hAnsiTheme="minorHAnsi"/>
                <w:b/>
                <w:color w:val="000000"/>
                <w:sz w:val="18"/>
              </w:rPr>
              <w:t>31%</w:t>
            </w:r>
          </w:p>
        </w:tc>
        <w:tc>
          <w:tcPr>
            <w:tcW w:w="990" w:type="dxa"/>
            <w:tcBorders>
              <w:top w:val="nil"/>
              <w:left w:val="nil"/>
              <w:bottom w:val="single" w:sz="8" w:space="0" w:color="548DD4"/>
              <w:right w:val="single" w:sz="8" w:space="0" w:color="548DD4"/>
            </w:tcBorders>
            <w:shd w:val="clear" w:color="auto" w:fill="auto"/>
            <w:vAlign w:val="center"/>
            <w:hideMark/>
          </w:tcPr>
          <w:p w:rsidR="00990CDF" w:rsidRPr="00AA20B2" w:rsidRDefault="00990CDF" w:rsidP="006F25E7">
            <w:pPr>
              <w:spacing w:line="276" w:lineRule="auto"/>
              <w:jc w:val="right"/>
              <w:rPr>
                <w:rFonts w:asciiTheme="minorHAnsi" w:hAnsiTheme="minorHAnsi"/>
                <w:b/>
                <w:color w:val="000000"/>
                <w:sz w:val="18"/>
              </w:rPr>
            </w:pPr>
            <w:r w:rsidRPr="00AA20B2">
              <w:rPr>
                <w:rFonts w:asciiTheme="minorHAnsi" w:hAnsiTheme="minorHAnsi"/>
                <w:b/>
                <w:color w:val="000000"/>
                <w:sz w:val="18"/>
              </w:rPr>
              <w:t>11%</w:t>
            </w:r>
          </w:p>
        </w:tc>
      </w:tr>
    </w:tbl>
    <w:p w:rsidR="00AA20B2" w:rsidRDefault="00990CDF" w:rsidP="006F25E7">
      <w:pPr>
        <w:spacing w:before="240" w:line="276" w:lineRule="auto"/>
        <w:jc w:val="both"/>
        <w:rPr>
          <w:rFonts w:asciiTheme="minorHAnsi" w:eastAsia="MS Mincho" w:hAnsiTheme="minorHAnsi"/>
          <w:lang w:val="sq-AL"/>
        </w:rPr>
      </w:pPr>
      <w:r w:rsidRPr="00BF005F">
        <w:rPr>
          <w:rFonts w:asciiTheme="minorHAnsi" w:hAnsiTheme="minorHAnsi"/>
          <w:b/>
          <w:lang w:val="sq-AL"/>
        </w:rPr>
        <w:lastRenderedPageBreak/>
        <w:t>Në programin “Policia e Shtetit</w:t>
      </w:r>
      <w:r w:rsidRPr="00BF005F">
        <w:rPr>
          <w:rFonts w:asciiTheme="minorHAnsi" w:hAnsiTheme="minorHAnsi"/>
          <w:lang w:val="sq-AL"/>
        </w:rPr>
        <w:t>”,</w:t>
      </w:r>
      <w:r w:rsidRPr="00BF005F">
        <w:rPr>
          <w:rFonts w:asciiTheme="minorHAnsi" w:eastAsia="MS Mincho" w:hAnsiTheme="minorHAnsi"/>
          <w:lang w:val="sq-AL"/>
        </w:rPr>
        <w:t xml:space="preserve"> realizimi i fondeve për shpenzimet korente është 30 % ndaj planit vjetor ndërsa produktet e investimit janë realizuar ne masë 17%. </w:t>
      </w:r>
    </w:p>
    <w:p w:rsidR="00990CDF" w:rsidRPr="00AA20B2" w:rsidRDefault="00990CDF" w:rsidP="00AA20B2">
      <w:pPr>
        <w:spacing w:before="240" w:line="276" w:lineRule="auto"/>
        <w:jc w:val="both"/>
        <w:rPr>
          <w:rFonts w:asciiTheme="minorHAnsi" w:eastAsia="MS Mincho" w:hAnsiTheme="minorHAnsi"/>
          <w:i/>
          <w:lang w:val="sq-AL"/>
        </w:rPr>
      </w:pPr>
      <w:r w:rsidRPr="00BF005F">
        <w:rPr>
          <w:rFonts w:asciiTheme="minorHAnsi" w:eastAsia="MS Mincho" w:hAnsiTheme="minorHAnsi"/>
          <w:lang w:val="sq-AL"/>
        </w:rPr>
        <w:t xml:space="preserve">Qëllimi i këtij progami është:  </w:t>
      </w:r>
      <w:r w:rsidRPr="00BF005F">
        <w:rPr>
          <w:rFonts w:asciiTheme="minorHAnsi" w:eastAsia="MS Mincho" w:hAnsiTheme="minorHAnsi"/>
          <w:i/>
          <w:lang w:val="sq-AL"/>
        </w:rPr>
        <w:t>“Lufta pa kompromis dhe ndëshkimi i ashpër penal ndaj  grupeve dhe/ose organizatave kriminale të ndryshme, si dhe i grupeve me axhenda ekstremiste të dhunshme dhe terroriste duke shënjestëruar dhe goditur veprimtarinë e krimit të organizuar e rrjetet kriminale, sekuestruar dhe konfiskuar çdo aset ekonomik të paligjshëm. Përforcimi i zbatimit të ligjit për rritjen e nivelit të sigurisë publike dhe asaj rrugore. Menaxhimi efektiv, efeçient dhe i integruar i kufijve nëpërmjet mirëfunksionimit të 27 pikave të kalimit kufitar në Republikën e Shqipërisë. Forcimi i kapaciteteve institucionale, garantimi i pavarësisë operacionale të policisë së shtetit dhe konsolidimi i arsimit, kualifikimit dhe veçanërisht trajnimit të vazhdueshëm e të profilizuar të strukturave të Policisë së Shtetit.”</w:t>
      </w:r>
      <w:r w:rsidR="00AA20B2">
        <w:rPr>
          <w:rFonts w:asciiTheme="minorHAnsi" w:eastAsia="MS Mincho" w:hAnsiTheme="minorHAnsi"/>
          <w:i/>
          <w:lang w:val="sq-AL"/>
        </w:rPr>
        <w:t xml:space="preserve"> </w:t>
      </w:r>
      <w:r w:rsidRPr="00BF005F">
        <w:rPr>
          <w:rFonts w:asciiTheme="minorHAnsi" w:eastAsia="MS Mincho" w:hAnsiTheme="minorHAnsi"/>
          <w:lang w:val="sq-AL"/>
        </w:rPr>
        <w:t>Qëllimi i programit realizohet nëpërmjet 4 objektivave dhe 25 produkteve të realizuar përgjatë 4 mujorit të parë të vitit 2020,  të cilat paraqiten si vijon:</w:t>
      </w:r>
    </w:p>
    <w:p w:rsidR="00AA20B2" w:rsidRPr="00AA20B2" w:rsidRDefault="00AA20B2" w:rsidP="00AA20B2">
      <w:pPr>
        <w:spacing w:after="240" w:line="276" w:lineRule="auto"/>
        <w:contextualSpacing/>
        <w:jc w:val="both"/>
        <w:rPr>
          <w:rFonts w:asciiTheme="minorHAnsi" w:eastAsia="MS Mincho" w:hAnsiTheme="minorHAnsi"/>
          <w:sz w:val="12"/>
          <w:szCs w:val="8"/>
          <w:lang w:val="sq-AL"/>
        </w:rPr>
      </w:pPr>
    </w:p>
    <w:p w:rsidR="00990CDF" w:rsidRPr="00BF005F" w:rsidRDefault="00990CDF" w:rsidP="00AA20B2">
      <w:pPr>
        <w:spacing w:after="240" w:line="276" w:lineRule="auto"/>
        <w:contextualSpacing/>
        <w:jc w:val="both"/>
        <w:rPr>
          <w:rFonts w:asciiTheme="minorHAnsi" w:eastAsia="MS Mincho" w:hAnsiTheme="minorHAnsi"/>
          <w:lang w:val="sq-AL"/>
        </w:rPr>
      </w:pPr>
      <w:r w:rsidRPr="00BF005F">
        <w:rPr>
          <w:rFonts w:asciiTheme="minorHAnsi" w:eastAsia="MS Mincho" w:hAnsiTheme="minorHAnsi"/>
          <w:lang w:val="sq-AL"/>
        </w:rPr>
        <w:t xml:space="preserve">Objektivi 1 </w:t>
      </w:r>
      <w:r w:rsidRPr="00BF005F">
        <w:rPr>
          <w:rFonts w:asciiTheme="minorHAnsi" w:eastAsia="MS Mincho" w:hAnsiTheme="minorHAnsi"/>
          <w:i/>
          <w:lang w:val="sq-AL"/>
        </w:rPr>
        <w:t>“Rritja e hetimeve proaktive në luftën kundër krimit të organizuar, trafiqeve, korrupsionit, terrorizmit si dhe forcimi i koordinimit ndërinstitucional ndërkombëtar në luftën kundër krimit të organizuar e terrorizmit”.</w:t>
      </w:r>
      <w:r w:rsidRPr="00BF005F">
        <w:rPr>
          <w:rFonts w:asciiTheme="minorHAnsi" w:eastAsia="MS Mincho" w:hAnsiTheme="minorHAnsi"/>
          <w:lang w:val="sq-AL"/>
        </w:rPr>
        <w:t xml:space="preserve"> Për realizimin e objektivit kanë kontribuar produktet sa më poshtë:</w:t>
      </w:r>
    </w:p>
    <w:p w:rsidR="00990CDF" w:rsidRPr="00AA20B2"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Realizimi i 50 “Operacione të posaçme Konvencionale” apo 64 % e sasisë së planifikuar, me një kosto totale prej 91 milionë lekë.</w:t>
      </w:r>
    </w:p>
    <w:p w:rsidR="00990CDF" w:rsidRPr="00AA20B2" w:rsidRDefault="00990CDF" w:rsidP="007F0B61">
      <w:pPr>
        <w:numPr>
          <w:ilvl w:val="0"/>
          <w:numId w:val="10"/>
        </w:numPr>
        <w:spacing w:after="24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Janë kryer 12,339 “Operacione policore të hetuara dhe shërbime”, apo 95% e sasisë së planifikuar për periudhën, me një kosto totale prej 2.6 milionë lekë.</w:t>
      </w:r>
    </w:p>
    <w:p w:rsidR="00990CDF" w:rsidRPr="00AA20B2" w:rsidRDefault="00990CDF" w:rsidP="007F0B61">
      <w:pPr>
        <w:numPr>
          <w:ilvl w:val="0"/>
          <w:numId w:val="10"/>
        </w:numPr>
        <w:spacing w:after="24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 xml:space="preserve">Janë realizuar 30 opracione ndaj ekstermisteve e grupeve terroriste, apo 97% e sasisë së planifikuar për periudhën. </w:t>
      </w:r>
    </w:p>
    <w:p w:rsidR="00990CDF" w:rsidRPr="00AA20B2" w:rsidRDefault="00990CDF" w:rsidP="007F0B61">
      <w:pPr>
        <w:numPr>
          <w:ilvl w:val="0"/>
          <w:numId w:val="10"/>
        </w:numPr>
        <w:spacing w:after="24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Numri i operacioneve të përbashkëta policore me EUROPOL-in.</w:t>
      </w:r>
    </w:p>
    <w:p w:rsidR="00990CDF" w:rsidRPr="00AA20B2" w:rsidRDefault="00990CDF" w:rsidP="007F0B61">
      <w:pPr>
        <w:numPr>
          <w:ilvl w:val="0"/>
          <w:numId w:val="10"/>
        </w:numPr>
        <w:spacing w:after="24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 xml:space="preserve">Janë sekuestruar 5% më shumë se një vit më parë asete nga veprimtaria kriminale. </w:t>
      </w:r>
    </w:p>
    <w:p w:rsidR="00990CDF" w:rsidRPr="00BF005F" w:rsidRDefault="00990CDF" w:rsidP="006F25E7">
      <w:pPr>
        <w:spacing w:line="276" w:lineRule="auto"/>
        <w:ind w:left="720"/>
        <w:contextualSpacing/>
        <w:jc w:val="both"/>
        <w:rPr>
          <w:rFonts w:asciiTheme="minorHAnsi" w:eastAsia="MS Mincho" w:hAnsiTheme="minorHAnsi"/>
          <w:lang w:val="sq-AL"/>
        </w:rPr>
      </w:pPr>
    </w:p>
    <w:p w:rsidR="00990CDF" w:rsidRPr="00BF005F" w:rsidRDefault="00990CDF" w:rsidP="006F25E7">
      <w:pPr>
        <w:spacing w:line="276" w:lineRule="auto"/>
        <w:contextualSpacing/>
        <w:jc w:val="both"/>
        <w:rPr>
          <w:rFonts w:asciiTheme="minorHAnsi" w:eastAsia="MS Mincho" w:hAnsiTheme="minorHAnsi"/>
          <w:lang w:val="sq-AL"/>
        </w:rPr>
      </w:pPr>
      <w:r w:rsidRPr="00BF005F">
        <w:rPr>
          <w:rFonts w:asciiTheme="minorHAnsi" w:eastAsia="MS Mincho" w:hAnsiTheme="minorHAnsi"/>
          <w:lang w:val="sq-AL"/>
        </w:rPr>
        <w:t>Objektivi 2</w:t>
      </w:r>
      <w:r w:rsidRPr="00BF005F">
        <w:rPr>
          <w:rFonts w:asciiTheme="minorHAnsi" w:eastAsia="MS Mincho" w:hAnsiTheme="minorHAnsi"/>
          <w:i/>
          <w:lang w:val="sq-AL"/>
        </w:rPr>
        <w:t xml:space="preserve"> “Rritja e sigurisë Publike dhe Sigurisë rrugore përmes patrullimeve në rrugë dhe forcimi i kontrollit të territorit me policimin në komunitet”</w:t>
      </w:r>
      <w:r w:rsidRPr="00BF005F">
        <w:rPr>
          <w:rFonts w:asciiTheme="minorHAnsi" w:eastAsia="MS Mincho" w:hAnsiTheme="minorHAnsi"/>
          <w:lang w:val="sq-AL"/>
        </w:rPr>
        <w:t>. Për realizimin e objektivit kanë kontribuar produktet sa më poshtë:</w:t>
      </w:r>
    </w:p>
    <w:p w:rsidR="00990CDF" w:rsidRPr="00AA20B2"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Realizimi i 1,962 “Shërbime të policisë rrugore të kryera në rrugët nacionale”, apo 90% e sasisë së planifikuar për 4-mujorin, me një kosto totale prej 80 milionë lekë.</w:t>
      </w:r>
    </w:p>
    <w:p w:rsidR="00990CDF" w:rsidRPr="00AA20B2"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Janë realizuar 181 “Shërbime të Forcave Speciale dhe e NSH për sigurimin e Rendit Publik”, apo 93% e sasisë së planifikuar për 4-mujorin, me një kosto totale prej 319 milionë lekë.</w:t>
      </w:r>
    </w:p>
    <w:p w:rsidR="00990CDF" w:rsidRPr="00AA20B2"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U realizuan 513 raste asistence dhe trajnime për Policinë e Shtetit, me kosto prej 32 milionë lekë.</w:t>
      </w:r>
    </w:p>
    <w:p w:rsidR="00990CDF" w:rsidRPr="00AA20B2"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U punësuan 10% më shumë punonjëse të policisë rrugore gra ndaj totalit, krahasuar me një vit më parë.</w:t>
      </w:r>
    </w:p>
    <w:p w:rsidR="00990CDF" w:rsidRPr="00AA20B2"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Janë realizuar 3% më shumë operacione të forcave speciale për kapjen e autoreve të veprave të rënda kriminale.</w:t>
      </w:r>
    </w:p>
    <w:p w:rsidR="00990CDF" w:rsidRPr="00020968" w:rsidRDefault="00990CDF" w:rsidP="006F25E7">
      <w:pPr>
        <w:spacing w:line="276" w:lineRule="auto"/>
        <w:ind w:left="180"/>
        <w:contextualSpacing/>
        <w:jc w:val="both"/>
        <w:rPr>
          <w:rFonts w:asciiTheme="minorHAnsi" w:eastAsia="MS Mincho" w:hAnsiTheme="minorHAnsi"/>
          <w:sz w:val="8"/>
          <w:szCs w:val="8"/>
          <w:lang w:val="sq-AL"/>
        </w:rPr>
      </w:pPr>
    </w:p>
    <w:p w:rsidR="00020968" w:rsidRDefault="00990CDF" w:rsidP="006F25E7">
      <w:pPr>
        <w:spacing w:line="276" w:lineRule="auto"/>
        <w:contextualSpacing/>
        <w:jc w:val="both"/>
        <w:rPr>
          <w:rFonts w:asciiTheme="minorHAnsi" w:eastAsia="MS Mincho" w:hAnsiTheme="minorHAnsi"/>
          <w:lang w:val="sq-AL"/>
        </w:rPr>
      </w:pPr>
      <w:r w:rsidRPr="00BF005F">
        <w:rPr>
          <w:rFonts w:asciiTheme="minorHAnsi" w:eastAsia="MS Mincho" w:hAnsiTheme="minorHAnsi"/>
          <w:lang w:val="sq-AL"/>
        </w:rPr>
        <w:t>Objektivi 3 “</w:t>
      </w:r>
      <w:r w:rsidRPr="00BF005F">
        <w:rPr>
          <w:rFonts w:asciiTheme="minorHAnsi" w:eastAsia="MS Mincho" w:hAnsiTheme="minorHAnsi"/>
          <w:i/>
          <w:lang w:val="sq-AL"/>
        </w:rPr>
        <w:t>Forcimi i masave për luiftën kundë krimit ndërkufitar dhe trafiqeve të paligjshme me synim rritjen e standartev të sigurisë së kufijve sipas standarteve të BE-së dhe Kodit Schengen”.</w:t>
      </w:r>
      <w:r w:rsidRPr="00BF005F">
        <w:rPr>
          <w:rFonts w:asciiTheme="minorHAnsi" w:eastAsia="MS Mincho" w:hAnsiTheme="minorHAnsi"/>
          <w:lang w:val="sq-AL"/>
        </w:rPr>
        <w:t xml:space="preserve"> </w:t>
      </w:r>
    </w:p>
    <w:p w:rsidR="00020968" w:rsidRDefault="00020968" w:rsidP="006F25E7">
      <w:pPr>
        <w:spacing w:line="276" w:lineRule="auto"/>
        <w:contextualSpacing/>
        <w:jc w:val="both"/>
        <w:rPr>
          <w:rFonts w:asciiTheme="minorHAnsi" w:eastAsia="MS Mincho" w:hAnsiTheme="minorHAnsi"/>
          <w:lang w:val="sq-AL"/>
        </w:rPr>
      </w:pPr>
    </w:p>
    <w:p w:rsidR="00020968" w:rsidRDefault="00020968" w:rsidP="006F25E7">
      <w:pPr>
        <w:spacing w:line="276" w:lineRule="auto"/>
        <w:contextualSpacing/>
        <w:jc w:val="both"/>
        <w:rPr>
          <w:rFonts w:asciiTheme="minorHAnsi" w:eastAsia="MS Mincho" w:hAnsiTheme="minorHAnsi"/>
          <w:lang w:val="sq-AL"/>
        </w:rPr>
      </w:pPr>
    </w:p>
    <w:p w:rsidR="00990CDF" w:rsidRPr="00BF005F" w:rsidRDefault="00990CDF" w:rsidP="006F25E7">
      <w:pPr>
        <w:spacing w:line="276" w:lineRule="auto"/>
        <w:contextualSpacing/>
        <w:jc w:val="both"/>
        <w:rPr>
          <w:rFonts w:asciiTheme="minorHAnsi" w:eastAsia="MS Mincho" w:hAnsiTheme="minorHAnsi"/>
          <w:lang w:val="sq-AL"/>
        </w:rPr>
      </w:pPr>
      <w:r w:rsidRPr="00BF005F">
        <w:rPr>
          <w:rFonts w:asciiTheme="minorHAnsi" w:eastAsia="MS Mincho" w:hAnsiTheme="minorHAnsi"/>
          <w:lang w:val="sq-AL"/>
        </w:rPr>
        <w:lastRenderedPageBreak/>
        <w:t>Për realizimin e objektivit kanë kontribuar 3 produkte përgjatë 4 mujorit,  të cilët konsistojnë në :</w:t>
      </w:r>
    </w:p>
    <w:p w:rsidR="00990CDF" w:rsidRPr="00AA20B2"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U realizuan 15 operacione të sigurisë në kufirin blu, apo 88% e sasisë së planifikuar për 4-mujorin, me një kosto totale prej 36 milionë lekë.</w:t>
      </w:r>
    </w:p>
    <w:p w:rsidR="00990CDF" w:rsidRPr="00AA20B2"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Janë procesuar 10,586,911 persona në PKK, kategoria I; II dhe e II-të (ajrore, detare, tokësore), apo 95% e sasisë së planifikuar për 4-mujorin, me një kosto totale prej 647 milionë lekë.</w:t>
      </w:r>
    </w:p>
    <w:p w:rsidR="00990CDF" w:rsidRPr="00AA20B2"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Janë trajnuar 55 Qen policie në kushte shërbimi.</w:t>
      </w:r>
    </w:p>
    <w:p w:rsidR="00990CDF" w:rsidRPr="00AA20B2"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Janë realizuar 1,400 raste zbuluese të trafikimit të paligjshëm duke përdorur teknikat e posaçme hetimore.</w:t>
      </w:r>
    </w:p>
    <w:p w:rsidR="00990CDF" w:rsidRPr="00AA20B2"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AA20B2">
        <w:rPr>
          <w:rFonts w:asciiTheme="minorHAnsi" w:eastAsia="MS Mincho" w:hAnsiTheme="minorHAnsi"/>
          <w:i/>
          <w:lang w:val="sq-AL"/>
        </w:rPr>
        <w:t>Janë trajtuar 300 shtetas të huaj në Qendrën e pritjes Karec</w:t>
      </w:r>
    </w:p>
    <w:p w:rsidR="00990CDF" w:rsidRPr="00020968" w:rsidRDefault="00990CDF" w:rsidP="006F25E7">
      <w:pPr>
        <w:spacing w:line="276" w:lineRule="auto"/>
        <w:contextualSpacing/>
        <w:jc w:val="both"/>
        <w:rPr>
          <w:rFonts w:asciiTheme="minorHAnsi" w:eastAsia="MS Mincho" w:hAnsiTheme="minorHAnsi"/>
          <w:b/>
          <w:sz w:val="8"/>
          <w:szCs w:val="8"/>
          <w:lang w:val="sq-AL"/>
        </w:rPr>
      </w:pPr>
    </w:p>
    <w:p w:rsidR="00990CDF" w:rsidRPr="00BF005F" w:rsidRDefault="00990CDF" w:rsidP="006F25E7">
      <w:pPr>
        <w:spacing w:line="276" w:lineRule="auto"/>
        <w:contextualSpacing/>
        <w:jc w:val="both"/>
        <w:rPr>
          <w:rFonts w:asciiTheme="minorHAnsi" w:eastAsia="MS Mincho" w:hAnsiTheme="minorHAnsi"/>
          <w:lang w:val="sq-AL"/>
        </w:rPr>
      </w:pPr>
      <w:r w:rsidRPr="00BF005F">
        <w:rPr>
          <w:rFonts w:asciiTheme="minorHAnsi" w:eastAsia="MS Mincho" w:hAnsiTheme="minorHAnsi"/>
          <w:lang w:val="sq-AL"/>
        </w:rPr>
        <w:t>Objektivi 4 “</w:t>
      </w:r>
      <w:r w:rsidRPr="00BF005F">
        <w:rPr>
          <w:rFonts w:asciiTheme="minorHAnsi" w:eastAsia="MS Mincho" w:hAnsiTheme="minorHAnsi"/>
          <w:i/>
          <w:lang w:val="sq-AL"/>
        </w:rPr>
        <w:t>Përafrimi i standartve të shërbimeve policore me ato të BE-së”.</w:t>
      </w:r>
      <w:r w:rsidRPr="00BF005F">
        <w:rPr>
          <w:rFonts w:asciiTheme="minorHAnsi" w:eastAsia="MS Mincho" w:hAnsiTheme="minorHAnsi"/>
          <w:lang w:val="sq-AL"/>
        </w:rPr>
        <w:t xml:space="preserve"> Për realizimin e objektivit kanë kontribuar 4 produkte përgjatë 4 mu</w:t>
      </w:r>
      <w:r w:rsidR="00AA20B2">
        <w:rPr>
          <w:rFonts w:asciiTheme="minorHAnsi" w:eastAsia="MS Mincho" w:hAnsiTheme="minorHAnsi"/>
          <w:lang w:val="sq-AL"/>
        </w:rPr>
        <w:t>jorit,  të cilët konsistojnë në</w:t>
      </w:r>
      <w:r w:rsidRPr="00BF005F">
        <w:rPr>
          <w:rFonts w:asciiTheme="minorHAnsi" w:eastAsia="MS Mincho" w:hAnsiTheme="minorHAnsi"/>
          <w:lang w:val="sq-AL"/>
        </w:rPr>
        <w:t>:</w:t>
      </w:r>
    </w:p>
    <w:p w:rsidR="00990CDF" w:rsidRPr="000A4DB4"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0A4DB4">
        <w:rPr>
          <w:rFonts w:asciiTheme="minorHAnsi" w:eastAsia="MS Mincho" w:hAnsiTheme="minorHAnsi"/>
          <w:i/>
          <w:lang w:val="sq-AL"/>
        </w:rPr>
        <w:t>U trajnuan 18 rekrut të rinj, apo 12% e sasisë së planifikuar për 4-mujorin, me një kosto totale prej 6.5 milionë lekë.</w:t>
      </w:r>
    </w:p>
    <w:p w:rsidR="00990CDF" w:rsidRPr="000A4DB4" w:rsidRDefault="00990CDF" w:rsidP="007F0B61">
      <w:pPr>
        <w:numPr>
          <w:ilvl w:val="0"/>
          <w:numId w:val="10"/>
        </w:numPr>
        <w:spacing w:after="200" w:line="276" w:lineRule="auto"/>
        <w:ind w:left="540"/>
        <w:contextualSpacing/>
        <w:jc w:val="both"/>
        <w:rPr>
          <w:rFonts w:asciiTheme="minorHAnsi" w:eastAsia="MS Mincho" w:hAnsiTheme="minorHAnsi"/>
          <w:i/>
          <w:lang w:val="sq-AL"/>
        </w:rPr>
      </w:pPr>
      <w:r w:rsidRPr="000A4DB4">
        <w:rPr>
          <w:rFonts w:asciiTheme="minorHAnsi" w:eastAsia="MS Mincho" w:hAnsiTheme="minorHAnsi"/>
          <w:i/>
          <w:lang w:val="sq-AL"/>
        </w:rPr>
        <w:t xml:space="preserve">U trajtuan 81 bashkëshorte të punonjësve të policisë së shtetit, në zbatim të VKM nr. 256, datë 25.03.2015 “Për kompensimin e privacionet dhe humbjet që i shkaktohen punonjësit të policisë së Shtetit, për shkak të nevojave të punës dhe shërbimit” </w:t>
      </w:r>
    </w:p>
    <w:p w:rsidR="00990CDF" w:rsidRPr="00020968" w:rsidRDefault="00990CDF" w:rsidP="006F25E7">
      <w:pPr>
        <w:spacing w:line="276" w:lineRule="auto"/>
        <w:jc w:val="both"/>
        <w:rPr>
          <w:rFonts w:asciiTheme="minorHAnsi" w:eastAsia="MS Mincho" w:hAnsiTheme="minorHAnsi"/>
          <w:b/>
          <w:sz w:val="8"/>
          <w:szCs w:val="8"/>
          <w:lang w:val="sq-AL"/>
        </w:rPr>
      </w:pPr>
    </w:p>
    <w:p w:rsidR="00990CDF" w:rsidRPr="00BF005F" w:rsidRDefault="00990CDF" w:rsidP="006F25E7">
      <w:pPr>
        <w:spacing w:line="276" w:lineRule="auto"/>
        <w:jc w:val="both"/>
        <w:rPr>
          <w:rFonts w:asciiTheme="minorHAnsi" w:eastAsia="MS Mincho" w:hAnsiTheme="minorHAnsi"/>
          <w:lang w:val="sq-AL"/>
        </w:rPr>
      </w:pPr>
      <w:r w:rsidRPr="00BF005F">
        <w:rPr>
          <w:rFonts w:asciiTheme="minorHAnsi" w:eastAsia="MS Mincho" w:hAnsiTheme="minorHAnsi"/>
          <w:b/>
          <w:lang w:val="sq-AL"/>
        </w:rPr>
        <w:t>Programi “Garda e Republikës”</w:t>
      </w:r>
      <w:r w:rsidRPr="00BF005F">
        <w:rPr>
          <w:rFonts w:asciiTheme="minorHAnsi" w:eastAsia="MS Mincho" w:hAnsiTheme="minorHAnsi"/>
          <w:lang w:val="sq-AL"/>
        </w:rPr>
        <w:t xml:space="preserve">, realizimi i fondeve për shpenzimet korente është 35 % ndaj planit vjetor ndërsa për produktet e investimit nuk ka realizim për periudhëm. Qëllimi i këtij progami është: </w:t>
      </w:r>
      <w:r w:rsidRPr="00BF005F">
        <w:rPr>
          <w:rFonts w:asciiTheme="minorHAnsi" w:eastAsia="MS Mincho" w:hAnsiTheme="minorHAnsi"/>
          <w:i/>
          <w:lang w:val="sq-AL"/>
        </w:rPr>
        <w:t>“Të kontribuojë në përmiresimin e vazhdueshëm të Sigurise së Personaliteteve Vendas dhe të Huaj, të Objekteve të Rëndësisë së Veçantë nëpërmjet rritjes së kapaciteteve menaxhuese dhe përputhjes me standartet europiane në fushën e sigurisë, duke synuar arritjen e nivelit 100% të sigurisë”</w:t>
      </w:r>
      <w:r w:rsidR="000A4DB4">
        <w:rPr>
          <w:rFonts w:asciiTheme="minorHAnsi" w:eastAsia="MS Mincho" w:hAnsiTheme="minorHAnsi"/>
          <w:i/>
          <w:lang w:val="sq-AL"/>
        </w:rPr>
        <w:t>.</w:t>
      </w:r>
      <w:r w:rsidRPr="00BF005F">
        <w:rPr>
          <w:rFonts w:asciiTheme="minorHAnsi" w:eastAsia="MS Mincho" w:hAnsiTheme="minorHAnsi"/>
          <w:lang w:val="sq-AL"/>
        </w:rPr>
        <w:t xml:space="preserve"> Qëllimi i programit realizohet nëpërmjet objektivave specifike të parashikuara dhe 1  produkti të realizuar përgjatë 4-mujorit, me specifikisht i paraqitur si më poshtë:</w:t>
      </w:r>
    </w:p>
    <w:p w:rsidR="00990CDF" w:rsidRPr="00BF005F" w:rsidRDefault="00990CDF" w:rsidP="007F0B61">
      <w:pPr>
        <w:numPr>
          <w:ilvl w:val="0"/>
          <w:numId w:val="10"/>
        </w:numPr>
        <w:spacing w:after="200" w:line="276" w:lineRule="auto"/>
        <w:contextualSpacing/>
        <w:jc w:val="both"/>
        <w:rPr>
          <w:rFonts w:asciiTheme="minorHAnsi" w:eastAsia="MS Mincho" w:hAnsiTheme="minorHAnsi"/>
          <w:i/>
          <w:lang w:val="sq-AL"/>
        </w:rPr>
      </w:pPr>
      <w:r w:rsidRPr="00BF005F">
        <w:rPr>
          <w:rFonts w:asciiTheme="minorHAnsi" w:eastAsia="MS Mincho" w:hAnsiTheme="minorHAnsi"/>
          <w:i/>
          <w:lang w:val="sq-AL"/>
        </w:rPr>
        <w:t>Është realizuar ruajtja e 110 personaliteteve VIP vendas dhe të huaj, me një kosto prej 545 milionë lekë.</w:t>
      </w:r>
    </w:p>
    <w:p w:rsidR="00990CDF" w:rsidRPr="000A4DB4" w:rsidRDefault="00990CDF" w:rsidP="006F25E7">
      <w:pPr>
        <w:spacing w:line="276" w:lineRule="auto"/>
        <w:jc w:val="both"/>
        <w:rPr>
          <w:rFonts w:asciiTheme="minorHAnsi" w:hAnsiTheme="minorHAnsi"/>
          <w:b/>
          <w:i/>
          <w:sz w:val="8"/>
          <w:szCs w:val="8"/>
          <w:lang w:val="sq-AL"/>
        </w:rPr>
      </w:pPr>
    </w:p>
    <w:p w:rsidR="00990CDF" w:rsidRPr="00BF005F" w:rsidRDefault="00990CDF" w:rsidP="006F25E7">
      <w:pPr>
        <w:spacing w:line="276" w:lineRule="auto"/>
        <w:jc w:val="both"/>
        <w:rPr>
          <w:rFonts w:asciiTheme="minorHAnsi" w:hAnsiTheme="minorHAnsi"/>
          <w:lang w:val="sq-AL"/>
        </w:rPr>
      </w:pPr>
      <w:r w:rsidRPr="00BF005F">
        <w:rPr>
          <w:rFonts w:asciiTheme="minorHAnsi" w:hAnsiTheme="minorHAnsi"/>
          <w:b/>
          <w:lang w:val="sq-AL"/>
        </w:rPr>
        <w:t>Në programin “Shërbimi i Gjendjes Civile”</w:t>
      </w:r>
      <w:r w:rsidRPr="00BF005F">
        <w:rPr>
          <w:rFonts w:asciiTheme="minorHAnsi" w:hAnsiTheme="minorHAnsi"/>
          <w:lang w:val="sq-AL"/>
        </w:rPr>
        <w:t xml:space="preserve">, ka realizim të fondeve rreth 22.7 % ndaj planit vjetor, duke realizuar kështu edhe qëllimin e politikës së programit, e cila është : </w:t>
      </w:r>
      <w:r w:rsidRPr="00BF005F">
        <w:rPr>
          <w:rFonts w:asciiTheme="minorHAnsi" w:hAnsiTheme="minorHAnsi"/>
          <w:i/>
          <w:lang w:val="sq-AL"/>
        </w:rPr>
        <w:t>“Konsolidimi i mëtejshëm të një sistemi të dixhitalizuar të regjistrit kombëtar të gjendjes civile (RKGJC), të sistemit të regjistrit kombëtar të adresave (RKA) dhe regjistrimi/përditësimi i të dhënave të shtetasve në Republikën e Shqipërisë me vërtetësi dhe në kohë reale.”</w:t>
      </w:r>
      <w:r w:rsidRPr="00BF005F">
        <w:rPr>
          <w:rFonts w:asciiTheme="minorHAnsi" w:hAnsiTheme="minorHAnsi"/>
          <w:lang w:val="sq-AL"/>
        </w:rPr>
        <w:t xml:space="preserve">  Qëllimi i programit u realizua nëpërmjet produkteve sa më poshtë:</w:t>
      </w:r>
    </w:p>
    <w:p w:rsidR="00990CDF" w:rsidRPr="000A4DB4" w:rsidRDefault="00990CDF" w:rsidP="007F0B61">
      <w:pPr>
        <w:numPr>
          <w:ilvl w:val="0"/>
          <w:numId w:val="20"/>
        </w:numPr>
        <w:spacing w:line="276" w:lineRule="auto"/>
        <w:jc w:val="both"/>
        <w:rPr>
          <w:rFonts w:asciiTheme="minorHAnsi" w:hAnsiTheme="minorHAnsi"/>
          <w:i/>
          <w:lang w:val="sq-AL"/>
        </w:rPr>
      </w:pPr>
      <w:r w:rsidRPr="000A4DB4">
        <w:rPr>
          <w:rFonts w:asciiTheme="minorHAnsi" w:hAnsiTheme="minorHAnsi"/>
          <w:i/>
          <w:lang w:val="sq-AL"/>
        </w:rPr>
        <w:t>Rregjistrimit të 297,839 akte dhe dokumente të lëshuara nga shërbimi i Gjendjes Civile, me kosto prej 131 milionë lekë.</w:t>
      </w:r>
    </w:p>
    <w:p w:rsidR="00990CDF" w:rsidRPr="000A4DB4" w:rsidRDefault="00990CDF" w:rsidP="007F0B61">
      <w:pPr>
        <w:numPr>
          <w:ilvl w:val="0"/>
          <w:numId w:val="20"/>
        </w:numPr>
        <w:spacing w:line="276" w:lineRule="auto"/>
        <w:jc w:val="both"/>
        <w:rPr>
          <w:rFonts w:asciiTheme="minorHAnsi" w:hAnsiTheme="minorHAnsi"/>
          <w:i/>
          <w:lang w:val="sq-AL"/>
        </w:rPr>
      </w:pPr>
      <w:r w:rsidRPr="000A4DB4">
        <w:rPr>
          <w:rFonts w:asciiTheme="minorHAnsi" w:hAnsiTheme="minorHAnsi"/>
          <w:i/>
          <w:lang w:val="sq-AL"/>
        </w:rPr>
        <w:t>Nëpërmjet funksionimit të sistemit të adresav</w:t>
      </w:r>
      <w:r w:rsidR="000A4DB4">
        <w:rPr>
          <w:rFonts w:asciiTheme="minorHAnsi" w:hAnsiTheme="minorHAnsi"/>
          <w:i/>
          <w:lang w:val="sq-AL"/>
        </w:rPr>
        <w:t>e</w:t>
      </w:r>
      <w:r w:rsidRPr="000A4DB4">
        <w:rPr>
          <w:rFonts w:asciiTheme="minorHAnsi" w:hAnsiTheme="minorHAnsi"/>
          <w:i/>
          <w:lang w:val="sq-AL"/>
        </w:rPr>
        <w:t xml:space="preserve"> të përmirësuar dhe rritjen e funksionalitetit të RKGJC.</w:t>
      </w:r>
    </w:p>
    <w:p w:rsidR="00990CDF" w:rsidRPr="00BF005F" w:rsidRDefault="00990CDF" w:rsidP="000A4DB4">
      <w:pPr>
        <w:spacing w:before="240" w:line="276" w:lineRule="auto"/>
        <w:jc w:val="both"/>
        <w:rPr>
          <w:rFonts w:asciiTheme="minorHAnsi" w:hAnsiTheme="minorHAnsi"/>
          <w:lang w:val="sq-AL"/>
        </w:rPr>
      </w:pPr>
      <w:r w:rsidRPr="00BF005F">
        <w:rPr>
          <w:rFonts w:asciiTheme="minorHAnsi" w:hAnsiTheme="minorHAnsi"/>
          <w:b/>
          <w:lang w:val="sq-AL"/>
        </w:rPr>
        <w:t xml:space="preserve">Programi “Prefektura dhe Funksionet e Deleguara”, </w:t>
      </w:r>
      <w:r w:rsidRPr="00BF005F">
        <w:rPr>
          <w:rFonts w:asciiTheme="minorHAnsi" w:hAnsiTheme="minorHAnsi"/>
          <w:lang w:val="sq-AL"/>
        </w:rPr>
        <w:t>ka realizuar fondet p</w:t>
      </w:r>
      <w:r w:rsidRPr="00BF005F">
        <w:rPr>
          <w:rFonts w:asciiTheme="minorHAnsi" w:eastAsia="Malgun Gothic" w:hAnsiTheme="minorHAnsi" w:cs="Malgun Gothic"/>
          <w:lang w:val="sq-AL"/>
        </w:rPr>
        <w:t xml:space="preserve">ër </w:t>
      </w:r>
      <w:r w:rsidRPr="00BF005F">
        <w:rPr>
          <w:rFonts w:asciiTheme="minorHAnsi" w:hAnsiTheme="minorHAnsi"/>
          <w:lang w:val="sq-AL"/>
        </w:rPr>
        <w:t>shpenzimet korrente</w:t>
      </w:r>
      <w:r w:rsidRPr="00BF005F">
        <w:rPr>
          <w:rFonts w:asciiTheme="minorHAnsi" w:eastAsia="Malgun Gothic" w:hAnsiTheme="minorHAnsi" w:cs="Malgun Gothic"/>
          <w:lang w:val="sq-AL"/>
        </w:rPr>
        <w:t xml:space="preserve"> </w:t>
      </w:r>
      <w:r w:rsidRPr="00BF005F">
        <w:rPr>
          <w:rFonts w:asciiTheme="minorHAnsi" w:hAnsiTheme="minorHAnsi"/>
          <w:lang w:val="sq-AL"/>
        </w:rPr>
        <w:t xml:space="preserve">për 4 mujorin e parë të vitit 2021 në masën 27%. Qëllimi i politikës së programit është: </w:t>
      </w:r>
      <w:r w:rsidRPr="00BF005F">
        <w:rPr>
          <w:rFonts w:asciiTheme="minorHAnsi" w:hAnsiTheme="minorHAnsi"/>
          <w:i/>
          <w:lang w:val="sq-AL"/>
        </w:rPr>
        <w:t xml:space="preserve">“Ndjekia e zbatimit të programit të Qeverisë në nivel vendor si përfaqësues i qeverisë”, i cili synohet të realizohet nëpërmjet objektivit: “Rritja e performacës së Prefektit të Qarkut në nivel vendor për zbatimin e reformës Administrativo-Territoriale”. </w:t>
      </w:r>
      <w:r w:rsidRPr="00BF005F">
        <w:rPr>
          <w:rFonts w:asciiTheme="minorHAnsi" w:hAnsiTheme="minorHAnsi"/>
          <w:lang w:val="sq-AL"/>
        </w:rPr>
        <w:t>Për realizimin e objektivit kanë kontribuar produktet sa më poshtë:</w:t>
      </w:r>
    </w:p>
    <w:p w:rsidR="00990CDF" w:rsidRPr="00BF005F" w:rsidRDefault="00990CDF" w:rsidP="007F0B61">
      <w:pPr>
        <w:numPr>
          <w:ilvl w:val="0"/>
          <w:numId w:val="20"/>
        </w:numPr>
        <w:spacing w:line="276" w:lineRule="auto"/>
        <w:jc w:val="both"/>
        <w:rPr>
          <w:rFonts w:asciiTheme="minorHAnsi" w:hAnsiTheme="minorHAnsi"/>
          <w:i/>
          <w:lang w:val="sq-AL"/>
        </w:rPr>
      </w:pPr>
      <w:r w:rsidRPr="00BF005F">
        <w:rPr>
          <w:rFonts w:asciiTheme="minorHAnsi" w:hAnsiTheme="minorHAnsi"/>
          <w:i/>
          <w:lang w:val="sq-AL"/>
        </w:rPr>
        <w:lastRenderedPageBreak/>
        <w:t>Janë kryer 440 monitorime në nivel qarku nga Perfekti i Qarkut me kosto prej 18 milionë lekë.</w:t>
      </w:r>
    </w:p>
    <w:p w:rsidR="00990CDF" w:rsidRPr="00BF005F" w:rsidRDefault="00990CDF" w:rsidP="007F0B61">
      <w:pPr>
        <w:numPr>
          <w:ilvl w:val="0"/>
          <w:numId w:val="20"/>
        </w:numPr>
        <w:spacing w:line="276" w:lineRule="auto"/>
        <w:jc w:val="both"/>
        <w:rPr>
          <w:rFonts w:asciiTheme="minorHAnsi" w:hAnsiTheme="minorHAnsi"/>
          <w:i/>
          <w:lang w:val="sq-AL"/>
        </w:rPr>
      </w:pPr>
      <w:r w:rsidRPr="00BF005F">
        <w:rPr>
          <w:rFonts w:asciiTheme="minorHAnsi" w:hAnsiTheme="minorHAnsi"/>
          <w:i/>
          <w:lang w:val="sq-AL"/>
        </w:rPr>
        <w:t xml:space="preserve">Është dhënë ndihmë për garantimin e vazhdueshmërisë së funksioneve dhe shërbimeve publike, në nivel vendor në kuadër të zbatimit të reformës administrativo-territoriale, me kosto rreth 7 milionë lekë. </w:t>
      </w:r>
    </w:p>
    <w:p w:rsidR="00990CDF" w:rsidRPr="00BF005F" w:rsidRDefault="00990CDF" w:rsidP="007F0B61">
      <w:pPr>
        <w:numPr>
          <w:ilvl w:val="0"/>
          <w:numId w:val="20"/>
        </w:numPr>
        <w:spacing w:line="276" w:lineRule="auto"/>
        <w:jc w:val="both"/>
        <w:rPr>
          <w:rFonts w:asciiTheme="minorHAnsi" w:hAnsiTheme="minorHAnsi"/>
          <w:i/>
          <w:lang w:val="sq-AL"/>
        </w:rPr>
      </w:pPr>
      <w:r w:rsidRPr="00BF005F">
        <w:rPr>
          <w:rFonts w:asciiTheme="minorHAnsi" w:hAnsiTheme="minorHAnsi"/>
          <w:i/>
          <w:lang w:val="sq-AL"/>
        </w:rPr>
        <w:t xml:space="preserve">Janë trajtuar 166 për administrimin dhe mbrojtjen e tokës. </w:t>
      </w:r>
    </w:p>
    <w:p w:rsidR="00990CDF" w:rsidRDefault="00990CDF" w:rsidP="006F25E7">
      <w:pPr>
        <w:spacing w:after="200" w:line="276" w:lineRule="auto"/>
        <w:ind w:left="720"/>
        <w:jc w:val="both"/>
        <w:rPr>
          <w:rFonts w:asciiTheme="minorHAnsi" w:hAnsiTheme="minorHAnsi"/>
          <w:i/>
          <w:lang w:val="sq-AL"/>
        </w:rPr>
      </w:pPr>
    </w:p>
    <w:p w:rsidR="00020968" w:rsidRDefault="00020968" w:rsidP="006F25E7">
      <w:pPr>
        <w:spacing w:before="120" w:after="120" w:line="276" w:lineRule="auto"/>
        <w:jc w:val="both"/>
        <w:rPr>
          <w:rFonts w:asciiTheme="minorHAnsi" w:hAnsiTheme="minorHAnsi"/>
          <w:b/>
          <w:noProof/>
          <w:color w:val="0070C0"/>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r w:rsidRPr="00BF005F">
        <w:rPr>
          <w:rFonts w:asciiTheme="minorHAnsi" w:hAnsiTheme="minorHAnsi"/>
          <w:b/>
          <w:noProof/>
          <w:color w:val="0070C0"/>
          <w:lang w:val="sq-AL"/>
        </w:rPr>
        <w:t>KULTURA</w:t>
      </w:r>
      <w:bookmarkEnd w:id="145"/>
      <w:bookmarkEnd w:id="146"/>
      <w:bookmarkEnd w:id="147"/>
    </w:p>
    <w:p w:rsidR="00990CDF" w:rsidRPr="00BF005F" w:rsidRDefault="00990CDF" w:rsidP="006F25E7">
      <w:pPr>
        <w:spacing w:line="276" w:lineRule="auto"/>
        <w:jc w:val="both"/>
        <w:rPr>
          <w:rFonts w:asciiTheme="minorHAnsi" w:eastAsia="MS Mincho" w:hAnsiTheme="minorHAnsi"/>
          <w:color w:val="000000"/>
          <w:lang w:val="sq-AL"/>
        </w:rPr>
      </w:pPr>
      <w:r w:rsidRPr="00BF005F">
        <w:rPr>
          <w:rFonts w:asciiTheme="minorHAnsi" w:eastAsia="MS Mincho" w:hAnsiTheme="minorHAnsi"/>
          <w:color w:val="000000"/>
          <w:lang w:val="sq-AL"/>
        </w:rPr>
        <w:t>Performanca e treguesve buxhetorë për programet e Ministrisë së Kulturës paraqitet si mëposhtë:</w:t>
      </w:r>
    </w:p>
    <w:p w:rsidR="00990CDF" w:rsidRPr="000A4DB4" w:rsidRDefault="00990CDF" w:rsidP="000A4DB4">
      <w:pPr>
        <w:pStyle w:val="Caption"/>
        <w:spacing w:before="240" w:after="0" w:line="276" w:lineRule="auto"/>
        <w:jc w:val="both"/>
        <w:rPr>
          <w:rFonts w:asciiTheme="minorHAnsi" w:hAnsiTheme="minorHAnsi"/>
          <w:b w:val="0"/>
          <w:bCs w:val="0"/>
          <w:i/>
          <w:noProof/>
          <w:color w:val="auto"/>
          <w:sz w:val="22"/>
          <w:szCs w:val="24"/>
        </w:rPr>
      </w:pPr>
      <w:bookmarkStart w:id="150" w:name="_Toc76470079"/>
      <w:r w:rsidRPr="000A4DB4">
        <w:rPr>
          <w:rFonts w:asciiTheme="minorHAnsi" w:hAnsiTheme="minorHAnsi"/>
          <w:b w:val="0"/>
          <w:bCs w:val="0"/>
          <w:i/>
          <w:noProof/>
          <w:color w:val="auto"/>
          <w:sz w:val="22"/>
          <w:szCs w:val="24"/>
        </w:rPr>
        <w:t xml:space="preserve">Tabela </w:t>
      </w:r>
      <w:r w:rsidRPr="000A4DB4">
        <w:rPr>
          <w:rFonts w:asciiTheme="minorHAnsi" w:hAnsiTheme="minorHAnsi"/>
          <w:b w:val="0"/>
          <w:bCs w:val="0"/>
          <w:i/>
          <w:noProof/>
          <w:color w:val="auto"/>
          <w:sz w:val="22"/>
          <w:szCs w:val="24"/>
        </w:rPr>
        <w:fldChar w:fldCharType="begin"/>
      </w:r>
      <w:r w:rsidRPr="000A4DB4">
        <w:rPr>
          <w:rFonts w:asciiTheme="minorHAnsi" w:hAnsiTheme="minorHAnsi"/>
          <w:b w:val="0"/>
          <w:bCs w:val="0"/>
          <w:i/>
          <w:noProof/>
          <w:color w:val="auto"/>
          <w:sz w:val="22"/>
          <w:szCs w:val="24"/>
        </w:rPr>
        <w:instrText xml:space="preserve"> SEQ Tabela \* ARABIC </w:instrText>
      </w:r>
      <w:r w:rsidRPr="000A4DB4">
        <w:rPr>
          <w:rFonts w:asciiTheme="minorHAnsi" w:hAnsiTheme="minorHAnsi"/>
          <w:b w:val="0"/>
          <w:bCs w:val="0"/>
          <w:i/>
          <w:noProof/>
          <w:color w:val="auto"/>
          <w:sz w:val="22"/>
          <w:szCs w:val="24"/>
        </w:rPr>
        <w:fldChar w:fldCharType="separate"/>
      </w:r>
      <w:r w:rsidR="003C5F40">
        <w:rPr>
          <w:rFonts w:asciiTheme="minorHAnsi" w:hAnsiTheme="minorHAnsi"/>
          <w:b w:val="0"/>
          <w:bCs w:val="0"/>
          <w:i/>
          <w:noProof/>
          <w:color w:val="auto"/>
          <w:sz w:val="22"/>
          <w:szCs w:val="24"/>
        </w:rPr>
        <w:t>25</w:t>
      </w:r>
      <w:r w:rsidRPr="000A4DB4">
        <w:rPr>
          <w:rFonts w:asciiTheme="minorHAnsi" w:hAnsiTheme="minorHAnsi"/>
          <w:b w:val="0"/>
          <w:bCs w:val="0"/>
          <w:i/>
          <w:noProof/>
          <w:color w:val="auto"/>
          <w:sz w:val="22"/>
          <w:szCs w:val="24"/>
        </w:rPr>
        <w:fldChar w:fldCharType="end"/>
      </w:r>
      <w:r w:rsidRPr="000A4DB4">
        <w:rPr>
          <w:rFonts w:asciiTheme="minorHAnsi" w:hAnsiTheme="minorHAnsi"/>
          <w:b w:val="0"/>
          <w:bCs w:val="0"/>
          <w:i/>
          <w:noProof/>
          <w:color w:val="auto"/>
          <w:sz w:val="22"/>
          <w:szCs w:val="24"/>
        </w:rPr>
        <w:t>: Kultura</w:t>
      </w:r>
      <w:bookmarkEnd w:id="150"/>
    </w:p>
    <w:p w:rsidR="00990CDF" w:rsidRPr="000A4DB4" w:rsidRDefault="00990CDF" w:rsidP="000A4DB4">
      <w:pPr>
        <w:pStyle w:val="Caption"/>
        <w:spacing w:after="0" w:line="276" w:lineRule="auto"/>
        <w:jc w:val="right"/>
        <w:rPr>
          <w:rFonts w:asciiTheme="minorHAnsi" w:eastAsia="MS Mincho" w:hAnsiTheme="minorHAnsi"/>
          <w:b w:val="0"/>
          <w:i/>
          <w:color w:val="000000"/>
          <w:sz w:val="22"/>
          <w:szCs w:val="24"/>
          <w:lang w:val="sq-AL"/>
        </w:rPr>
      </w:pPr>
      <w:r w:rsidRPr="000A4DB4">
        <w:rPr>
          <w:rFonts w:asciiTheme="minorHAnsi" w:hAnsiTheme="minorHAnsi"/>
          <w:b w:val="0"/>
          <w:bCs w:val="0"/>
          <w:i/>
          <w:noProof/>
          <w:color w:val="auto"/>
          <w:sz w:val="22"/>
          <w:szCs w:val="24"/>
        </w:rPr>
        <w:t xml:space="preserve">                                                                                                    </w:t>
      </w:r>
      <w:r w:rsidRPr="000A4DB4">
        <w:rPr>
          <w:rFonts w:asciiTheme="minorHAnsi" w:eastAsia="MS Mincho" w:hAnsiTheme="minorHAnsi"/>
          <w:b w:val="0"/>
          <w:i/>
          <w:color w:val="000000"/>
          <w:sz w:val="22"/>
          <w:szCs w:val="24"/>
          <w:lang w:val="sq-AL"/>
        </w:rPr>
        <w:t>Në mijë lekë</w:t>
      </w:r>
    </w:p>
    <w:tbl>
      <w:tblPr>
        <w:tblStyle w:val="ListTable3-Accent52"/>
        <w:tblW w:w="9367" w:type="dxa"/>
        <w:jc w:val="center"/>
        <w:tblLook w:val="01E0" w:firstRow="1" w:lastRow="1" w:firstColumn="1" w:lastColumn="1" w:noHBand="0" w:noVBand="0"/>
      </w:tblPr>
      <w:tblGrid>
        <w:gridCol w:w="461"/>
        <w:gridCol w:w="2896"/>
        <w:gridCol w:w="1020"/>
        <w:gridCol w:w="1096"/>
        <w:gridCol w:w="931"/>
        <w:gridCol w:w="1007"/>
        <w:gridCol w:w="939"/>
        <w:gridCol w:w="1017"/>
      </w:tblGrid>
      <w:tr w:rsidR="00990CDF" w:rsidRPr="000A4DB4" w:rsidTr="00E7447D">
        <w:trPr>
          <w:cnfStyle w:val="100000000000" w:firstRow="1" w:lastRow="0" w:firstColumn="0" w:lastColumn="0" w:oddVBand="0" w:evenVBand="0" w:oddHBand="0" w:evenHBand="0" w:firstRowFirstColumn="0" w:firstRowLastColumn="0" w:lastRowFirstColumn="0" w:lastRowLastColumn="0"/>
          <w:trHeight w:val="238"/>
          <w:jc w:val="center"/>
        </w:trPr>
        <w:tc>
          <w:tcPr>
            <w:cnfStyle w:val="001000000100" w:firstRow="0" w:lastRow="0" w:firstColumn="1" w:lastColumn="0" w:oddVBand="0" w:evenVBand="0" w:oddHBand="0" w:evenHBand="0" w:firstRowFirstColumn="1" w:firstRowLastColumn="0" w:lastRowFirstColumn="0" w:lastRowLastColumn="0"/>
            <w:tcW w:w="0" w:type="auto"/>
            <w:vMerge w:val="restart"/>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NR</w:t>
            </w:r>
          </w:p>
        </w:tc>
        <w:tc>
          <w:tcPr>
            <w:cnfStyle w:val="000010000000" w:firstRow="0" w:lastRow="0" w:firstColumn="0" w:lastColumn="0" w:oddVBand="1" w:evenVBand="0" w:oddHBand="0" w:evenHBand="0" w:firstRowFirstColumn="0" w:firstRowLastColumn="0" w:lastRowFirstColumn="0" w:lastRowLastColumn="0"/>
            <w:tcW w:w="0" w:type="auto"/>
            <w:vMerge w:val="restart"/>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Emërtimi i Programit</w:t>
            </w:r>
          </w:p>
        </w:tc>
        <w:tc>
          <w:tcPr>
            <w:tcW w:w="0" w:type="auto"/>
            <w:gridSpan w:val="2"/>
          </w:tcPr>
          <w:p w:rsidR="00990CDF" w:rsidRPr="000A4DB4" w:rsidRDefault="00990CDF" w:rsidP="006F25E7">
            <w:pPr>
              <w:spacing w:line="276" w:lineRule="auto"/>
              <w:ind w:left="84"/>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Plani 2021</w:t>
            </w:r>
          </w:p>
        </w:tc>
        <w:tc>
          <w:tcPr>
            <w:cnfStyle w:val="000010000000" w:firstRow="0" w:lastRow="0" w:firstColumn="0" w:lastColumn="0" w:oddVBand="1" w:evenVBand="0" w:oddHBand="0" w:evenHBand="0" w:firstRowFirstColumn="0" w:firstRowLastColumn="0" w:lastRowFirstColumn="0" w:lastRowLastColumn="0"/>
            <w:tcW w:w="0" w:type="auto"/>
            <w:gridSpan w:val="2"/>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Fakti 4 mujori I 2021</w:t>
            </w:r>
          </w:p>
        </w:tc>
        <w:tc>
          <w:tcPr>
            <w:cnfStyle w:val="000100001000" w:firstRow="0" w:lastRow="0" w:firstColumn="0" w:lastColumn="1" w:oddVBand="0" w:evenVBand="0" w:oddHBand="0" w:evenHBand="0" w:firstRowFirstColumn="0" w:firstRowLastColumn="1" w:lastRowFirstColumn="0" w:lastRowLastColumn="0"/>
            <w:tcW w:w="0" w:type="auto"/>
            <w:gridSpan w:val="2"/>
            <w:tcBorders>
              <w:bottom w:val="single" w:sz="4" w:space="0" w:color="4BACC6"/>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bCs w:val="0"/>
                <w:sz w:val="18"/>
                <w:lang w:val="sq-AL"/>
              </w:rPr>
              <w:t>Përqindja  e realizimit</w:t>
            </w:r>
          </w:p>
        </w:tc>
      </w:tr>
      <w:tr w:rsidR="00990CDF" w:rsidRPr="000A4DB4" w:rsidTr="00E7447D">
        <w:trPr>
          <w:cnfStyle w:val="000000100000" w:firstRow="0" w:lastRow="0" w:firstColumn="0" w:lastColumn="0" w:oddVBand="0" w:evenVBand="0" w:oddHBand="1" w:evenHBand="0" w:firstRowFirstColumn="0" w:firstRowLastColumn="0" w:lastRowFirstColumn="0" w:lastRowLastColumn="0"/>
          <w:trHeight w:val="124"/>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990CDF" w:rsidRPr="000A4DB4" w:rsidRDefault="00990CDF" w:rsidP="006F25E7">
            <w:pPr>
              <w:spacing w:line="276" w:lineRule="auto"/>
              <w:jc w:val="both"/>
              <w:rPr>
                <w:rFonts w:asciiTheme="minorHAnsi" w:hAnsiTheme="minorHAnsi"/>
                <w:b w:val="0"/>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Pr>
          <w:p w:rsidR="00990CDF" w:rsidRPr="000A4DB4" w:rsidRDefault="00990CDF" w:rsidP="006F25E7">
            <w:pPr>
              <w:spacing w:line="276" w:lineRule="auto"/>
              <w:jc w:val="both"/>
              <w:rPr>
                <w:rFonts w:asciiTheme="minorHAnsi" w:hAnsiTheme="minorHAnsi"/>
                <w:b/>
                <w:sz w:val="18"/>
                <w:lang w:val="sq-AL"/>
              </w:rPr>
            </w:pPr>
          </w:p>
        </w:tc>
        <w:tc>
          <w:tcPr>
            <w:tcW w:w="0" w:type="auto"/>
          </w:tcPr>
          <w:p w:rsidR="00990CDF" w:rsidRPr="000A4DB4" w:rsidRDefault="00990CDF" w:rsidP="006F25E7">
            <w:pPr>
              <w:spacing w:line="276" w:lineRule="auto"/>
              <w:ind w:left="84"/>
              <w:jc w:val="both"/>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0A4DB4">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0A4DB4" w:rsidRDefault="00990CDF" w:rsidP="006F25E7">
            <w:pPr>
              <w:spacing w:line="276" w:lineRule="auto"/>
              <w:ind w:left="84"/>
              <w:jc w:val="both"/>
              <w:rPr>
                <w:rFonts w:asciiTheme="minorHAnsi" w:hAnsiTheme="minorHAnsi"/>
                <w:b/>
                <w:sz w:val="18"/>
                <w:lang w:val="sq-AL"/>
              </w:rPr>
            </w:pPr>
            <w:r w:rsidRPr="000A4DB4">
              <w:rPr>
                <w:rFonts w:asciiTheme="minorHAnsi" w:hAnsiTheme="minorHAnsi"/>
                <w:b/>
                <w:sz w:val="18"/>
                <w:lang w:val="sq-AL"/>
              </w:rPr>
              <w:t>Investime</w:t>
            </w:r>
          </w:p>
        </w:tc>
        <w:tc>
          <w:tcPr>
            <w:tcW w:w="0" w:type="auto"/>
          </w:tcPr>
          <w:p w:rsidR="00990CDF" w:rsidRPr="000A4DB4" w:rsidRDefault="00990CDF" w:rsidP="006F25E7">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0A4DB4">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0A4DB4" w:rsidRDefault="00990CDF" w:rsidP="006F25E7">
            <w:pPr>
              <w:spacing w:line="276" w:lineRule="auto"/>
              <w:jc w:val="both"/>
              <w:rPr>
                <w:rFonts w:asciiTheme="minorHAnsi" w:hAnsiTheme="minorHAnsi"/>
                <w:b/>
                <w:sz w:val="18"/>
                <w:lang w:val="sq-AL"/>
              </w:rPr>
            </w:pPr>
            <w:r w:rsidRPr="000A4DB4">
              <w:rPr>
                <w:rFonts w:asciiTheme="minorHAnsi" w:hAnsiTheme="minorHAnsi"/>
                <w:b/>
                <w:sz w:val="18"/>
                <w:lang w:val="sq-AL"/>
              </w:rPr>
              <w:t>Investime</w:t>
            </w:r>
          </w:p>
        </w:tc>
        <w:tc>
          <w:tcPr>
            <w:tcW w:w="0" w:type="auto"/>
            <w:tcBorders>
              <w:left w:val="single" w:sz="4" w:space="0" w:color="4BACC6"/>
              <w:right w:val="single" w:sz="4" w:space="0" w:color="4BACC6"/>
            </w:tcBorders>
          </w:tcPr>
          <w:p w:rsidR="00990CDF" w:rsidRPr="000A4DB4" w:rsidRDefault="00990CDF" w:rsidP="006F25E7">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0A4DB4">
              <w:rPr>
                <w:rFonts w:asciiTheme="minorHAnsi" w:hAnsiTheme="minorHAns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Investime</w:t>
            </w:r>
          </w:p>
        </w:tc>
      </w:tr>
      <w:tr w:rsidR="00990CDF" w:rsidRPr="000A4DB4" w:rsidTr="00E7447D">
        <w:trPr>
          <w:trHeight w:val="349"/>
          <w:jc w:val="center"/>
        </w:trPr>
        <w:tc>
          <w:tcPr>
            <w:cnfStyle w:val="001000000000" w:firstRow="0" w:lastRow="0" w:firstColumn="1" w:lastColumn="0" w:oddVBand="0" w:evenVBand="0" w:oddHBand="0" w:evenHBand="0" w:firstRowFirstColumn="0" w:firstRowLastColumn="0" w:lastRowFirstColumn="0" w:lastRowLastColumn="0"/>
            <w:tcW w:w="0" w:type="auto"/>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1.</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Planifikim, menaxhim administrim</w:t>
            </w:r>
          </w:p>
        </w:tc>
        <w:tc>
          <w:tcPr>
            <w:tcW w:w="0" w:type="auto"/>
          </w:tcPr>
          <w:p w:rsidR="00990CDF" w:rsidRPr="000A4DB4"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p w:rsidR="00990CDF" w:rsidRPr="000A4DB4"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160 400</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0A4DB4" w:rsidRDefault="00990CDF" w:rsidP="006F25E7">
            <w:pPr>
              <w:spacing w:line="276" w:lineRule="auto"/>
              <w:jc w:val="both"/>
              <w:rPr>
                <w:rFonts w:asciiTheme="minorHAnsi" w:hAnsiTheme="minorHAnsi"/>
                <w:sz w:val="18"/>
                <w:lang w:val="sq-AL"/>
              </w:rPr>
            </w:pPr>
          </w:p>
        </w:tc>
        <w:tc>
          <w:tcPr>
            <w:tcW w:w="0" w:type="auto"/>
          </w:tcPr>
          <w:p w:rsidR="00990CDF" w:rsidRPr="000A4DB4"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p w:rsidR="00990CDF" w:rsidRPr="000A4DB4"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44 963</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0A4DB4" w:rsidRDefault="00990CDF" w:rsidP="006F25E7">
            <w:pPr>
              <w:spacing w:line="276" w:lineRule="auto"/>
              <w:jc w:val="both"/>
              <w:rPr>
                <w:rFonts w:asciiTheme="minorHAnsi" w:hAnsiTheme="minorHAnsi"/>
                <w:sz w:val="18"/>
                <w:lang w:val="sq-AL"/>
              </w:rPr>
            </w:pPr>
          </w:p>
        </w:tc>
        <w:tc>
          <w:tcPr>
            <w:tcW w:w="0" w:type="auto"/>
            <w:tcBorders>
              <w:left w:val="single" w:sz="4" w:space="0" w:color="4BACC6"/>
              <w:right w:val="single" w:sz="4" w:space="0" w:color="4BACC6"/>
            </w:tcBorders>
          </w:tcPr>
          <w:p w:rsidR="00990CDF" w:rsidRPr="000A4DB4"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p w:rsidR="00990CDF" w:rsidRPr="000A4DB4"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0A4DB4">
              <w:rPr>
                <w:rFonts w:asciiTheme="minorHAnsi" w:hAnsiTheme="minorHAnsi"/>
                <w:bCs/>
                <w:sz w:val="18"/>
                <w:lang w:val="sq-AL"/>
              </w:rPr>
              <w:t>28%</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rsidR="00990CDF" w:rsidRPr="000A4DB4" w:rsidRDefault="00990CDF" w:rsidP="006F25E7">
            <w:pPr>
              <w:spacing w:line="276" w:lineRule="auto"/>
              <w:jc w:val="both"/>
              <w:rPr>
                <w:rFonts w:asciiTheme="minorHAnsi" w:hAnsiTheme="minorHAnsi"/>
                <w:b w:val="0"/>
                <w:bCs w:val="0"/>
                <w:sz w:val="18"/>
                <w:lang w:val="sq-AL"/>
              </w:rPr>
            </w:pPr>
          </w:p>
          <w:p w:rsidR="00990CDF" w:rsidRPr="000A4DB4" w:rsidRDefault="00990CDF" w:rsidP="006F25E7">
            <w:pPr>
              <w:spacing w:line="276" w:lineRule="auto"/>
              <w:jc w:val="both"/>
              <w:rPr>
                <w:rFonts w:asciiTheme="minorHAnsi" w:hAnsiTheme="minorHAnsi"/>
                <w:b w:val="0"/>
                <w:bCs w:val="0"/>
                <w:sz w:val="18"/>
                <w:lang w:val="sq-AL"/>
              </w:rPr>
            </w:pPr>
          </w:p>
        </w:tc>
      </w:tr>
      <w:tr w:rsidR="00990CDF" w:rsidRPr="000A4DB4" w:rsidTr="00E7447D">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0" w:type="auto"/>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2.</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Trashëgimia kulturore dhe muzetë</w:t>
            </w:r>
          </w:p>
        </w:tc>
        <w:tc>
          <w:tcPr>
            <w:tcW w:w="0" w:type="auto"/>
          </w:tcPr>
          <w:p w:rsidR="00990CDF" w:rsidRPr="000A4DB4" w:rsidRDefault="00990CDF" w:rsidP="006F25E7">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527 201</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53 284</w:t>
            </w:r>
          </w:p>
        </w:tc>
        <w:tc>
          <w:tcPr>
            <w:tcW w:w="0" w:type="auto"/>
          </w:tcPr>
          <w:p w:rsidR="00990CDF" w:rsidRPr="000A4DB4" w:rsidRDefault="00990CDF" w:rsidP="006F25E7">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146 116</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1 000</w:t>
            </w:r>
          </w:p>
        </w:tc>
        <w:tc>
          <w:tcPr>
            <w:tcW w:w="0" w:type="auto"/>
            <w:tcBorders>
              <w:left w:val="single" w:sz="4" w:space="0" w:color="4BACC6"/>
              <w:right w:val="single" w:sz="4" w:space="0" w:color="4BACC6"/>
            </w:tcBorders>
          </w:tcPr>
          <w:p w:rsidR="00990CDF" w:rsidRPr="000A4DB4" w:rsidRDefault="00990CDF" w:rsidP="006F25E7">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27.2%</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1.87%</w:t>
            </w:r>
          </w:p>
        </w:tc>
      </w:tr>
      <w:tr w:rsidR="00990CDF" w:rsidRPr="000A4DB4" w:rsidTr="00E7447D">
        <w:trPr>
          <w:trHeight w:val="215"/>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4F81BD" w:themeColor="accent1"/>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3.</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hemeColor="accent1"/>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Arti dhe Kultura</w:t>
            </w:r>
          </w:p>
        </w:tc>
        <w:tc>
          <w:tcPr>
            <w:tcW w:w="0" w:type="auto"/>
            <w:tcBorders>
              <w:bottom w:val="single" w:sz="4" w:space="0" w:color="4F81BD" w:themeColor="accent1"/>
            </w:tcBorders>
          </w:tcPr>
          <w:p w:rsidR="00990CDF" w:rsidRPr="000A4DB4"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721 900</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hemeColor="accent1"/>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1 392 500</w:t>
            </w:r>
          </w:p>
        </w:tc>
        <w:tc>
          <w:tcPr>
            <w:tcW w:w="0" w:type="auto"/>
            <w:tcBorders>
              <w:bottom w:val="single" w:sz="4" w:space="0" w:color="4F81BD" w:themeColor="accent1"/>
            </w:tcBorders>
          </w:tcPr>
          <w:p w:rsidR="00990CDF" w:rsidRPr="000A4DB4"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215 248</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hemeColor="accent1"/>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257</w:t>
            </w:r>
          </w:p>
        </w:tc>
        <w:tc>
          <w:tcPr>
            <w:tcW w:w="0" w:type="auto"/>
            <w:tcBorders>
              <w:left w:val="single" w:sz="4" w:space="0" w:color="4BACC6"/>
              <w:bottom w:val="single" w:sz="4" w:space="0" w:color="4F81BD" w:themeColor="accent1"/>
              <w:right w:val="single" w:sz="4" w:space="0" w:color="4BACC6"/>
            </w:tcBorders>
          </w:tcPr>
          <w:p w:rsidR="00990CDF" w:rsidRPr="000A4DB4"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29.2%</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bottom w:val="single" w:sz="4" w:space="0" w:color="4F81BD" w:themeColor="accent1"/>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w:t>
            </w:r>
          </w:p>
        </w:tc>
      </w:tr>
      <w:tr w:rsidR="00990CDF" w:rsidRPr="000A4DB4" w:rsidTr="00E7447D">
        <w:trPr>
          <w:cnfStyle w:val="010000000000" w:firstRow="0" w:lastRow="1" w:firstColumn="0" w:lastColumn="0" w:oddVBand="0" w:evenVBand="0" w:oddHBand="0" w:evenHBand="0" w:firstRowFirstColumn="0" w:firstRowLastColumn="0" w:lastRowFirstColumn="0" w:lastRowLastColumn="0"/>
          <w:trHeight w:val="136"/>
          <w:jc w:val="center"/>
        </w:trPr>
        <w:tc>
          <w:tcPr>
            <w:cnfStyle w:val="001000000001" w:firstRow="0" w:lastRow="0" w:firstColumn="1" w:lastColumn="0" w:oddVBand="0" w:evenVBand="0" w:oddHBand="0" w:evenHBand="0" w:firstRowFirstColumn="0" w:firstRowLastColumn="0" w:lastRowFirstColumn="1" w:lastRowLastColumn="0"/>
            <w:tcW w:w="0" w:type="auto"/>
            <w:tcBorders>
              <w:top w:val="single" w:sz="4" w:space="0" w:color="4F81BD" w:themeColor="accent1"/>
            </w:tcBorders>
          </w:tcPr>
          <w:p w:rsidR="00990CDF" w:rsidRPr="000A4DB4" w:rsidRDefault="00990CDF" w:rsidP="006F25E7">
            <w:pPr>
              <w:spacing w:line="276" w:lineRule="auto"/>
              <w:jc w:val="both"/>
              <w:rPr>
                <w:rFonts w:asciiTheme="minorHAnsi" w:hAnsiTheme="minorHAnsi"/>
                <w:b w:val="0"/>
                <w:sz w:val="18"/>
                <w:lang w:val="sq-AL"/>
              </w:rPr>
            </w:pP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TOTALI</w:t>
            </w:r>
          </w:p>
        </w:tc>
        <w:tc>
          <w:tcPr>
            <w:tcW w:w="0" w:type="auto"/>
            <w:tcBorders>
              <w:top w:val="single" w:sz="4" w:space="0" w:color="4F81BD" w:themeColor="accent1"/>
            </w:tcBorders>
          </w:tcPr>
          <w:p w:rsidR="00990CDF" w:rsidRPr="000A4DB4" w:rsidRDefault="00990CDF" w:rsidP="006F25E7">
            <w:pPr>
              <w:spacing w:line="276" w:lineRule="auto"/>
              <w:jc w:val="both"/>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1 409 501</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1 445 784</w:t>
            </w:r>
          </w:p>
        </w:tc>
        <w:tc>
          <w:tcPr>
            <w:tcW w:w="0" w:type="auto"/>
            <w:tcBorders>
              <w:top w:val="single" w:sz="4" w:space="0" w:color="4F81BD" w:themeColor="accent1"/>
            </w:tcBorders>
          </w:tcPr>
          <w:p w:rsidR="00990CDF" w:rsidRPr="000A4DB4" w:rsidRDefault="00990CDF" w:rsidP="006F25E7">
            <w:pPr>
              <w:spacing w:line="276" w:lineRule="auto"/>
              <w:jc w:val="both"/>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406 327</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themeColor="accent1"/>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1 257</w:t>
            </w:r>
          </w:p>
        </w:tc>
        <w:tc>
          <w:tcPr>
            <w:tcW w:w="0" w:type="auto"/>
            <w:tcBorders>
              <w:top w:val="single" w:sz="4" w:space="0" w:color="4F81BD" w:themeColor="accent1"/>
              <w:left w:val="single" w:sz="4" w:space="0" w:color="4BACC6"/>
              <w:bottom w:val="single" w:sz="4" w:space="0" w:color="4BACC6"/>
              <w:right w:val="single" w:sz="4" w:space="0" w:color="4BACC6"/>
            </w:tcBorders>
          </w:tcPr>
          <w:p w:rsidR="00990CDF" w:rsidRPr="000A4DB4" w:rsidRDefault="00990CDF" w:rsidP="006F25E7">
            <w:pPr>
              <w:spacing w:line="276" w:lineRule="auto"/>
              <w:jc w:val="both"/>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0A4DB4">
              <w:rPr>
                <w:rFonts w:asciiTheme="minorHAnsi" w:hAnsiTheme="minorHAnsi"/>
                <w:sz w:val="18"/>
                <w:lang w:val="sq-AL"/>
              </w:rPr>
              <w:t>28.9%</w:t>
            </w:r>
          </w:p>
        </w:tc>
        <w:tc>
          <w:tcPr>
            <w:cnfStyle w:val="000100000010" w:firstRow="0" w:lastRow="0" w:firstColumn="0" w:lastColumn="1" w:oddVBand="0" w:evenVBand="0" w:oddHBand="0" w:evenHBand="0" w:firstRowFirstColumn="0" w:firstRowLastColumn="0" w:lastRowFirstColumn="0" w:lastRowLastColumn="1"/>
            <w:tcW w:w="0" w:type="auto"/>
            <w:tcBorders>
              <w:top w:val="single" w:sz="4" w:space="0" w:color="4F81BD" w:themeColor="accent1"/>
              <w:left w:val="single" w:sz="4" w:space="0" w:color="4BACC6"/>
              <w:bottom w:val="single" w:sz="4" w:space="0" w:color="4BACC6"/>
            </w:tcBorders>
          </w:tcPr>
          <w:p w:rsidR="00990CDF" w:rsidRPr="000A4DB4" w:rsidRDefault="00990CDF" w:rsidP="006F25E7">
            <w:pPr>
              <w:spacing w:line="276" w:lineRule="auto"/>
              <w:jc w:val="both"/>
              <w:rPr>
                <w:rFonts w:asciiTheme="minorHAnsi" w:hAnsiTheme="minorHAnsi"/>
                <w:sz w:val="18"/>
                <w:lang w:val="sq-AL"/>
              </w:rPr>
            </w:pPr>
            <w:r w:rsidRPr="000A4DB4">
              <w:rPr>
                <w:rFonts w:asciiTheme="minorHAnsi" w:hAnsiTheme="minorHAnsi"/>
                <w:sz w:val="18"/>
                <w:lang w:val="sq-AL"/>
              </w:rPr>
              <w:t>0.08%</w:t>
            </w:r>
          </w:p>
        </w:tc>
      </w:tr>
    </w:tbl>
    <w:p w:rsidR="00990CDF" w:rsidRPr="00BF005F" w:rsidRDefault="00990CDF" w:rsidP="006F25E7">
      <w:pPr>
        <w:spacing w:line="276" w:lineRule="auto"/>
        <w:jc w:val="both"/>
        <w:rPr>
          <w:rFonts w:asciiTheme="minorHAnsi" w:eastAsia="MS Mincho" w:hAnsiTheme="minorHAnsi"/>
          <w:i/>
          <w:u w:val="single"/>
          <w:lang w:val="sq-AL"/>
        </w:rPr>
      </w:pPr>
    </w:p>
    <w:p w:rsidR="00990CDF" w:rsidRPr="00BF005F" w:rsidRDefault="00990CDF" w:rsidP="006F25E7">
      <w:pPr>
        <w:spacing w:line="276" w:lineRule="auto"/>
        <w:jc w:val="both"/>
        <w:rPr>
          <w:rFonts w:asciiTheme="minorHAnsi" w:eastAsia="MS Mincho" w:hAnsiTheme="minorHAnsi"/>
          <w:lang w:val="sq-AL"/>
        </w:rPr>
      </w:pPr>
      <w:r w:rsidRPr="00BF005F">
        <w:rPr>
          <w:rFonts w:asciiTheme="minorHAnsi" w:eastAsia="MS Mincho" w:hAnsiTheme="minorHAnsi"/>
          <w:lang w:val="sq-AL"/>
        </w:rPr>
        <w:t>Në të gjitha programet, niveli i realizimit të planit të shpenzimeve korrente është i lidhur me mosplotësimin e vendeve vakante sipas organikës së institucioneve si edhe me procedurat e prokurimit të mallrave e shërbimeve, proces ky që zgjat deri në finalizimin e lidhjes së kontratës, por, është parashikuar që realizimi i këtyre shpenzimeve në periudhat në vijim do të ndryshojë ndjeshëm. Ndërsa niveli i ulët i realizimit të investimeve është lidhur me kohen proceduriale që zënë prokurimet.</w:t>
      </w:r>
    </w:p>
    <w:p w:rsidR="00990CDF" w:rsidRPr="00BF005F" w:rsidRDefault="00990CDF" w:rsidP="000A4DB4">
      <w:pPr>
        <w:spacing w:before="240" w:line="276" w:lineRule="auto"/>
        <w:jc w:val="both"/>
        <w:rPr>
          <w:rFonts w:asciiTheme="minorHAnsi" w:eastAsia="MS Mincho" w:hAnsiTheme="minorHAnsi"/>
          <w:lang w:val="sq-AL"/>
        </w:rPr>
      </w:pPr>
      <w:r w:rsidRPr="00BF005F">
        <w:rPr>
          <w:rFonts w:asciiTheme="minorHAnsi" w:eastAsia="MS Mincho" w:hAnsiTheme="minorHAnsi"/>
          <w:lang w:val="sq-AL"/>
        </w:rPr>
        <w:t>Në programin</w:t>
      </w:r>
      <w:r w:rsidRPr="00BF005F">
        <w:rPr>
          <w:rFonts w:asciiTheme="minorHAnsi" w:eastAsia="MS Mincho" w:hAnsiTheme="minorHAnsi"/>
          <w:b/>
          <w:lang w:val="sq-AL"/>
        </w:rPr>
        <w:t xml:space="preserve"> “Trashëgimia Kulturore</w:t>
      </w:r>
      <w:r w:rsidRPr="00BF005F">
        <w:rPr>
          <w:rFonts w:asciiTheme="minorHAnsi" w:eastAsia="MS Mincho" w:hAnsiTheme="minorHAnsi"/>
          <w:lang w:val="sq-AL"/>
        </w:rPr>
        <w:t>” është realizuar promovimi, ruajtja, konservimi, restaurimi i objekteve dhe fondeve muzeore si dhe edukimi përmes trashëgimisë dhe aktiviteteve në funksion të saj. Këto objektiva gjatë  4 mujorit te I, 2021, janë arritur nëpërmjet realizimit të produkteve si më poshtë:</w:t>
      </w:r>
    </w:p>
    <w:p w:rsidR="00990CDF" w:rsidRPr="00BF005F" w:rsidRDefault="00990CDF" w:rsidP="007F0B61">
      <w:pPr>
        <w:numPr>
          <w:ilvl w:val="0"/>
          <w:numId w:val="7"/>
        </w:numPr>
        <w:spacing w:line="276" w:lineRule="auto"/>
        <w:ind w:left="720"/>
        <w:jc w:val="both"/>
        <w:rPr>
          <w:rFonts w:asciiTheme="minorHAnsi" w:eastAsia="MS Mincho" w:hAnsiTheme="minorHAnsi"/>
          <w:lang w:val="sq-AL"/>
        </w:rPr>
      </w:pPr>
      <w:r w:rsidRPr="00BF005F">
        <w:rPr>
          <w:rFonts w:asciiTheme="minorHAnsi" w:eastAsia="MS Mincho" w:hAnsiTheme="minorHAnsi"/>
          <w:lang w:val="sq-AL"/>
        </w:rPr>
        <w:t>“Objekte monument kulture të ruajtura dhe të mbrojtura”, me një kosto faktike prej 72.2 milion lekë, ku:</w:t>
      </w:r>
    </w:p>
    <w:p w:rsidR="00990CDF" w:rsidRPr="00BF005F" w:rsidRDefault="00990CDF" w:rsidP="006F25E7">
      <w:pPr>
        <w:spacing w:line="276" w:lineRule="auto"/>
        <w:ind w:left="720"/>
        <w:jc w:val="both"/>
        <w:rPr>
          <w:rFonts w:asciiTheme="minorHAnsi" w:eastAsia="MS Mincho" w:hAnsiTheme="minorHAnsi"/>
          <w:lang w:val="sq-AL"/>
        </w:rPr>
      </w:pPr>
      <w:r w:rsidRPr="00BF005F">
        <w:rPr>
          <w:rFonts w:asciiTheme="minorHAnsi" w:eastAsia="MS Mincho" w:hAnsiTheme="minorHAnsi"/>
          <w:lang w:val="sq-AL"/>
        </w:rPr>
        <w:t>Gjatë 4 mujorit te I-re 2021, janë kryer punime mirembajtje dhe pastrime nga vegjetacioni në rreth 50 objekte të monumenteve të kulturës nga të cilat 24 restaurim, konsolidim mirëmbajtje në rreth 25 objekte. Kështu është kryer pastrim mirëmbajtje në Kalanë e Shkodrës, në Kalanë e Lezhës, në Kalanë e Drishtit dhe në Urën e Mesit. Eshte kryer pastrim-mirembajtje në Kalanë e Krujës, vendbanimin antik të Zgërdheshitn Mozaikun e Tiranës dhe në Kalanë e Prezës. Ndërsa në Vlorëjanë kryer dy projekte. Projekti i parë është “Punime konservimi në kalanë e Porti Palermos dhe “Gërmime arkeologjiketë shpëtimit të varrit të tipit Maqedon në Parkun Arkeologjik Amantia”.</w:t>
      </w:r>
    </w:p>
    <w:p w:rsidR="00020968" w:rsidRDefault="00020968" w:rsidP="00020968">
      <w:pPr>
        <w:pStyle w:val="ListParagraph"/>
        <w:spacing w:line="276" w:lineRule="auto"/>
        <w:ind w:left="780"/>
        <w:jc w:val="both"/>
        <w:rPr>
          <w:rFonts w:asciiTheme="minorHAnsi" w:hAnsiTheme="minorHAnsi"/>
          <w:lang w:val="sq-AL"/>
        </w:rPr>
      </w:pPr>
    </w:p>
    <w:p w:rsidR="00990CDF" w:rsidRPr="00BF005F" w:rsidRDefault="00990CDF" w:rsidP="007F0B61">
      <w:pPr>
        <w:pStyle w:val="ListParagraph"/>
        <w:numPr>
          <w:ilvl w:val="0"/>
          <w:numId w:val="7"/>
        </w:numPr>
        <w:spacing w:line="276" w:lineRule="auto"/>
        <w:jc w:val="both"/>
        <w:rPr>
          <w:rFonts w:asciiTheme="minorHAnsi" w:hAnsiTheme="minorHAnsi"/>
          <w:lang w:val="sq-AL"/>
        </w:rPr>
      </w:pPr>
      <w:r w:rsidRPr="00BF005F">
        <w:rPr>
          <w:rFonts w:asciiTheme="minorHAnsi" w:hAnsiTheme="minorHAnsi"/>
          <w:lang w:val="sq-AL"/>
        </w:rPr>
        <w:lastRenderedPageBreak/>
        <w:t>“Muze të mirëmbajtura dhe të vizitueshëm nga publiku ” me një kosto faktike prej 48.2 milion lekë, ku veprimtaria e muzeve kombëtare është fokusuar në promovimin, ruajtjen dhe mbrojtjen e pasurive kulturore në administrim të tyre si më poshtë:</w:t>
      </w:r>
    </w:p>
    <w:p w:rsidR="00990CDF" w:rsidRPr="000A4DB4" w:rsidRDefault="00990CDF" w:rsidP="007F0B61">
      <w:pPr>
        <w:numPr>
          <w:ilvl w:val="1"/>
          <w:numId w:val="9"/>
        </w:numPr>
        <w:spacing w:line="276" w:lineRule="auto"/>
        <w:ind w:left="1620"/>
        <w:jc w:val="both"/>
        <w:rPr>
          <w:rFonts w:asciiTheme="minorHAnsi" w:eastAsia="MS Mincho" w:hAnsiTheme="minorHAnsi"/>
          <w:i/>
          <w:lang w:val="sq-AL"/>
        </w:rPr>
      </w:pPr>
      <w:r w:rsidRPr="000A4DB4">
        <w:rPr>
          <w:rFonts w:asciiTheme="minorHAnsi" w:eastAsia="MS Mincho" w:hAnsiTheme="minorHAnsi"/>
          <w:i/>
          <w:lang w:val="sq-AL"/>
        </w:rPr>
        <w:t>Muzeu Kombëtar i Fotografisë “Marubi”, në periudhën Janar-Prill 2021 ka nisur procedurat për tu bërë pjesë e Uneskos në programin “Memory of the Ëorlds Register”.</w:t>
      </w:r>
    </w:p>
    <w:p w:rsidR="00990CDF" w:rsidRPr="000A4DB4" w:rsidRDefault="00990CDF" w:rsidP="007F0B61">
      <w:pPr>
        <w:numPr>
          <w:ilvl w:val="1"/>
          <w:numId w:val="9"/>
        </w:numPr>
        <w:spacing w:line="276" w:lineRule="auto"/>
        <w:ind w:left="1620"/>
        <w:jc w:val="both"/>
        <w:rPr>
          <w:rFonts w:asciiTheme="minorHAnsi" w:eastAsia="MS Mincho" w:hAnsiTheme="minorHAnsi"/>
          <w:i/>
          <w:lang w:val="sq-AL"/>
        </w:rPr>
      </w:pPr>
      <w:r w:rsidRPr="000A4DB4">
        <w:rPr>
          <w:rFonts w:asciiTheme="minorHAnsi" w:eastAsia="MS Mincho" w:hAnsiTheme="minorHAnsi"/>
          <w:i/>
          <w:lang w:val="sq-AL"/>
        </w:rPr>
        <w:t xml:space="preserve">Muzeu Historik Kombëtar, gjatë këtij 4 mujori, ka realizuar rreth 10 aktivitete edukuese dhe promovuese; 2 ekspozita, 1 botim promovues.Janë kryer një sërë restaurimesh të objekteve pjesë të muzeut. </w:t>
      </w:r>
    </w:p>
    <w:p w:rsidR="00990CDF" w:rsidRPr="000A4DB4" w:rsidRDefault="00990CDF" w:rsidP="007F0B61">
      <w:pPr>
        <w:numPr>
          <w:ilvl w:val="1"/>
          <w:numId w:val="9"/>
        </w:numPr>
        <w:spacing w:line="276" w:lineRule="auto"/>
        <w:ind w:left="1620"/>
        <w:jc w:val="both"/>
        <w:rPr>
          <w:rFonts w:asciiTheme="minorHAnsi" w:eastAsia="MS Mincho" w:hAnsiTheme="minorHAnsi"/>
          <w:i/>
          <w:lang w:val="sq-AL"/>
        </w:rPr>
      </w:pPr>
      <w:r w:rsidRPr="000A4DB4">
        <w:rPr>
          <w:rFonts w:asciiTheme="minorHAnsi" w:eastAsia="MS Mincho" w:hAnsiTheme="minorHAnsi"/>
          <w:i/>
          <w:lang w:val="sq-AL"/>
        </w:rPr>
        <w:t xml:space="preserve">Muzeu kombëtar i Artit Mesjetar, Arsimit dhe Arkeologjik, Korçë, ka organizuar veprimtari qe janë lidhur me pritjen e vizitorëve dhe promovimin e vlerave të trashëgimisë që administrohen nga këta muze. Janë restauruar 28 objekte të këtij muzeu, dhe resaturimi i 7 ikonave të cilat janë bërë të qëndrueshme për ekspozim.   </w:t>
      </w:r>
    </w:p>
    <w:p w:rsidR="00990CDF" w:rsidRPr="000A4DB4" w:rsidRDefault="00990CDF" w:rsidP="007F0B61">
      <w:pPr>
        <w:numPr>
          <w:ilvl w:val="1"/>
          <w:numId w:val="9"/>
        </w:numPr>
        <w:spacing w:line="276" w:lineRule="auto"/>
        <w:ind w:left="1620"/>
        <w:jc w:val="both"/>
        <w:rPr>
          <w:rFonts w:asciiTheme="minorHAnsi" w:eastAsia="MS Mincho" w:hAnsiTheme="minorHAnsi"/>
          <w:i/>
          <w:lang w:val="sq-AL"/>
        </w:rPr>
      </w:pPr>
      <w:r w:rsidRPr="000A4DB4">
        <w:rPr>
          <w:rFonts w:asciiTheme="minorHAnsi" w:eastAsia="MS Mincho" w:hAnsiTheme="minorHAnsi"/>
          <w:i/>
          <w:lang w:val="sq-AL"/>
        </w:rPr>
        <w:t xml:space="preserve">Qendra Kombëtare e Muzeumeve Berat ka kryer një sërë veprimtarish me karakter promovues dhe njëkohësisht dhe mirëmbajtje të objekteve muzeore. </w:t>
      </w:r>
    </w:p>
    <w:p w:rsidR="00990CDF" w:rsidRPr="000A4DB4" w:rsidRDefault="00990CDF" w:rsidP="007F0B61">
      <w:pPr>
        <w:numPr>
          <w:ilvl w:val="1"/>
          <w:numId w:val="9"/>
        </w:numPr>
        <w:spacing w:line="276" w:lineRule="auto"/>
        <w:ind w:left="1620"/>
        <w:jc w:val="both"/>
        <w:rPr>
          <w:rFonts w:asciiTheme="minorHAnsi" w:eastAsia="MS Mincho" w:hAnsiTheme="minorHAnsi"/>
          <w:i/>
          <w:lang w:val="sq-AL"/>
        </w:rPr>
      </w:pPr>
      <w:r w:rsidRPr="000A4DB4">
        <w:rPr>
          <w:rFonts w:asciiTheme="minorHAnsi" w:eastAsia="MS Mincho" w:hAnsiTheme="minorHAnsi"/>
          <w:i/>
          <w:lang w:val="sq-AL"/>
        </w:rPr>
        <w:t>Muzeu Kombëtar Pavarësia Vlorë gjatë vitit ka kryer rreth 4 aktivitete me karakter promovues dhe edukues në përkujtim të figurave të shquara dhe ngjarjeve të rëndësishme histotiko-kulturore.</w:t>
      </w:r>
    </w:p>
    <w:p w:rsidR="00990CDF" w:rsidRPr="000A4DB4" w:rsidRDefault="00990CDF" w:rsidP="007F0B61">
      <w:pPr>
        <w:numPr>
          <w:ilvl w:val="1"/>
          <w:numId w:val="9"/>
        </w:numPr>
        <w:spacing w:line="276" w:lineRule="auto"/>
        <w:ind w:left="1620"/>
        <w:jc w:val="both"/>
        <w:rPr>
          <w:rFonts w:asciiTheme="minorHAnsi" w:eastAsia="MS Mincho" w:hAnsiTheme="minorHAnsi"/>
          <w:i/>
          <w:lang w:val="sq-AL"/>
        </w:rPr>
      </w:pPr>
      <w:r w:rsidRPr="000A4DB4">
        <w:rPr>
          <w:rFonts w:asciiTheme="minorHAnsi" w:eastAsia="MS Mincho" w:hAnsiTheme="minorHAnsi"/>
          <w:i/>
          <w:lang w:val="sq-AL"/>
        </w:rPr>
        <w:t xml:space="preserve">Muzeu Kombëtar “Gjethi” gjatë këtij 4 mujori ka realizuar rreth 10 aktivitete edukuese dhe promovuese ku 5 prej tyre janë në kuadër të programit edukativ “Kujtojme per te mos harruar”, 3 aktivitetemnne kuader te programit edukativ “Mbresa”, 2 aktivitete (vizite studimore online dhe konference finale. </w:t>
      </w:r>
    </w:p>
    <w:p w:rsidR="00990CDF" w:rsidRPr="000A4DB4" w:rsidRDefault="00990CDF" w:rsidP="007F0B61">
      <w:pPr>
        <w:numPr>
          <w:ilvl w:val="1"/>
          <w:numId w:val="9"/>
        </w:numPr>
        <w:spacing w:line="276" w:lineRule="auto"/>
        <w:ind w:left="1620"/>
        <w:jc w:val="both"/>
        <w:rPr>
          <w:rFonts w:asciiTheme="minorHAnsi" w:eastAsia="MS Mincho" w:hAnsiTheme="minorHAnsi"/>
          <w:i/>
          <w:lang w:val="sq-AL"/>
        </w:rPr>
      </w:pPr>
      <w:r w:rsidRPr="000A4DB4">
        <w:rPr>
          <w:rFonts w:asciiTheme="minorHAnsi" w:eastAsia="MS Mincho" w:hAnsiTheme="minorHAnsi"/>
          <w:i/>
          <w:lang w:val="sq-AL"/>
        </w:rPr>
        <w:t>Realizimi i punimeve restauruese të parqeve të Butrintit dhe Apolonisë.</w:t>
      </w:r>
    </w:p>
    <w:p w:rsidR="00990CDF" w:rsidRPr="00BF005F" w:rsidRDefault="00990CDF" w:rsidP="007F0B61">
      <w:pPr>
        <w:numPr>
          <w:ilvl w:val="0"/>
          <w:numId w:val="7"/>
        </w:numPr>
        <w:spacing w:line="276" w:lineRule="auto"/>
        <w:jc w:val="both"/>
        <w:rPr>
          <w:rFonts w:asciiTheme="minorHAnsi" w:eastAsia="MS Mincho" w:hAnsiTheme="minorHAnsi"/>
          <w:lang w:val="sq-AL"/>
        </w:rPr>
      </w:pPr>
      <w:r w:rsidRPr="00BF005F">
        <w:rPr>
          <w:rFonts w:asciiTheme="minorHAnsi" w:eastAsia="MS Mincho" w:hAnsiTheme="minorHAnsi"/>
          <w:lang w:val="sq-AL"/>
        </w:rPr>
        <w:t>“Aktivitete, të fushës së trashëgimisë jomateriale”, me nje kosto faktike 66 milion lekë.</w:t>
      </w:r>
    </w:p>
    <w:p w:rsidR="00990CDF" w:rsidRPr="000A4DB4" w:rsidRDefault="00990CDF" w:rsidP="007F0B61">
      <w:pPr>
        <w:numPr>
          <w:ilvl w:val="1"/>
          <w:numId w:val="9"/>
        </w:numPr>
        <w:spacing w:line="276" w:lineRule="auto"/>
        <w:ind w:left="1620"/>
        <w:jc w:val="both"/>
        <w:rPr>
          <w:rFonts w:asciiTheme="minorHAnsi" w:eastAsia="MS Mincho" w:hAnsiTheme="minorHAnsi"/>
          <w:i/>
          <w:lang w:val="sq-AL"/>
        </w:rPr>
      </w:pPr>
      <w:r w:rsidRPr="000A4DB4">
        <w:rPr>
          <w:rFonts w:asciiTheme="minorHAnsi" w:eastAsia="MS Mincho" w:hAnsiTheme="minorHAnsi"/>
          <w:i/>
          <w:lang w:val="sq-AL"/>
        </w:rPr>
        <w:t>Projektet me thirrje për vitin 2020 të trashëgimisë jo materiale janë perzgjedhur 45, gjatë fazës së parë në shkurt 2020. Projektet e miratuara gjithsej 27, brenda te cilave janë 77 aktivitete, janë zhvilluar konform rregullave dhe protokolleve te miratuara per Covid-19.</w:t>
      </w:r>
    </w:p>
    <w:p w:rsidR="00990CDF" w:rsidRPr="00BF005F" w:rsidRDefault="00990CDF" w:rsidP="007F0B61">
      <w:pPr>
        <w:numPr>
          <w:ilvl w:val="0"/>
          <w:numId w:val="7"/>
        </w:numPr>
        <w:spacing w:line="276" w:lineRule="auto"/>
        <w:jc w:val="both"/>
        <w:rPr>
          <w:rFonts w:asciiTheme="minorHAnsi" w:eastAsia="MS Mincho" w:hAnsiTheme="minorHAnsi"/>
          <w:lang w:val="sq-AL"/>
        </w:rPr>
      </w:pPr>
      <w:r w:rsidRPr="00BF005F">
        <w:rPr>
          <w:rFonts w:asciiTheme="minorHAnsi" w:eastAsia="MS Mincho" w:hAnsiTheme="minorHAnsi"/>
          <w:lang w:val="sq-AL"/>
        </w:rPr>
        <w:t xml:space="preserve"> “Trashëgimia materiale e jomateriale e inventarizuar”, me një kosto faktike prej 2.6 milion lekë. Gjatë 4 mujorit te I 2021 rezultojnë të regjistruara në bazën e të dhënave shtetërore “Regjistri Kombëtar i Pasurive Kulturore gjithsej 23 596. </w:t>
      </w:r>
    </w:p>
    <w:p w:rsidR="00990CDF" w:rsidRPr="00BF005F" w:rsidRDefault="00990CDF" w:rsidP="000A4DB4">
      <w:pPr>
        <w:spacing w:before="240" w:line="276" w:lineRule="auto"/>
        <w:jc w:val="both"/>
        <w:rPr>
          <w:rFonts w:asciiTheme="minorHAnsi" w:eastAsia="MS Mincho" w:hAnsiTheme="minorHAnsi"/>
          <w:lang w:val="sq-AL"/>
        </w:rPr>
      </w:pPr>
      <w:r w:rsidRPr="00BF005F">
        <w:rPr>
          <w:rFonts w:asciiTheme="minorHAnsi" w:eastAsia="MS Mincho" w:hAnsiTheme="minorHAnsi"/>
          <w:lang w:val="sq-AL"/>
        </w:rPr>
        <w:t>Programi</w:t>
      </w:r>
      <w:r w:rsidRPr="00BF005F">
        <w:rPr>
          <w:rFonts w:asciiTheme="minorHAnsi" w:eastAsia="MS Mincho" w:hAnsiTheme="minorHAnsi"/>
          <w:b/>
          <w:lang w:val="sq-AL"/>
        </w:rPr>
        <w:t xml:space="preserve"> “Arti dhe Kultura”</w:t>
      </w:r>
      <w:r w:rsidRPr="00BF005F">
        <w:rPr>
          <w:rFonts w:asciiTheme="minorHAnsi" w:eastAsia="MS Mincho" w:hAnsiTheme="minorHAnsi"/>
          <w:lang w:val="sq-AL"/>
        </w:rPr>
        <w:t xml:space="preserve"> ka qëllim edukimin, zhvillimin dhe promovimin e skenës artistike dhe vlerave kulturore kombëtare dhe ka objektiv rritjen e interesit të publikut ndaj programeve kulturore përmes përmirësimit të shërbimeve në infrastrukturë si dhe rritjen e cilësisë artistike. Ky objektiv gjatë 4 mujorit të I 2021, është arritur nëpërmjet realizimit të produkteve si më poshtë:</w:t>
      </w:r>
    </w:p>
    <w:p w:rsidR="00990CDF" w:rsidRPr="00BF005F" w:rsidRDefault="00990CDF" w:rsidP="007F0B61">
      <w:pPr>
        <w:pStyle w:val="ListParagraph"/>
        <w:numPr>
          <w:ilvl w:val="0"/>
          <w:numId w:val="7"/>
        </w:numPr>
        <w:spacing w:line="276" w:lineRule="auto"/>
        <w:jc w:val="both"/>
        <w:rPr>
          <w:rFonts w:asciiTheme="minorHAnsi" w:hAnsiTheme="minorHAnsi"/>
          <w:lang w:val="sq-AL"/>
        </w:rPr>
      </w:pPr>
      <w:r w:rsidRPr="00BF005F">
        <w:rPr>
          <w:rFonts w:asciiTheme="minorHAnsi" w:hAnsiTheme="minorHAnsi"/>
          <w:lang w:val="sq-AL"/>
        </w:rPr>
        <w:t>“Investime të reja në skenat bashkëkohore”, përfshihen ndërtime e rikonstruksione në institucionet e artit dhe kulturës, ku përmendim “Rikonstruksionin e Teatrit të Operas dhe Baletit,(pritet inaugurimi); Restaurimi për ndërtesën e Fondit të Bibliotekës Kombëtare (faza I, ne proces); Rijetësimi i Piramidës Tirane (në proces); Rikonstruksioni dhe rehabilitimi i hapësirave në Muzeun Kombëtar të Arteve të Bukura, Galeria Kombëtare e Arteve, që janë në proces; Rikualifikimi i hapesirës së Parkut të kinostudios ‘Parku i Artit”, në proces.</w:t>
      </w:r>
    </w:p>
    <w:p w:rsidR="00990CDF" w:rsidRPr="00BF005F" w:rsidRDefault="00990CDF" w:rsidP="007F0B61">
      <w:pPr>
        <w:numPr>
          <w:ilvl w:val="0"/>
          <w:numId w:val="7"/>
        </w:numPr>
        <w:spacing w:line="276" w:lineRule="auto"/>
        <w:jc w:val="both"/>
        <w:rPr>
          <w:rFonts w:asciiTheme="minorHAnsi" w:eastAsia="MS Mincho" w:hAnsiTheme="minorHAnsi"/>
          <w:lang w:val="sq-AL"/>
        </w:rPr>
      </w:pPr>
      <w:r w:rsidRPr="00BF005F">
        <w:rPr>
          <w:rFonts w:asciiTheme="minorHAnsi" w:eastAsia="MS Mincho" w:hAnsiTheme="minorHAnsi"/>
          <w:lang w:val="sq-AL"/>
        </w:rPr>
        <w:lastRenderedPageBreak/>
        <w:t xml:space="preserve">“Veprimtari të realizuara në institucionet e art-kulturës”. Në kushtet e masave të marra për parandalimin e përhapjes së infeksionit të shkaktuar nga COVID-19, gjatë 4 mujorit të parë 2021, ka nisur alternimi i aktiviteteve me prezencë të audiencës edhe on-line. Kështu përmendim: </w:t>
      </w:r>
    </w:p>
    <w:p w:rsidR="00990CDF" w:rsidRPr="007E297E" w:rsidRDefault="00990CDF" w:rsidP="007F0B61">
      <w:pPr>
        <w:numPr>
          <w:ilvl w:val="1"/>
          <w:numId w:val="9"/>
        </w:numPr>
        <w:spacing w:line="276" w:lineRule="auto"/>
        <w:ind w:left="1620"/>
        <w:jc w:val="both"/>
        <w:rPr>
          <w:rFonts w:asciiTheme="minorHAnsi" w:eastAsia="MS Mincho" w:hAnsiTheme="minorHAnsi"/>
          <w:i/>
          <w:lang w:val="sq-AL"/>
        </w:rPr>
      </w:pPr>
      <w:r w:rsidRPr="007E297E">
        <w:rPr>
          <w:rFonts w:asciiTheme="minorHAnsi" w:eastAsia="MS Mincho" w:hAnsiTheme="minorHAnsi"/>
          <w:i/>
          <w:lang w:val="sq-AL"/>
        </w:rPr>
        <w:t xml:space="preserve">‘Premiera dhe shfaqje artistike të zhanrit skenik operistik, koreografik dhe folklorik kombëtar”, 55 shfaqje me nje kosto faktike 88.6 milion lekë, </w:t>
      </w:r>
    </w:p>
    <w:p w:rsidR="00990CDF" w:rsidRPr="007E297E" w:rsidRDefault="00990CDF" w:rsidP="007F0B61">
      <w:pPr>
        <w:numPr>
          <w:ilvl w:val="1"/>
          <w:numId w:val="9"/>
        </w:numPr>
        <w:spacing w:line="276" w:lineRule="auto"/>
        <w:ind w:left="1620"/>
        <w:jc w:val="both"/>
        <w:rPr>
          <w:rFonts w:asciiTheme="minorHAnsi" w:eastAsia="MS Mincho" w:hAnsiTheme="minorHAnsi"/>
          <w:i/>
          <w:lang w:val="sq-AL"/>
        </w:rPr>
      </w:pPr>
      <w:r w:rsidRPr="007E297E">
        <w:rPr>
          <w:rFonts w:asciiTheme="minorHAnsi" w:eastAsia="MS Mincho" w:hAnsiTheme="minorHAnsi"/>
          <w:i/>
          <w:lang w:val="sq-AL"/>
        </w:rPr>
        <w:t>“Premiera dhe shfaqie artistike  të zhanrit skenik teatror klasik dhe bashkekohor” , 28 shfaqje me nje kosto faktike 25.3 milion lekë.</w:t>
      </w:r>
    </w:p>
    <w:p w:rsidR="00990CDF" w:rsidRPr="007E297E" w:rsidRDefault="00990CDF" w:rsidP="007F0B61">
      <w:pPr>
        <w:numPr>
          <w:ilvl w:val="1"/>
          <w:numId w:val="9"/>
        </w:numPr>
        <w:spacing w:line="276" w:lineRule="auto"/>
        <w:ind w:left="1620"/>
        <w:jc w:val="both"/>
        <w:rPr>
          <w:rFonts w:asciiTheme="minorHAnsi" w:eastAsia="MS Mincho" w:hAnsiTheme="minorHAnsi"/>
          <w:i/>
          <w:lang w:val="sq-AL"/>
        </w:rPr>
      </w:pPr>
      <w:r w:rsidRPr="007E297E">
        <w:rPr>
          <w:rFonts w:asciiTheme="minorHAnsi" w:eastAsia="MS Mincho" w:hAnsiTheme="minorHAnsi"/>
          <w:i/>
          <w:lang w:val="sq-AL"/>
        </w:rPr>
        <w:t>“Premiera dhe shfaqje artistike të zhanrit skenik teatror eksperimental klasik dhe bashkekohor “, 8 shfaqje me një kosto faktike 6.9 milion leke.</w:t>
      </w:r>
    </w:p>
    <w:p w:rsidR="00990CDF" w:rsidRPr="007E297E" w:rsidRDefault="00990CDF" w:rsidP="007F0B61">
      <w:pPr>
        <w:numPr>
          <w:ilvl w:val="1"/>
          <w:numId w:val="9"/>
        </w:numPr>
        <w:spacing w:line="276" w:lineRule="auto"/>
        <w:ind w:left="1620"/>
        <w:jc w:val="both"/>
        <w:rPr>
          <w:rFonts w:asciiTheme="minorHAnsi" w:eastAsia="MS Mincho" w:hAnsiTheme="minorHAnsi"/>
          <w:i/>
          <w:lang w:val="sq-AL"/>
        </w:rPr>
      </w:pPr>
      <w:r w:rsidRPr="007E297E">
        <w:rPr>
          <w:rFonts w:asciiTheme="minorHAnsi" w:eastAsia="MS Mincho" w:hAnsiTheme="minorHAnsi"/>
          <w:i/>
          <w:lang w:val="sq-AL"/>
        </w:rPr>
        <w:t>Ekspozita me vepra pjese e fondit te GKA, te perkohshme te tradites dhe bashkekohore, autore te diaspores dhe te huaj, 10 aktivitete me nje kosto faktike 12.9 milion leke.</w:t>
      </w:r>
    </w:p>
    <w:p w:rsidR="00990CDF" w:rsidRPr="007E297E" w:rsidRDefault="00990CDF" w:rsidP="007F0B61">
      <w:pPr>
        <w:numPr>
          <w:ilvl w:val="1"/>
          <w:numId w:val="9"/>
        </w:numPr>
        <w:spacing w:line="276" w:lineRule="auto"/>
        <w:ind w:left="1620"/>
        <w:jc w:val="both"/>
        <w:rPr>
          <w:rFonts w:asciiTheme="minorHAnsi" w:eastAsia="MS Mincho" w:hAnsiTheme="minorHAnsi"/>
          <w:i/>
          <w:lang w:val="sq-AL"/>
        </w:rPr>
      </w:pPr>
      <w:r w:rsidRPr="007E297E">
        <w:rPr>
          <w:rFonts w:asciiTheme="minorHAnsi" w:eastAsia="MS Mincho" w:hAnsiTheme="minorHAnsi"/>
          <w:i/>
          <w:lang w:val="sq-AL"/>
        </w:rPr>
        <w:t>Veprimtari edukuese te teatrit me dhe per femije, 38 aktivitete me nje kosto faktike 9.5 milion leke.</w:t>
      </w:r>
    </w:p>
    <w:p w:rsidR="00990CDF" w:rsidRPr="007E297E" w:rsidRDefault="00990CDF" w:rsidP="007F0B61">
      <w:pPr>
        <w:numPr>
          <w:ilvl w:val="1"/>
          <w:numId w:val="9"/>
        </w:numPr>
        <w:spacing w:line="276" w:lineRule="auto"/>
        <w:ind w:left="1620"/>
        <w:jc w:val="both"/>
        <w:rPr>
          <w:rFonts w:asciiTheme="minorHAnsi" w:eastAsia="MS Mincho" w:hAnsiTheme="minorHAnsi"/>
          <w:i/>
          <w:lang w:val="sq-AL"/>
        </w:rPr>
      </w:pPr>
      <w:r w:rsidRPr="007E297E">
        <w:rPr>
          <w:rFonts w:asciiTheme="minorHAnsi" w:eastAsia="MS Mincho" w:hAnsiTheme="minorHAnsi"/>
          <w:i/>
          <w:lang w:val="sq-AL"/>
        </w:rPr>
        <w:t>Veprimtari dhe sherbime te integruara dhe inovative per qytetaret perdorues dhe frekuentues te koleksioneve bibliotekare, 41 aktivitete me nje kosto faktike 32.1 milion leke.</w:t>
      </w:r>
    </w:p>
    <w:p w:rsidR="00990CDF" w:rsidRPr="00BF005F" w:rsidRDefault="00990CDF" w:rsidP="006F25E7">
      <w:pPr>
        <w:spacing w:line="276" w:lineRule="auto"/>
        <w:jc w:val="both"/>
        <w:rPr>
          <w:rFonts w:asciiTheme="minorHAnsi" w:eastAsia="MS Mincho" w:hAnsiTheme="minorHAnsi"/>
          <w:lang w:val="sq-AL"/>
        </w:rPr>
      </w:pPr>
    </w:p>
    <w:p w:rsidR="00990CDF" w:rsidRPr="00BF005F" w:rsidRDefault="00990CDF" w:rsidP="006F25E7">
      <w:pPr>
        <w:spacing w:before="120" w:after="120" w:line="276" w:lineRule="auto"/>
        <w:jc w:val="both"/>
        <w:rPr>
          <w:rFonts w:asciiTheme="minorHAnsi" w:hAnsiTheme="minorHAnsi"/>
          <w:b/>
          <w:noProof/>
          <w:color w:val="0070C0"/>
          <w:lang w:val="sq-AL"/>
        </w:rPr>
      </w:pPr>
      <w:bookmarkStart w:id="151" w:name="_Toc10033300"/>
      <w:bookmarkStart w:id="152" w:name="_Toc10721436"/>
      <w:bookmarkStart w:id="153" w:name="_Toc11134236"/>
      <w:r w:rsidRPr="00BF005F">
        <w:rPr>
          <w:rFonts w:asciiTheme="minorHAnsi" w:hAnsiTheme="minorHAnsi"/>
          <w:b/>
          <w:noProof/>
          <w:color w:val="0070C0"/>
          <w:lang w:val="sq-AL"/>
        </w:rPr>
        <w:t>POLITIKA E JASHTME</w:t>
      </w:r>
      <w:bookmarkEnd w:id="151"/>
      <w:bookmarkEnd w:id="152"/>
      <w:bookmarkEnd w:id="153"/>
    </w:p>
    <w:p w:rsidR="00990CDF" w:rsidRPr="00BF005F" w:rsidRDefault="00990CDF" w:rsidP="006F25E7">
      <w:pPr>
        <w:spacing w:line="276" w:lineRule="auto"/>
        <w:jc w:val="both"/>
        <w:rPr>
          <w:rFonts w:asciiTheme="minorHAnsi" w:hAnsiTheme="minorHAnsi"/>
          <w:color w:val="000000"/>
          <w:lang w:val="sq-AL"/>
        </w:rPr>
      </w:pPr>
      <w:r w:rsidRPr="00BF005F">
        <w:rPr>
          <w:rFonts w:asciiTheme="minorHAnsi" w:eastAsia="MS Mincho" w:hAnsiTheme="minorHAnsi"/>
          <w:lang w:val="sq-AL"/>
        </w:rPr>
        <w:t xml:space="preserve">Ministria për Evropën dhe Punët e Jashtme është institucioni përgjegjës për hartimin dhe zbatimin e politikës së jashtme të Republikës së Shqipërisë, drejtimin teknik dhe bashkërendimin e procesit të integrimit të Republikës së Shqipërisë në Bashkimin Evropian, zhvillimit dhe fuqizimit të diplomacisë ekonomike si dhe bashkërendimin e ndihmave financiare nga Bashkimi Evropian. </w:t>
      </w:r>
      <w:r w:rsidRPr="00BF005F">
        <w:rPr>
          <w:rFonts w:asciiTheme="minorHAnsi" w:hAnsiTheme="minorHAnsi"/>
          <w:color w:val="000000"/>
          <w:lang w:val="sq-AL"/>
        </w:rPr>
        <w:t>Performanca e treguesve buxhetorë për katër programet në Ministrinë për Evropën dhe Punët e Jashtme paraqitet si më poshtë:</w:t>
      </w:r>
    </w:p>
    <w:p w:rsidR="00990CDF" w:rsidRPr="007E297E" w:rsidRDefault="00990CDF" w:rsidP="007E297E">
      <w:pPr>
        <w:pStyle w:val="Caption"/>
        <w:spacing w:before="240" w:after="0" w:line="276" w:lineRule="auto"/>
        <w:rPr>
          <w:rFonts w:asciiTheme="minorHAnsi" w:hAnsiTheme="minorHAnsi"/>
          <w:i/>
          <w:color w:val="000000"/>
          <w:sz w:val="22"/>
          <w:szCs w:val="24"/>
          <w:lang w:val="sq-AL"/>
        </w:rPr>
      </w:pPr>
      <w:r w:rsidRPr="007E297E">
        <w:rPr>
          <w:rFonts w:asciiTheme="minorHAnsi" w:hAnsiTheme="minorHAnsi"/>
          <w:b w:val="0"/>
          <w:bCs w:val="0"/>
          <w:i/>
          <w:noProof/>
          <w:color w:val="auto"/>
          <w:sz w:val="22"/>
          <w:szCs w:val="24"/>
          <w:lang w:val="sq-AL"/>
        </w:rPr>
        <w:t xml:space="preserve">Tabela </w:t>
      </w:r>
      <w:r w:rsidR="00CF57B7">
        <w:rPr>
          <w:rFonts w:asciiTheme="minorHAnsi" w:hAnsiTheme="minorHAnsi"/>
          <w:b w:val="0"/>
          <w:bCs w:val="0"/>
          <w:i/>
          <w:noProof/>
          <w:color w:val="auto"/>
          <w:sz w:val="22"/>
          <w:szCs w:val="24"/>
          <w:lang w:val="sq-AL"/>
        </w:rPr>
        <w:t>39</w:t>
      </w:r>
      <w:r w:rsidRPr="007E297E">
        <w:rPr>
          <w:rFonts w:asciiTheme="minorHAnsi" w:hAnsiTheme="minorHAnsi"/>
          <w:b w:val="0"/>
          <w:bCs w:val="0"/>
          <w:i/>
          <w:noProof/>
          <w:color w:val="auto"/>
          <w:sz w:val="22"/>
          <w:szCs w:val="24"/>
          <w:lang w:val="sq-AL"/>
        </w:rPr>
        <w:t>: Politika e Jashtme</w:t>
      </w:r>
      <w:r w:rsidRPr="007E297E">
        <w:rPr>
          <w:rFonts w:asciiTheme="minorHAnsi" w:hAnsiTheme="minorHAnsi"/>
          <w:i/>
          <w:color w:val="000000"/>
          <w:sz w:val="22"/>
          <w:szCs w:val="24"/>
          <w:lang w:val="sq-AL"/>
        </w:rPr>
        <w:t xml:space="preserve">                                          </w:t>
      </w:r>
    </w:p>
    <w:p w:rsidR="00990CDF" w:rsidRPr="007E297E" w:rsidRDefault="00990CDF" w:rsidP="006F25E7">
      <w:pPr>
        <w:spacing w:line="276" w:lineRule="auto"/>
        <w:ind w:left="2880" w:firstLine="720"/>
        <w:jc w:val="right"/>
        <w:rPr>
          <w:rFonts w:asciiTheme="minorHAnsi" w:hAnsiTheme="minorHAnsi"/>
          <w:i/>
          <w:color w:val="000000"/>
          <w:sz w:val="22"/>
          <w:lang w:val="sq-AL"/>
        </w:rPr>
      </w:pPr>
      <w:r w:rsidRPr="007E297E">
        <w:rPr>
          <w:rFonts w:asciiTheme="minorHAnsi" w:hAnsiTheme="minorHAnsi"/>
          <w:i/>
          <w:color w:val="000000"/>
          <w:sz w:val="22"/>
          <w:lang w:val="sq-AL"/>
        </w:rPr>
        <w:t>Në mijë lekë</w:t>
      </w:r>
    </w:p>
    <w:tbl>
      <w:tblPr>
        <w:tblStyle w:val="ListTable3-Accent523"/>
        <w:tblW w:w="0" w:type="auto"/>
        <w:jc w:val="center"/>
        <w:tblLook w:val="0000" w:firstRow="0" w:lastRow="0" w:firstColumn="0" w:lastColumn="0" w:noHBand="0" w:noVBand="0"/>
      </w:tblPr>
      <w:tblGrid>
        <w:gridCol w:w="436"/>
        <w:gridCol w:w="3605"/>
        <w:gridCol w:w="948"/>
        <w:gridCol w:w="952"/>
        <w:gridCol w:w="880"/>
        <w:gridCol w:w="952"/>
        <w:gridCol w:w="887"/>
        <w:gridCol w:w="960"/>
      </w:tblGrid>
      <w:tr w:rsidR="00990CDF" w:rsidRPr="007E297E" w:rsidTr="00E7447D">
        <w:trPr>
          <w:cnfStyle w:val="000000100000" w:firstRow="0" w:lastRow="0" w:firstColumn="0" w:lastColumn="0" w:oddVBand="0" w:evenVBand="0" w:oddHBand="1" w:evenHBand="0" w:firstRowFirstColumn="0" w:firstRowLastColumn="0" w:lastRowFirstColumn="0" w:lastRowLastColumn="0"/>
          <w:trHeight w:val="164"/>
          <w:jc w:val="center"/>
        </w:trPr>
        <w:tc>
          <w:tcPr>
            <w:cnfStyle w:val="000010000000" w:firstRow="0" w:lastRow="0" w:firstColumn="0" w:lastColumn="0" w:oddVBand="1" w:evenVBand="0" w:oddHBand="0" w:evenHBand="0" w:firstRowFirstColumn="0" w:firstRowLastColumn="0" w:lastRowFirstColumn="0" w:lastRowLastColumn="0"/>
            <w:tcW w:w="0" w:type="auto"/>
            <w:vMerge w:val="restart"/>
            <w:shd w:val="clear" w:color="auto" w:fill="B6DDE8" w:themeFill="accent5" w:themeFillTint="66"/>
          </w:tcPr>
          <w:p w:rsidR="00990CDF" w:rsidRPr="007E297E" w:rsidRDefault="00990CDF" w:rsidP="006F25E7">
            <w:pPr>
              <w:spacing w:line="276" w:lineRule="auto"/>
              <w:jc w:val="both"/>
              <w:rPr>
                <w:rFonts w:asciiTheme="minorHAnsi" w:hAnsiTheme="minorHAnsi"/>
                <w:b/>
                <w:bCs/>
                <w:sz w:val="18"/>
                <w:lang w:val="sq-AL"/>
              </w:rPr>
            </w:pPr>
          </w:p>
          <w:p w:rsidR="00990CDF" w:rsidRPr="007E297E" w:rsidRDefault="00990CDF" w:rsidP="006F25E7">
            <w:pPr>
              <w:spacing w:line="276" w:lineRule="auto"/>
              <w:jc w:val="both"/>
              <w:rPr>
                <w:rFonts w:asciiTheme="minorHAnsi" w:hAnsiTheme="minorHAnsi"/>
                <w:b/>
                <w:bCs/>
                <w:sz w:val="18"/>
                <w:lang w:val="sq-AL"/>
              </w:rPr>
            </w:pPr>
            <w:r w:rsidRPr="007E297E">
              <w:rPr>
                <w:rFonts w:asciiTheme="minorHAnsi" w:hAnsiTheme="minorHAnsi"/>
                <w:b/>
                <w:bCs/>
                <w:sz w:val="18"/>
                <w:lang w:val="sq-AL"/>
              </w:rPr>
              <w:t>NR</w:t>
            </w:r>
          </w:p>
        </w:tc>
        <w:tc>
          <w:tcPr>
            <w:tcW w:w="0" w:type="auto"/>
            <w:vMerge w:val="restart"/>
            <w:shd w:val="clear" w:color="auto" w:fill="B6DDE8" w:themeFill="accent5" w:themeFillTint="66"/>
          </w:tcPr>
          <w:p w:rsidR="00990CDF" w:rsidRPr="007E297E" w:rsidRDefault="00990CDF" w:rsidP="006F25E7">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p>
          <w:p w:rsidR="00990CDF" w:rsidRPr="007E297E"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7E297E">
              <w:rPr>
                <w:rFonts w:asciiTheme="minorHAnsi" w:hAnsiTheme="minorHAnsi"/>
                <w:b/>
                <w:bCs/>
                <w:sz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hemeFill="accent5" w:themeFillTint="66"/>
          </w:tcPr>
          <w:p w:rsidR="00990CDF" w:rsidRPr="007E297E" w:rsidRDefault="00990CDF" w:rsidP="006F25E7">
            <w:pPr>
              <w:spacing w:line="276" w:lineRule="auto"/>
              <w:jc w:val="center"/>
              <w:rPr>
                <w:rFonts w:asciiTheme="minorHAnsi" w:hAnsiTheme="minorHAnsi"/>
                <w:b/>
                <w:bCs/>
                <w:sz w:val="18"/>
                <w:lang w:val="sq-AL"/>
              </w:rPr>
            </w:pPr>
            <w:r w:rsidRPr="007E297E">
              <w:rPr>
                <w:rFonts w:asciiTheme="minorHAnsi" w:hAnsiTheme="minorHAnsi"/>
                <w:b/>
                <w:bCs/>
                <w:sz w:val="18"/>
                <w:lang w:val="sq-AL"/>
              </w:rPr>
              <w:t>Plani 2021</w:t>
            </w:r>
          </w:p>
        </w:tc>
        <w:tc>
          <w:tcPr>
            <w:tcW w:w="0" w:type="auto"/>
            <w:gridSpan w:val="2"/>
            <w:shd w:val="clear" w:color="auto" w:fill="B6DDE8" w:themeFill="accent5" w:themeFillTint="66"/>
          </w:tcPr>
          <w:p w:rsidR="00990CDF" w:rsidRPr="007E297E"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7E297E">
              <w:rPr>
                <w:rFonts w:asciiTheme="minorHAnsi" w:hAnsiTheme="minorHAnsi"/>
                <w:b/>
                <w:bCs/>
                <w:sz w:val="18"/>
                <w:lang w:val="sq-AL"/>
              </w:rPr>
              <w:t>Fakti 4 M 2021</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hemeFill="accent5" w:themeFillTint="66"/>
          </w:tcPr>
          <w:p w:rsidR="00990CDF" w:rsidRPr="007E297E" w:rsidRDefault="00990CDF" w:rsidP="006F25E7">
            <w:pPr>
              <w:spacing w:line="276" w:lineRule="auto"/>
              <w:jc w:val="center"/>
              <w:rPr>
                <w:rFonts w:asciiTheme="minorHAnsi" w:hAnsiTheme="minorHAnsi"/>
                <w:b/>
                <w:bCs/>
                <w:sz w:val="18"/>
                <w:lang w:val="sq-AL"/>
              </w:rPr>
            </w:pPr>
            <w:r w:rsidRPr="007E297E">
              <w:rPr>
                <w:rFonts w:asciiTheme="minorHAnsi" w:hAnsiTheme="minorHAnsi"/>
                <w:b/>
                <w:bCs/>
                <w:sz w:val="18"/>
                <w:lang w:val="sq-AL"/>
              </w:rPr>
              <w:t>Përqindja  e realizimit</w:t>
            </w:r>
          </w:p>
        </w:tc>
      </w:tr>
      <w:tr w:rsidR="00990CDF" w:rsidRPr="007E297E" w:rsidTr="00E7447D">
        <w:trPr>
          <w:trHeight w:val="153"/>
          <w:jc w:val="center"/>
        </w:trPr>
        <w:tc>
          <w:tcPr>
            <w:cnfStyle w:val="000010000000" w:firstRow="0" w:lastRow="0" w:firstColumn="0" w:lastColumn="0" w:oddVBand="1" w:evenVBand="0" w:oddHBand="0" w:evenHBand="0" w:firstRowFirstColumn="0" w:firstRowLastColumn="0" w:lastRowFirstColumn="0" w:lastRowLastColumn="0"/>
            <w:tcW w:w="0" w:type="auto"/>
            <w:vMerge/>
            <w:shd w:val="clear" w:color="auto" w:fill="B6DDE8" w:themeFill="accent5" w:themeFillTint="66"/>
          </w:tcPr>
          <w:p w:rsidR="00990CDF" w:rsidRPr="007E297E" w:rsidRDefault="00990CDF" w:rsidP="006F25E7">
            <w:pPr>
              <w:spacing w:line="276" w:lineRule="auto"/>
              <w:jc w:val="both"/>
              <w:rPr>
                <w:rFonts w:asciiTheme="minorHAnsi" w:hAnsiTheme="minorHAnsi"/>
                <w:color w:val="FF0000"/>
                <w:sz w:val="18"/>
                <w:lang w:val="sq-AL"/>
              </w:rPr>
            </w:pPr>
          </w:p>
        </w:tc>
        <w:tc>
          <w:tcPr>
            <w:tcW w:w="0" w:type="auto"/>
            <w:vMerge/>
            <w:shd w:val="clear" w:color="auto" w:fill="B6DDE8" w:themeFill="accent5" w:themeFillTint="66"/>
          </w:tcPr>
          <w:p w:rsidR="00990CDF" w:rsidRPr="007E297E"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olor w:val="FF0000"/>
                <w:sz w:val="18"/>
                <w:lang w:val="sq-A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hemeFill="accent5" w:themeFillTint="66"/>
          </w:tcPr>
          <w:p w:rsidR="00990CDF" w:rsidRPr="007E297E" w:rsidRDefault="00990CDF" w:rsidP="006F25E7">
            <w:pPr>
              <w:spacing w:line="276" w:lineRule="auto"/>
              <w:jc w:val="center"/>
              <w:rPr>
                <w:rFonts w:asciiTheme="minorHAnsi" w:hAnsiTheme="minorHAnsi"/>
                <w:b/>
                <w:bCs/>
                <w:sz w:val="18"/>
                <w:lang w:val="sq-AL"/>
              </w:rPr>
            </w:pPr>
            <w:r w:rsidRPr="007E297E">
              <w:rPr>
                <w:rFonts w:asciiTheme="minorHAnsi" w:hAnsiTheme="minorHAnsi"/>
                <w:b/>
                <w:bCs/>
                <w:sz w:val="18"/>
                <w:lang w:val="sq-AL"/>
              </w:rPr>
              <w:t>Korrente</w:t>
            </w:r>
          </w:p>
        </w:tc>
        <w:tc>
          <w:tcPr>
            <w:tcW w:w="0" w:type="auto"/>
            <w:shd w:val="clear" w:color="auto" w:fill="B6DDE8" w:themeFill="accent5" w:themeFillTint="66"/>
          </w:tcPr>
          <w:p w:rsidR="00990CDF" w:rsidRPr="007E297E"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7E297E">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hemeFill="accent5" w:themeFillTint="66"/>
          </w:tcPr>
          <w:p w:rsidR="00990CDF" w:rsidRPr="007E297E" w:rsidRDefault="00990CDF" w:rsidP="006F25E7">
            <w:pPr>
              <w:spacing w:line="276" w:lineRule="auto"/>
              <w:jc w:val="center"/>
              <w:rPr>
                <w:rFonts w:asciiTheme="minorHAnsi" w:hAnsiTheme="minorHAnsi"/>
                <w:b/>
                <w:bCs/>
                <w:sz w:val="18"/>
                <w:lang w:val="sq-AL"/>
              </w:rPr>
            </w:pPr>
            <w:r w:rsidRPr="007E297E">
              <w:rPr>
                <w:rFonts w:asciiTheme="minorHAnsi" w:hAnsiTheme="minorHAnsi"/>
                <w:b/>
                <w:bCs/>
                <w:sz w:val="18"/>
                <w:lang w:val="sq-AL"/>
              </w:rPr>
              <w:t>Korrente</w:t>
            </w:r>
          </w:p>
        </w:tc>
        <w:tc>
          <w:tcPr>
            <w:tcW w:w="0" w:type="auto"/>
            <w:shd w:val="clear" w:color="auto" w:fill="B6DDE8" w:themeFill="accent5" w:themeFillTint="66"/>
          </w:tcPr>
          <w:p w:rsidR="00990CDF" w:rsidRPr="007E297E"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7E297E">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hemeFill="accent5" w:themeFillTint="66"/>
          </w:tcPr>
          <w:p w:rsidR="00990CDF" w:rsidRPr="007E297E" w:rsidRDefault="00990CDF" w:rsidP="006F25E7">
            <w:pPr>
              <w:spacing w:line="276" w:lineRule="auto"/>
              <w:jc w:val="center"/>
              <w:rPr>
                <w:rFonts w:asciiTheme="minorHAnsi" w:hAnsiTheme="minorHAnsi"/>
                <w:b/>
                <w:bCs/>
                <w:sz w:val="18"/>
                <w:lang w:val="sq-AL"/>
              </w:rPr>
            </w:pPr>
            <w:r w:rsidRPr="007E297E">
              <w:rPr>
                <w:rFonts w:asciiTheme="minorHAnsi" w:hAnsiTheme="minorHAnsi"/>
                <w:b/>
                <w:bCs/>
                <w:sz w:val="18"/>
                <w:lang w:val="sq-AL"/>
              </w:rPr>
              <w:t>Korrente</w:t>
            </w:r>
          </w:p>
        </w:tc>
        <w:tc>
          <w:tcPr>
            <w:tcW w:w="0" w:type="auto"/>
            <w:shd w:val="clear" w:color="auto" w:fill="B6DDE8" w:themeFill="accent5" w:themeFillTint="66"/>
          </w:tcPr>
          <w:p w:rsidR="00990CDF" w:rsidRPr="007E297E" w:rsidRDefault="00990CDF" w:rsidP="006F25E7">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7E297E">
              <w:rPr>
                <w:rFonts w:asciiTheme="minorHAnsi" w:hAnsiTheme="minorHAnsi"/>
                <w:b/>
                <w:bCs/>
                <w:sz w:val="18"/>
                <w:lang w:val="sq-AL"/>
              </w:rPr>
              <w:t>Investime</w:t>
            </w:r>
          </w:p>
        </w:tc>
      </w:tr>
      <w:tr w:rsidR="00990CDF" w:rsidRPr="007E297E" w:rsidTr="00E7447D">
        <w:trPr>
          <w:cnfStyle w:val="000000100000" w:firstRow="0" w:lastRow="0" w:firstColumn="0" w:lastColumn="0" w:oddVBand="0" w:evenVBand="0" w:oddHBand="1" w:evenHBand="0" w:firstRowFirstColumn="0" w:firstRowLastColumn="0" w:lastRowFirstColumn="0" w:lastRowLastColumn="0"/>
          <w:trHeight w:val="409"/>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both"/>
              <w:rPr>
                <w:rFonts w:asciiTheme="minorHAnsi" w:hAnsiTheme="minorHAnsi"/>
                <w:color w:val="FF0000"/>
                <w:sz w:val="18"/>
                <w:lang w:val="sq-AL"/>
              </w:rPr>
            </w:pPr>
            <w:r w:rsidRPr="007E297E">
              <w:rPr>
                <w:rFonts w:asciiTheme="minorHAnsi" w:hAnsiTheme="minorHAnsi"/>
                <w:sz w:val="18"/>
                <w:lang w:val="sq-AL"/>
              </w:rPr>
              <w:t>1.</w:t>
            </w:r>
          </w:p>
        </w:tc>
        <w:tc>
          <w:tcPr>
            <w:tcW w:w="0" w:type="auto"/>
          </w:tcPr>
          <w:p w:rsidR="00990CDF" w:rsidRPr="007E297E" w:rsidRDefault="00990CDF" w:rsidP="006F25E7">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152,800</w:t>
            </w:r>
          </w:p>
        </w:tc>
        <w:tc>
          <w:tcPr>
            <w:tcW w:w="0" w:type="auto"/>
          </w:tcPr>
          <w:p w:rsidR="00990CDF" w:rsidRPr="007E297E"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7,000</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35,643</w:t>
            </w:r>
          </w:p>
        </w:tc>
        <w:tc>
          <w:tcPr>
            <w:tcW w:w="0" w:type="auto"/>
          </w:tcPr>
          <w:p w:rsidR="00990CDF" w:rsidRPr="007E297E"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118</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23.3</w:t>
            </w:r>
          </w:p>
        </w:tc>
        <w:tc>
          <w:tcPr>
            <w:tcW w:w="0" w:type="auto"/>
          </w:tcPr>
          <w:p w:rsidR="00990CDF" w:rsidRPr="007E297E"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1.7</w:t>
            </w:r>
          </w:p>
        </w:tc>
      </w:tr>
      <w:tr w:rsidR="00990CDF" w:rsidRPr="007E297E" w:rsidTr="00E7447D">
        <w:trPr>
          <w:trHeight w:val="289"/>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both"/>
              <w:rPr>
                <w:rFonts w:asciiTheme="minorHAnsi" w:hAnsiTheme="minorHAnsi"/>
                <w:color w:val="FF0000"/>
                <w:sz w:val="18"/>
                <w:lang w:val="sq-AL"/>
              </w:rPr>
            </w:pPr>
            <w:r w:rsidRPr="007E297E">
              <w:rPr>
                <w:rFonts w:asciiTheme="minorHAnsi" w:hAnsiTheme="minorHAnsi"/>
                <w:sz w:val="18"/>
                <w:lang w:val="sq-AL"/>
              </w:rPr>
              <w:t>2.</w:t>
            </w:r>
          </w:p>
        </w:tc>
        <w:tc>
          <w:tcPr>
            <w:tcW w:w="0" w:type="auto"/>
          </w:tcPr>
          <w:p w:rsidR="00990CDF" w:rsidRPr="007E297E"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Mbështetje diplomatike jashtë shtetit</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2,247,276</w:t>
            </w:r>
          </w:p>
        </w:tc>
        <w:tc>
          <w:tcPr>
            <w:tcW w:w="0" w:type="auto"/>
          </w:tcPr>
          <w:p w:rsidR="00990CDF" w:rsidRPr="007E297E"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15,000</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445,671</w:t>
            </w:r>
          </w:p>
        </w:tc>
        <w:tc>
          <w:tcPr>
            <w:tcW w:w="0" w:type="auto"/>
          </w:tcPr>
          <w:p w:rsidR="00990CDF" w:rsidRPr="007E297E"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15,000</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19.8</w:t>
            </w:r>
          </w:p>
        </w:tc>
        <w:tc>
          <w:tcPr>
            <w:tcW w:w="0" w:type="auto"/>
          </w:tcPr>
          <w:p w:rsidR="00990CDF" w:rsidRPr="007E297E"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100.0</w:t>
            </w:r>
          </w:p>
        </w:tc>
      </w:tr>
      <w:tr w:rsidR="00990CDF" w:rsidRPr="007E297E" w:rsidTr="00E7447D">
        <w:trPr>
          <w:cnfStyle w:val="000000100000" w:firstRow="0" w:lastRow="0" w:firstColumn="0" w:lastColumn="0" w:oddVBand="0" w:evenVBand="0" w:oddHBand="1" w:evenHBand="0" w:firstRowFirstColumn="0" w:firstRowLastColumn="0" w:lastRowFirstColumn="0" w:lastRowLastColumn="0"/>
          <w:trHeight w:val="289"/>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both"/>
              <w:rPr>
                <w:rFonts w:asciiTheme="minorHAnsi" w:hAnsiTheme="minorHAnsi"/>
                <w:color w:val="FF0000"/>
                <w:sz w:val="18"/>
                <w:lang w:val="sq-AL"/>
              </w:rPr>
            </w:pPr>
            <w:r w:rsidRPr="007E297E">
              <w:rPr>
                <w:rFonts w:asciiTheme="minorHAnsi" w:hAnsiTheme="minorHAnsi"/>
                <w:sz w:val="18"/>
                <w:lang w:val="sq-AL"/>
              </w:rPr>
              <w:t>3.</w:t>
            </w:r>
          </w:p>
        </w:tc>
        <w:tc>
          <w:tcPr>
            <w:tcW w:w="0" w:type="auto"/>
          </w:tcPr>
          <w:p w:rsidR="00990CDF" w:rsidRPr="007E297E" w:rsidRDefault="00990CDF" w:rsidP="006F25E7">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Aktiviteti diplomatik dhe konsullor i MPJ</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196,000</w:t>
            </w:r>
          </w:p>
        </w:tc>
        <w:tc>
          <w:tcPr>
            <w:tcW w:w="0" w:type="auto"/>
          </w:tcPr>
          <w:p w:rsidR="00990CDF" w:rsidRPr="007E297E"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47,529</w:t>
            </w:r>
          </w:p>
        </w:tc>
        <w:tc>
          <w:tcPr>
            <w:tcW w:w="0" w:type="auto"/>
          </w:tcPr>
          <w:p w:rsidR="00990CDF" w:rsidRPr="007E297E"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24.2</w:t>
            </w:r>
          </w:p>
        </w:tc>
        <w:tc>
          <w:tcPr>
            <w:tcW w:w="0" w:type="auto"/>
          </w:tcPr>
          <w:p w:rsidR="00990CDF" w:rsidRPr="007E297E"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w:t>
            </w:r>
          </w:p>
        </w:tc>
      </w:tr>
      <w:tr w:rsidR="00990CDF" w:rsidRPr="007E297E" w:rsidTr="00E7447D">
        <w:trPr>
          <w:trHeight w:val="289"/>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both"/>
              <w:rPr>
                <w:rFonts w:asciiTheme="minorHAnsi" w:hAnsiTheme="minorHAnsi"/>
                <w:color w:val="FF0000"/>
                <w:sz w:val="18"/>
                <w:lang w:val="sq-AL"/>
              </w:rPr>
            </w:pPr>
            <w:r w:rsidRPr="007E297E">
              <w:rPr>
                <w:rFonts w:asciiTheme="minorHAnsi" w:hAnsiTheme="minorHAnsi"/>
                <w:sz w:val="18"/>
                <w:lang w:val="sq-AL"/>
              </w:rPr>
              <w:t>4.</w:t>
            </w:r>
          </w:p>
        </w:tc>
        <w:tc>
          <w:tcPr>
            <w:tcW w:w="0" w:type="auto"/>
          </w:tcPr>
          <w:p w:rsidR="00990CDF" w:rsidRPr="007E297E" w:rsidRDefault="00990CDF" w:rsidP="006F25E7">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Mbështetje institucionale për procesin e Integrimit</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100,300</w:t>
            </w:r>
          </w:p>
        </w:tc>
        <w:tc>
          <w:tcPr>
            <w:tcW w:w="0" w:type="auto"/>
          </w:tcPr>
          <w:p w:rsidR="00990CDF" w:rsidRPr="007E297E"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101,780</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23,908</w:t>
            </w:r>
          </w:p>
        </w:tc>
        <w:tc>
          <w:tcPr>
            <w:tcW w:w="0" w:type="auto"/>
          </w:tcPr>
          <w:p w:rsidR="00990CDF" w:rsidRPr="007E297E"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80,548</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sz w:val="18"/>
                <w:lang w:val="sq-AL"/>
              </w:rPr>
            </w:pPr>
            <w:r w:rsidRPr="007E297E">
              <w:rPr>
                <w:rFonts w:asciiTheme="minorHAnsi" w:hAnsiTheme="minorHAnsi"/>
                <w:sz w:val="18"/>
                <w:lang w:val="sq-AL"/>
              </w:rPr>
              <w:t>23.8</w:t>
            </w:r>
          </w:p>
        </w:tc>
        <w:tc>
          <w:tcPr>
            <w:tcW w:w="0" w:type="auto"/>
          </w:tcPr>
          <w:p w:rsidR="00990CDF" w:rsidRPr="007E297E" w:rsidRDefault="00990CDF" w:rsidP="006F25E7">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7E297E">
              <w:rPr>
                <w:rFonts w:asciiTheme="minorHAnsi" w:hAnsiTheme="minorHAnsi"/>
                <w:sz w:val="18"/>
                <w:lang w:val="sq-AL"/>
              </w:rPr>
              <w:t>79.1</w:t>
            </w:r>
          </w:p>
        </w:tc>
      </w:tr>
      <w:tr w:rsidR="00990CDF" w:rsidRPr="007E297E" w:rsidTr="00E7447D">
        <w:trPr>
          <w:cnfStyle w:val="000000100000" w:firstRow="0" w:lastRow="0" w:firstColumn="0" w:lastColumn="0" w:oddVBand="0" w:evenVBand="0" w:oddHBand="1" w:evenHBand="0" w:firstRowFirstColumn="0" w:firstRowLastColumn="0" w:lastRowFirstColumn="0" w:lastRowLastColumn="0"/>
          <w:trHeight w:val="289"/>
          <w:jc w:val="center"/>
        </w:trPr>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both"/>
              <w:rPr>
                <w:rFonts w:asciiTheme="minorHAnsi" w:hAnsiTheme="minorHAnsi"/>
                <w:b/>
                <w:color w:val="FF0000"/>
                <w:sz w:val="18"/>
                <w:lang w:val="sq-AL"/>
              </w:rPr>
            </w:pPr>
          </w:p>
        </w:tc>
        <w:tc>
          <w:tcPr>
            <w:tcW w:w="0" w:type="auto"/>
          </w:tcPr>
          <w:p w:rsidR="00990CDF" w:rsidRPr="007E297E" w:rsidRDefault="00990CDF" w:rsidP="006F25E7">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7E297E">
              <w:rPr>
                <w:rFonts w:asciiTheme="minorHAnsi" w:hAnsiTheme="minorHAnsi"/>
                <w:b/>
                <w:sz w:val="18"/>
                <w:lang w:val="sq-AL"/>
              </w:rPr>
              <w:t>TOTAL</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b/>
                <w:sz w:val="18"/>
                <w:lang w:val="sq-AL"/>
              </w:rPr>
            </w:pPr>
            <w:r w:rsidRPr="007E297E">
              <w:rPr>
                <w:rFonts w:asciiTheme="minorHAnsi" w:hAnsiTheme="minorHAnsi"/>
                <w:b/>
                <w:sz w:val="18"/>
                <w:lang w:val="sq-AL"/>
              </w:rPr>
              <w:t>2,696,376</w:t>
            </w:r>
          </w:p>
        </w:tc>
        <w:tc>
          <w:tcPr>
            <w:tcW w:w="0" w:type="auto"/>
          </w:tcPr>
          <w:p w:rsidR="00990CDF" w:rsidRPr="007E297E"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7E297E">
              <w:rPr>
                <w:rFonts w:asciiTheme="minorHAnsi" w:hAnsiTheme="minorHAnsi"/>
                <w:b/>
                <w:sz w:val="18"/>
                <w:lang w:val="sq-AL"/>
              </w:rPr>
              <w:t>123,780</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b/>
                <w:sz w:val="18"/>
                <w:lang w:val="sq-AL"/>
              </w:rPr>
            </w:pPr>
            <w:r w:rsidRPr="007E297E">
              <w:rPr>
                <w:rFonts w:asciiTheme="minorHAnsi" w:hAnsiTheme="minorHAnsi"/>
                <w:b/>
                <w:sz w:val="18"/>
                <w:lang w:val="sq-AL"/>
              </w:rPr>
              <w:t>552,751</w:t>
            </w:r>
          </w:p>
        </w:tc>
        <w:tc>
          <w:tcPr>
            <w:tcW w:w="0" w:type="auto"/>
          </w:tcPr>
          <w:p w:rsidR="00990CDF" w:rsidRPr="007E297E"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7E297E">
              <w:rPr>
                <w:rFonts w:asciiTheme="minorHAnsi" w:hAnsiTheme="minorHAnsi"/>
                <w:b/>
                <w:sz w:val="18"/>
                <w:lang w:val="sq-AL"/>
              </w:rPr>
              <w:t>95,666</w:t>
            </w:r>
          </w:p>
        </w:tc>
        <w:tc>
          <w:tcPr>
            <w:cnfStyle w:val="000010000000" w:firstRow="0" w:lastRow="0" w:firstColumn="0" w:lastColumn="0" w:oddVBand="1" w:evenVBand="0" w:oddHBand="0" w:evenHBand="0" w:firstRowFirstColumn="0" w:firstRowLastColumn="0" w:lastRowFirstColumn="0" w:lastRowLastColumn="0"/>
            <w:tcW w:w="0" w:type="auto"/>
          </w:tcPr>
          <w:p w:rsidR="00990CDF" w:rsidRPr="007E297E" w:rsidRDefault="00990CDF" w:rsidP="006F25E7">
            <w:pPr>
              <w:spacing w:line="276" w:lineRule="auto"/>
              <w:jc w:val="right"/>
              <w:rPr>
                <w:rFonts w:asciiTheme="minorHAnsi" w:hAnsiTheme="minorHAnsi"/>
                <w:b/>
                <w:sz w:val="18"/>
                <w:lang w:val="sq-AL"/>
              </w:rPr>
            </w:pPr>
            <w:r w:rsidRPr="007E297E">
              <w:rPr>
                <w:rFonts w:asciiTheme="minorHAnsi" w:hAnsiTheme="minorHAnsi"/>
                <w:b/>
                <w:sz w:val="18"/>
                <w:lang w:val="sq-AL"/>
              </w:rPr>
              <w:t>20.5</w:t>
            </w:r>
          </w:p>
        </w:tc>
        <w:tc>
          <w:tcPr>
            <w:tcW w:w="0" w:type="auto"/>
          </w:tcPr>
          <w:p w:rsidR="00990CDF" w:rsidRPr="007E297E" w:rsidRDefault="00990CDF" w:rsidP="006F25E7">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7E297E">
              <w:rPr>
                <w:rFonts w:asciiTheme="minorHAnsi" w:hAnsiTheme="minorHAnsi"/>
                <w:b/>
                <w:sz w:val="18"/>
                <w:lang w:val="sq-AL"/>
              </w:rPr>
              <w:t>77.3</w:t>
            </w:r>
          </w:p>
        </w:tc>
      </w:tr>
    </w:tbl>
    <w:p w:rsidR="00990CDF" w:rsidRPr="00BF005F" w:rsidRDefault="00990CDF" w:rsidP="006F25E7">
      <w:pPr>
        <w:spacing w:line="276" w:lineRule="auto"/>
        <w:jc w:val="both"/>
        <w:rPr>
          <w:rFonts w:asciiTheme="minorHAnsi" w:hAnsiTheme="minorHAnsi"/>
          <w:noProof/>
          <w:lang w:val="sq-AL"/>
        </w:rPr>
      </w:pPr>
    </w:p>
    <w:p w:rsidR="00990CDF" w:rsidRPr="00BF005F" w:rsidRDefault="00990CDF" w:rsidP="006F25E7">
      <w:pPr>
        <w:spacing w:line="276" w:lineRule="auto"/>
        <w:jc w:val="both"/>
        <w:rPr>
          <w:rFonts w:asciiTheme="minorHAnsi" w:hAnsiTheme="minorHAnsi"/>
          <w:noProof/>
          <w:lang w:val="sq-AL"/>
        </w:rPr>
      </w:pPr>
      <w:r w:rsidRPr="00BF005F">
        <w:rPr>
          <w:rFonts w:asciiTheme="minorHAnsi" w:hAnsiTheme="minorHAnsi"/>
          <w:noProof/>
          <w:lang w:val="sq-AL"/>
        </w:rPr>
        <w:t>Programi “</w:t>
      </w:r>
      <w:r w:rsidRPr="00BF005F">
        <w:rPr>
          <w:rFonts w:asciiTheme="minorHAnsi" w:hAnsiTheme="minorHAnsi"/>
          <w:b/>
          <w:noProof/>
          <w:lang w:val="sq-AL"/>
        </w:rPr>
        <w:t>Mbështetje diplomatike jashtë vendit</w:t>
      </w:r>
      <w:r w:rsidRPr="00BF005F">
        <w:rPr>
          <w:rFonts w:asciiTheme="minorHAnsi" w:hAnsiTheme="minorHAnsi"/>
          <w:noProof/>
          <w:lang w:val="sq-AL"/>
        </w:rPr>
        <w:t xml:space="preserve">”, synon: </w:t>
      </w:r>
    </w:p>
    <w:p w:rsidR="00990CDF" w:rsidRPr="00BF005F" w:rsidRDefault="00990CDF" w:rsidP="007F0B61">
      <w:pPr>
        <w:pStyle w:val="ListParagraph"/>
        <w:numPr>
          <w:ilvl w:val="0"/>
          <w:numId w:val="41"/>
        </w:numPr>
        <w:spacing w:after="120" w:line="276" w:lineRule="auto"/>
        <w:jc w:val="both"/>
        <w:rPr>
          <w:rFonts w:asciiTheme="minorHAnsi" w:hAnsiTheme="minorHAnsi"/>
          <w:lang w:val="sq-AL"/>
        </w:rPr>
      </w:pPr>
      <w:r w:rsidRPr="00BF005F">
        <w:rPr>
          <w:rFonts w:asciiTheme="minorHAnsi" w:hAnsiTheme="minorHAnsi"/>
          <w:lang w:val="sq-AL"/>
        </w:rPr>
        <w:t xml:space="preserve">Nxitjen dhe zhvillimin e marrëdhënieve të bashkëpunimit të gjithanshëm; </w:t>
      </w:r>
    </w:p>
    <w:p w:rsidR="00990CDF" w:rsidRPr="00BF005F" w:rsidRDefault="00990CDF" w:rsidP="007F0B61">
      <w:pPr>
        <w:pStyle w:val="ListParagraph"/>
        <w:numPr>
          <w:ilvl w:val="0"/>
          <w:numId w:val="41"/>
        </w:numPr>
        <w:spacing w:line="276" w:lineRule="auto"/>
        <w:jc w:val="both"/>
        <w:rPr>
          <w:rFonts w:asciiTheme="minorHAnsi" w:hAnsiTheme="minorHAnsi"/>
          <w:lang w:val="sq-AL"/>
        </w:rPr>
      </w:pPr>
      <w:r w:rsidRPr="00BF005F">
        <w:rPr>
          <w:rFonts w:asciiTheme="minorHAnsi" w:hAnsiTheme="minorHAnsi"/>
          <w:lang w:val="sq-AL"/>
        </w:rPr>
        <w:t xml:space="preserve">Mbrojtjen dhe avancimin e interesave kombëtare e shtetërore dhe përkujdesin për interesat e qytetarëve shqiptarë në shtetet dhe organizatat ndërkombëtare ku ato janë akredituar. </w:t>
      </w:r>
    </w:p>
    <w:p w:rsidR="00990CDF" w:rsidRPr="00BF005F" w:rsidRDefault="00990CDF" w:rsidP="006F25E7">
      <w:pPr>
        <w:spacing w:line="276" w:lineRule="auto"/>
        <w:jc w:val="both"/>
        <w:rPr>
          <w:rFonts w:asciiTheme="minorHAnsi" w:hAnsiTheme="minorHAnsi"/>
          <w:lang w:val="sq-AL"/>
        </w:rPr>
      </w:pPr>
      <w:r w:rsidRPr="00BF005F">
        <w:rPr>
          <w:rFonts w:asciiTheme="minorHAnsi" w:hAnsiTheme="minorHAnsi"/>
          <w:lang w:val="sq-AL"/>
        </w:rPr>
        <w:lastRenderedPageBreak/>
        <w:t xml:space="preserve">Në këtë program janë realizuar disa produkte me kosto faktike 460,6 milionë lekë. Në këtë program ndër produktet kryesore përmendim: </w:t>
      </w:r>
    </w:p>
    <w:p w:rsidR="00990CDF" w:rsidRPr="00BF005F" w:rsidRDefault="00990CDF" w:rsidP="007F0B61">
      <w:pPr>
        <w:numPr>
          <w:ilvl w:val="0"/>
          <w:numId w:val="42"/>
        </w:numPr>
        <w:spacing w:line="276" w:lineRule="auto"/>
        <w:jc w:val="both"/>
        <w:rPr>
          <w:rFonts w:asciiTheme="minorHAnsi" w:hAnsiTheme="minorHAnsi"/>
          <w:lang w:val="sq-AL"/>
        </w:rPr>
      </w:pPr>
      <w:r w:rsidRPr="00BF005F">
        <w:rPr>
          <w:rFonts w:asciiTheme="minorHAnsi" w:hAnsiTheme="minorHAnsi"/>
          <w:lang w:val="sq-AL"/>
        </w:rPr>
        <w:t>“Mbështetja e përfaqësive diplomatike dhe konsullore me personel dhe kushte të përshtatshme pune dhe jetese”, për 78 nga 364 punonjës të planifikuar.</w:t>
      </w:r>
    </w:p>
    <w:p w:rsidR="00990CDF" w:rsidRPr="00BF005F" w:rsidRDefault="00990CDF" w:rsidP="007F0B61">
      <w:pPr>
        <w:numPr>
          <w:ilvl w:val="0"/>
          <w:numId w:val="42"/>
        </w:numPr>
        <w:spacing w:line="276" w:lineRule="auto"/>
        <w:jc w:val="both"/>
        <w:rPr>
          <w:rFonts w:asciiTheme="minorHAnsi" w:hAnsiTheme="minorHAnsi"/>
          <w:lang w:val="sq-AL"/>
        </w:rPr>
      </w:pPr>
      <w:r w:rsidRPr="00BF005F">
        <w:rPr>
          <w:rFonts w:asciiTheme="minorHAnsi" w:hAnsiTheme="minorHAnsi"/>
          <w:lang w:val="sq-AL"/>
        </w:rPr>
        <w:t>“Kuota ndërkombëtare” është kryer pagesa për 22 kuota nga 53 të planifikuara, ku veni ynë është palë si detyrimet ndaj Organizatës së Kombeve të Bashkuara; Misioneve Paqeruajtëse; Frankofonisë; ANEA-s; UNIDO-s; UNESCO; Këshilli i Evropës, NATO-s; OSBE-së etj.</w:t>
      </w:r>
    </w:p>
    <w:p w:rsidR="00990CDF" w:rsidRPr="00BF005F" w:rsidRDefault="00990CDF" w:rsidP="007F0B61">
      <w:pPr>
        <w:numPr>
          <w:ilvl w:val="0"/>
          <w:numId w:val="42"/>
        </w:numPr>
        <w:spacing w:line="276" w:lineRule="auto"/>
        <w:jc w:val="both"/>
        <w:rPr>
          <w:rFonts w:asciiTheme="minorHAnsi" w:hAnsiTheme="minorHAnsi"/>
          <w:lang w:val="sq-AL"/>
        </w:rPr>
      </w:pPr>
      <w:r w:rsidRPr="00BF005F">
        <w:rPr>
          <w:rFonts w:asciiTheme="minorHAnsi" w:hAnsiTheme="minorHAnsi"/>
          <w:lang w:val="sq-AL"/>
        </w:rPr>
        <w:t>“Familjarë të diplomatëve të trajtuar sipas ligjit”, për 220 familjar personeli.</w:t>
      </w:r>
    </w:p>
    <w:p w:rsidR="007E297E" w:rsidRPr="00020968" w:rsidRDefault="007E297E" w:rsidP="006F25E7">
      <w:pPr>
        <w:spacing w:line="276" w:lineRule="auto"/>
        <w:jc w:val="both"/>
        <w:rPr>
          <w:rFonts w:asciiTheme="minorHAnsi" w:hAnsiTheme="minorHAnsi"/>
          <w:noProof/>
          <w:sz w:val="8"/>
          <w:szCs w:val="8"/>
          <w:lang w:val="sq-AL"/>
        </w:rPr>
      </w:pPr>
      <w:bookmarkStart w:id="154" w:name="_Toc515271231"/>
      <w:bookmarkEnd w:id="154"/>
    </w:p>
    <w:p w:rsidR="00990CDF" w:rsidRPr="00BF005F" w:rsidRDefault="00990CDF" w:rsidP="006F25E7">
      <w:pPr>
        <w:spacing w:line="276" w:lineRule="auto"/>
        <w:jc w:val="both"/>
        <w:rPr>
          <w:rFonts w:asciiTheme="minorHAnsi" w:hAnsiTheme="minorHAnsi"/>
          <w:noProof/>
          <w:lang w:val="sq-AL"/>
        </w:rPr>
      </w:pPr>
      <w:r w:rsidRPr="00BF005F">
        <w:rPr>
          <w:rFonts w:asciiTheme="minorHAnsi" w:hAnsiTheme="minorHAnsi"/>
          <w:noProof/>
          <w:lang w:val="sq-AL"/>
        </w:rPr>
        <w:t>Programi “</w:t>
      </w:r>
      <w:r w:rsidRPr="00BF005F">
        <w:rPr>
          <w:rFonts w:asciiTheme="minorHAnsi" w:hAnsiTheme="minorHAnsi"/>
          <w:b/>
          <w:noProof/>
          <w:lang w:val="sq-AL"/>
        </w:rPr>
        <w:t>Aktiviteti diplomatik dhe konsullor</w:t>
      </w:r>
      <w:r w:rsidRPr="00BF005F">
        <w:rPr>
          <w:rFonts w:asciiTheme="minorHAnsi" w:hAnsiTheme="minorHAnsi"/>
          <w:noProof/>
          <w:lang w:val="sq-AL"/>
        </w:rPr>
        <w:t xml:space="preserve">” ka për qëllim: </w:t>
      </w:r>
    </w:p>
    <w:p w:rsidR="00990CDF" w:rsidRPr="00BF005F" w:rsidRDefault="00990CDF" w:rsidP="006F25E7">
      <w:pPr>
        <w:spacing w:line="276" w:lineRule="auto"/>
        <w:jc w:val="both"/>
        <w:rPr>
          <w:rFonts w:asciiTheme="minorHAnsi" w:hAnsiTheme="minorHAnsi"/>
          <w:lang w:val="sq-AL"/>
        </w:rPr>
      </w:pPr>
      <w:r w:rsidRPr="00BF005F">
        <w:rPr>
          <w:rFonts w:asciiTheme="minorHAnsi" w:hAnsiTheme="minorHAnsi"/>
          <w:lang w:val="sq-AL"/>
        </w:rPr>
        <w:t>zgjerimi, intensifikimi, diversifikimi dhe pasurimi i marrëdhënieve dypalëshe me vendet fqinje, partnerët strategjik, vendet e Rajonit dhe Evropës dhe vende e tjera të botës, për të mbështetur mirëkuptimit dhe të respektit të ndërsjellët midis kombeve, respektimit të lirive dhe të drejtave themelore të njeriut, fqinjësisë së mirë, bashkëpunimit rajonal, dhe solidaritetit ndërkombëtar.</w:t>
      </w:r>
    </w:p>
    <w:p w:rsidR="00990CDF" w:rsidRPr="00BF005F" w:rsidRDefault="00990CDF" w:rsidP="007E297E">
      <w:pPr>
        <w:spacing w:before="240" w:line="276" w:lineRule="auto"/>
        <w:jc w:val="both"/>
        <w:rPr>
          <w:rFonts w:asciiTheme="minorHAnsi" w:hAnsiTheme="minorHAnsi"/>
          <w:lang w:val="sq-AL"/>
        </w:rPr>
      </w:pPr>
      <w:r w:rsidRPr="00BF005F">
        <w:rPr>
          <w:rFonts w:asciiTheme="minorHAnsi" w:hAnsiTheme="minorHAnsi"/>
          <w:lang w:val="sq-AL"/>
        </w:rPr>
        <w:t xml:space="preserve">Në këtë program janë realizuar disa produkte me kosto faktike 47.5 milionë lekë, ku përmendim: </w:t>
      </w:r>
    </w:p>
    <w:p w:rsidR="00990CDF" w:rsidRPr="00BF005F" w:rsidRDefault="00990CDF" w:rsidP="00020968">
      <w:pPr>
        <w:numPr>
          <w:ilvl w:val="0"/>
          <w:numId w:val="43"/>
        </w:numPr>
        <w:jc w:val="both"/>
        <w:rPr>
          <w:rFonts w:asciiTheme="minorHAnsi" w:hAnsiTheme="minorHAnsi"/>
          <w:lang w:val="sq-AL"/>
        </w:rPr>
      </w:pPr>
      <w:r w:rsidRPr="00BF005F">
        <w:rPr>
          <w:rFonts w:asciiTheme="minorHAnsi" w:hAnsiTheme="minorHAnsi"/>
          <w:lang w:val="sq-AL"/>
        </w:rPr>
        <w:t>Janë hartuar 7 nga 24 akte ligjore dhe nënligjore të planifikuara në kuadër të intensifikimit të punës, përpjekjeve dhe koordinimit ndërinstitucional në procesin e përmbushjes së detyrimeve për hapjen e negociatave të anëtarësimit në BE.</w:t>
      </w:r>
    </w:p>
    <w:p w:rsidR="00990CDF" w:rsidRPr="00BF005F" w:rsidRDefault="00990CDF" w:rsidP="00020968">
      <w:pPr>
        <w:numPr>
          <w:ilvl w:val="0"/>
          <w:numId w:val="43"/>
        </w:numPr>
        <w:spacing w:after="200"/>
        <w:contextualSpacing/>
        <w:jc w:val="both"/>
        <w:rPr>
          <w:rFonts w:asciiTheme="minorHAnsi" w:hAnsiTheme="minorHAnsi"/>
          <w:lang w:val="sq-AL"/>
        </w:rPr>
      </w:pPr>
      <w:r w:rsidRPr="00BF005F">
        <w:rPr>
          <w:rFonts w:asciiTheme="minorHAnsi" w:hAnsiTheme="minorHAnsi"/>
          <w:lang w:val="sq-AL"/>
        </w:rPr>
        <w:t>Janë kryer gjithashtu 16 vizita dhe takime lobimi  për hapjen e negociatave me qëllim zhvillimin e bisedimeve të anëtarësimit me BE-në dhe thellimi i mëtejshëm i marrëdhënieve me Bashkimin Evropian;</w:t>
      </w:r>
    </w:p>
    <w:p w:rsidR="00990CDF" w:rsidRPr="00BF005F" w:rsidRDefault="00990CDF" w:rsidP="00020968">
      <w:pPr>
        <w:numPr>
          <w:ilvl w:val="0"/>
          <w:numId w:val="43"/>
        </w:numPr>
        <w:spacing w:after="200"/>
        <w:contextualSpacing/>
        <w:jc w:val="both"/>
        <w:rPr>
          <w:rFonts w:asciiTheme="minorHAnsi" w:hAnsiTheme="minorHAnsi"/>
          <w:lang w:val="sq-AL"/>
        </w:rPr>
      </w:pPr>
      <w:r w:rsidRPr="00BF005F">
        <w:rPr>
          <w:rFonts w:asciiTheme="minorHAnsi" w:hAnsiTheme="minorHAnsi"/>
          <w:lang w:val="sq-AL"/>
        </w:rPr>
        <w:t>Janë zhvilluar gjithashtu 39 takime dypalëshe dhe shumëpalëshe në kuadër të zhvillimit dhe forcimit të marrëdhënieve me partnerë strategjik, vendet e rajonit si dhe si dhe rritjen e rolit të Shqipërisë në organizatat rajonale dhe ndërkombëtare përfshirë këtu edhe sigurimin vendit jo permanent në Këshillin e Sigurimit në OKB.</w:t>
      </w:r>
    </w:p>
    <w:p w:rsidR="008F0207" w:rsidRPr="00020968" w:rsidRDefault="008F0207" w:rsidP="008F0207">
      <w:pPr>
        <w:spacing w:before="240" w:after="200" w:line="276" w:lineRule="auto"/>
        <w:contextualSpacing/>
        <w:jc w:val="both"/>
        <w:rPr>
          <w:rFonts w:asciiTheme="minorHAnsi" w:hAnsiTheme="minorHAnsi"/>
          <w:sz w:val="8"/>
          <w:szCs w:val="8"/>
          <w:lang w:val="sq-AL"/>
        </w:rPr>
      </w:pPr>
    </w:p>
    <w:p w:rsidR="00990CDF" w:rsidRPr="00BF005F" w:rsidRDefault="00990CDF" w:rsidP="008F0207">
      <w:pPr>
        <w:spacing w:before="240" w:after="200" w:line="276" w:lineRule="auto"/>
        <w:contextualSpacing/>
        <w:jc w:val="both"/>
        <w:rPr>
          <w:rFonts w:asciiTheme="minorHAnsi" w:hAnsiTheme="minorHAnsi"/>
          <w:lang w:val="sq-AL"/>
        </w:rPr>
      </w:pPr>
      <w:r w:rsidRPr="00BF005F">
        <w:rPr>
          <w:rFonts w:asciiTheme="minorHAnsi" w:hAnsiTheme="minorHAnsi"/>
          <w:lang w:val="sq-AL"/>
        </w:rPr>
        <w:t>Programi “</w:t>
      </w:r>
      <w:r w:rsidRPr="00BF005F">
        <w:rPr>
          <w:rFonts w:asciiTheme="minorHAnsi" w:hAnsiTheme="minorHAnsi"/>
          <w:b/>
          <w:noProof/>
          <w:lang w:val="sq-AL"/>
        </w:rPr>
        <w:t xml:space="preserve">Mbështetje institucionale për procesin e Integrimit” </w:t>
      </w:r>
      <w:r w:rsidRPr="00BF005F">
        <w:rPr>
          <w:rFonts w:asciiTheme="minorHAnsi" w:hAnsiTheme="minorHAnsi"/>
          <w:lang w:val="sq-AL"/>
        </w:rPr>
        <w:t>synon mbështetjen e procesit të anëtarësimit të Shqipërisë në Bashkimin Evropian, nëpërmjet bashkërendimit, monitorimit dhe raportimit të zbatimit të Marrëveshjes së Stabilizim-Asociimit, përafrimit të legjislacionit vendas me atë të BE-së, menaxhimit të fondeve të BE-së, zhvillimit të negociatave të anëtarësimit të RSH në BE. Në përmbushje të synimit janë kryer disa aktivitete, me një kosto faktike  104.5 milionë lekë, ndër to përmendim:</w:t>
      </w:r>
    </w:p>
    <w:p w:rsidR="00990CDF" w:rsidRPr="008F0207" w:rsidRDefault="00990CDF" w:rsidP="00020968">
      <w:pPr>
        <w:numPr>
          <w:ilvl w:val="0"/>
          <w:numId w:val="44"/>
        </w:numPr>
        <w:jc w:val="both"/>
        <w:rPr>
          <w:rFonts w:asciiTheme="minorHAnsi" w:hAnsiTheme="minorHAnsi"/>
          <w:i/>
          <w:lang w:val="sq-AL"/>
        </w:rPr>
      </w:pPr>
      <w:r w:rsidRPr="008F0207">
        <w:rPr>
          <w:rFonts w:asciiTheme="minorHAnsi" w:hAnsiTheme="minorHAnsi"/>
          <w:i/>
          <w:lang w:val="sq-AL"/>
        </w:rPr>
        <w:t>2 takime të institucioneve të përbashkëta Shqipëri – Bashkimi Evropian ngritur në kuadër të Marrëveshjes së Stabilizim-Asociimit, zhvilluar në Janar dhe Mars 2021.</w:t>
      </w:r>
    </w:p>
    <w:p w:rsidR="00990CDF" w:rsidRPr="008F0207" w:rsidRDefault="00990CDF" w:rsidP="00020968">
      <w:pPr>
        <w:numPr>
          <w:ilvl w:val="0"/>
          <w:numId w:val="44"/>
        </w:numPr>
        <w:jc w:val="both"/>
        <w:rPr>
          <w:rFonts w:asciiTheme="minorHAnsi" w:hAnsiTheme="minorHAnsi"/>
          <w:i/>
          <w:lang w:val="sq-AL"/>
        </w:rPr>
      </w:pPr>
      <w:r w:rsidRPr="008F0207">
        <w:rPr>
          <w:rFonts w:asciiTheme="minorHAnsi" w:hAnsiTheme="minorHAnsi"/>
          <w:bCs/>
          <w:i/>
          <w:iCs/>
          <w:color w:val="00000A"/>
          <w:lang w:val="sq-AL"/>
        </w:rPr>
        <w:t>U hartua një raportim i plotë i Qeverisë shqiptare në kuadër të përgatitjes së Raportit të Komisionit Evropian për Shqipërinë për vitin 2021.</w:t>
      </w:r>
    </w:p>
    <w:p w:rsidR="00990CDF" w:rsidRPr="008F0207" w:rsidRDefault="00990CDF" w:rsidP="00020968">
      <w:pPr>
        <w:numPr>
          <w:ilvl w:val="0"/>
          <w:numId w:val="44"/>
        </w:numPr>
        <w:jc w:val="both"/>
        <w:rPr>
          <w:rFonts w:asciiTheme="minorHAnsi" w:hAnsiTheme="minorHAnsi"/>
          <w:i/>
          <w:lang w:val="sq-AL"/>
        </w:rPr>
      </w:pPr>
      <w:r w:rsidRPr="008F0207">
        <w:rPr>
          <w:rFonts w:asciiTheme="minorHAnsi" w:hAnsiTheme="minorHAnsi"/>
          <w:bCs/>
          <w:i/>
          <w:iCs/>
          <w:color w:val="00000A"/>
          <w:lang w:val="sq-AL"/>
        </w:rPr>
        <w:t>U hartua dhe miratua VKM Nr.90 datë 17.02.2021 “Për miratimin e Planit Kombëtar për Integrimin Evropian 2021 – 2023”.</w:t>
      </w:r>
    </w:p>
    <w:p w:rsidR="00990CDF" w:rsidRPr="008F0207" w:rsidRDefault="00990CDF" w:rsidP="00020968">
      <w:pPr>
        <w:numPr>
          <w:ilvl w:val="0"/>
          <w:numId w:val="44"/>
        </w:numPr>
        <w:jc w:val="both"/>
        <w:rPr>
          <w:rFonts w:asciiTheme="minorHAnsi" w:hAnsiTheme="minorHAnsi"/>
          <w:i/>
          <w:lang w:val="sq-AL"/>
        </w:rPr>
      </w:pPr>
      <w:r w:rsidRPr="008F0207">
        <w:rPr>
          <w:rFonts w:asciiTheme="minorHAnsi" w:hAnsiTheme="minorHAnsi"/>
          <w:i/>
          <w:lang w:val="sq-AL"/>
        </w:rPr>
        <w:t>U koordinua përgatitja e dokumenteve të veprimit për IPA 2021 të cilat iu përcollën Komisionit Evropian në mars 2021, si dhe po vijon përgatitja e dokumenteve të veprimit për IPA 2022.</w:t>
      </w:r>
    </w:p>
    <w:p w:rsidR="00990CDF" w:rsidRPr="008F0207" w:rsidRDefault="00990CDF" w:rsidP="00020968">
      <w:pPr>
        <w:numPr>
          <w:ilvl w:val="0"/>
          <w:numId w:val="44"/>
        </w:numPr>
        <w:jc w:val="both"/>
        <w:rPr>
          <w:rFonts w:asciiTheme="minorHAnsi" w:hAnsiTheme="minorHAnsi"/>
          <w:i/>
          <w:lang w:val="sq-AL"/>
        </w:rPr>
      </w:pPr>
      <w:r w:rsidRPr="008F0207">
        <w:rPr>
          <w:rFonts w:asciiTheme="minorHAnsi" w:hAnsiTheme="minorHAnsi"/>
          <w:i/>
          <w:lang w:val="sq-AL"/>
        </w:rPr>
        <w:t>Shqipëria mori pjesë në dy thirrje të hapura në kuadër të Instrumentit të Investimeve për Ballkanin Perëndimor ku përfitoi në total gjashtë projekte për asistencë teknike dhe dy projekte investimi.</w:t>
      </w:r>
    </w:p>
    <w:p w:rsidR="009640B4" w:rsidRDefault="009640B4" w:rsidP="006F25E7">
      <w:pPr>
        <w:spacing w:line="276" w:lineRule="auto"/>
        <w:ind w:left="720"/>
        <w:jc w:val="both"/>
        <w:rPr>
          <w:rFonts w:asciiTheme="minorHAnsi" w:hAnsiTheme="minorHAnsi"/>
          <w:bCs/>
          <w:iCs/>
          <w:color w:val="00000A"/>
          <w:lang w:val="sq-AL"/>
        </w:rPr>
      </w:pPr>
    </w:p>
    <w:p w:rsidR="008F0207" w:rsidRDefault="008F0207" w:rsidP="006F25E7">
      <w:pPr>
        <w:spacing w:line="276" w:lineRule="auto"/>
        <w:ind w:left="720"/>
        <w:jc w:val="both"/>
        <w:rPr>
          <w:rFonts w:asciiTheme="minorHAnsi" w:hAnsiTheme="minorHAnsi"/>
          <w:bCs/>
          <w:iCs/>
          <w:color w:val="00000A"/>
          <w:lang w:val="sq-AL"/>
        </w:rPr>
      </w:pPr>
    </w:p>
    <w:p w:rsidR="00150012" w:rsidRPr="0065598A" w:rsidRDefault="00150012" w:rsidP="006F25E7">
      <w:pPr>
        <w:pStyle w:val="Heading2"/>
      </w:pPr>
      <w:bookmarkStart w:id="155" w:name="_Toc76470043"/>
      <w:r w:rsidRPr="00AF578C">
        <w:lastRenderedPageBreak/>
        <w:t>VI.</w:t>
      </w:r>
      <w:r w:rsidR="00E05051" w:rsidRPr="00AF578C">
        <w:t>3</w:t>
      </w:r>
      <w:r w:rsidRPr="00AF578C">
        <w:tab/>
        <w:t>Ecuria e detajuar e projekteve t</w:t>
      </w:r>
      <w:r w:rsidR="000E73FC" w:rsidRPr="00AF578C">
        <w:t>ë</w:t>
      </w:r>
      <w:r w:rsidRPr="00AF578C">
        <w:t xml:space="preserve"> </w:t>
      </w:r>
      <w:r w:rsidR="00176D77" w:rsidRPr="00AF578C">
        <w:t>investimeve publike, gjatë J</w:t>
      </w:r>
      <w:r w:rsidRPr="00AF578C">
        <w:t>anar-</w:t>
      </w:r>
      <w:r w:rsidR="00176D77" w:rsidRPr="00AF578C">
        <w:t>M</w:t>
      </w:r>
      <w:r w:rsidRPr="00AF578C">
        <w:t>aj 20</w:t>
      </w:r>
      <w:r w:rsidR="000909B0" w:rsidRPr="00AF578C">
        <w:t>2</w:t>
      </w:r>
      <w:r w:rsidR="009640B4">
        <w:t>1</w:t>
      </w:r>
      <w:bookmarkEnd w:id="155"/>
    </w:p>
    <w:p w:rsidR="009640B4" w:rsidRPr="005678D0" w:rsidRDefault="009640B4" w:rsidP="006F25E7">
      <w:pPr>
        <w:spacing w:line="276" w:lineRule="auto"/>
        <w:jc w:val="both"/>
        <w:rPr>
          <w:rFonts w:asciiTheme="minorHAnsi" w:hAnsiTheme="minorHAnsi"/>
          <w:bCs/>
          <w:lang w:val="sq-AL"/>
        </w:rPr>
      </w:pPr>
      <w:r w:rsidRPr="005678D0">
        <w:rPr>
          <w:rFonts w:asciiTheme="minorHAnsi" w:hAnsiTheme="minorHAnsi"/>
          <w:bCs/>
          <w:lang w:val="sq-AL"/>
        </w:rPr>
        <w:t>Ecuria e investimeve publike për 5-mujorin e parë të vitit 2021 paraqitet e kënaqshme. Nga ministritë e linjës deri në fund të muajit Maj 2021 janë raportuar disa kontrata për projekte investimi të përfunduara. Ndërkohë, nga ministritë e linjës po vijohet me zbatimin e kontratave për projektet e investimeve të parashikuara për vitin 2021. Numri më i lartë i kontratave për projektet e investimit të përfunduara i takon Ministrisë së Infrastrukturës dhe Energjisë dhe konkretisht projektet në Infrastrukturë dhe Ujësjellësa. Më poshtë paraqiten projektet kryesore të përfunduara nga ministritë e linjës deri në fund të muajit Maj 2021.</w:t>
      </w:r>
    </w:p>
    <w:p w:rsidR="009640B4" w:rsidRPr="005678D0" w:rsidRDefault="009640B4" w:rsidP="006F25E7">
      <w:pPr>
        <w:spacing w:before="240" w:line="276" w:lineRule="auto"/>
        <w:jc w:val="both"/>
        <w:rPr>
          <w:rFonts w:asciiTheme="minorHAnsi" w:hAnsiTheme="minorHAnsi"/>
          <w:b/>
          <w:lang w:val="sq-AL"/>
        </w:rPr>
      </w:pPr>
      <w:r w:rsidRPr="005678D0">
        <w:rPr>
          <w:rFonts w:asciiTheme="minorHAnsi" w:hAnsiTheme="minorHAnsi"/>
          <w:b/>
          <w:lang w:val="sq-AL"/>
        </w:rPr>
        <w:t>Ministria e Bujqësisë dhe Zhvillimit Rural</w:t>
      </w:r>
    </w:p>
    <w:p w:rsidR="009640B4" w:rsidRPr="005678D0" w:rsidRDefault="009640B4" w:rsidP="006F25E7">
      <w:pPr>
        <w:spacing w:line="276" w:lineRule="auto"/>
        <w:jc w:val="both"/>
        <w:rPr>
          <w:rFonts w:asciiTheme="minorHAnsi" w:hAnsiTheme="minorHAnsi"/>
          <w:lang w:val="sq-AL"/>
        </w:rPr>
      </w:pPr>
      <w:r w:rsidRPr="005678D0">
        <w:rPr>
          <w:rFonts w:asciiTheme="minorHAnsi" w:hAnsiTheme="minorHAnsi"/>
          <w:lang w:val="sq-AL"/>
        </w:rPr>
        <w:t>Me fondet e alokuara për investime për vitin 2021, kanë përfunduar kontratat e mëposhtme:</w:t>
      </w:r>
    </w:p>
    <w:p w:rsidR="009640B4" w:rsidRPr="005678D0" w:rsidRDefault="009640B4" w:rsidP="006F25E7">
      <w:pPr>
        <w:spacing w:before="240" w:line="276" w:lineRule="auto"/>
        <w:rPr>
          <w:rFonts w:asciiTheme="minorHAnsi" w:hAnsiTheme="minorHAnsi"/>
          <w:u w:val="single"/>
          <w:lang w:val="sq-AL"/>
        </w:rPr>
      </w:pPr>
      <w:r w:rsidRPr="005678D0">
        <w:rPr>
          <w:rFonts w:asciiTheme="minorHAnsi" w:hAnsiTheme="minorHAnsi"/>
          <w:u w:val="single"/>
          <w:lang w:val="sq-AL"/>
        </w:rPr>
        <w:t>Në programin “Menaxhimi i Infrastrukturës ,ujitjes dhe kullimit”:</w:t>
      </w:r>
    </w:p>
    <w:p w:rsidR="009640B4" w:rsidRPr="005678D0" w:rsidRDefault="009640B4" w:rsidP="00AB1DCB">
      <w:pPr>
        <w:pStyle w:val="ListParagraph"/>
        <w:numPr>
          <w:ilvl w:val="0"/>
          <w:numId w:val="31"/>
        </w:numPr>
        <w:rPr>
          <w:rFonts w:asciiTheme="minorHAnsi" w:hAnsiTheme="minorHAnsi"/>
          <w:lang w:val="sq-AL"/>
        </w:rPr>
      </w:pPr>
      <w:r w:rsidRPr="005678D0">
        <w:rPr>
          <w:rFonts w:asciiTheme="minorHAnsi" w:hAnsiTheme="minorHAnsi"/>
          <w:bCs/>
          <w:lang w:val="sq-AL"/>
        </w:rPr>
        <w:t>Rehabilitimi i KUL Mamurras me vlerë 53 milionë lekë.</w:t>
      </w:r>
    </w:p>
    <w:p w:rsidR="009640B4" w:rsidRPr="005678D0" w:rsidRDefault="009640B4" w:rsidP="00AB1DCB">
      <w:pPr>
        <w:pStyle w:val="ListParagraph"/>
        <w:numPr>
          <w:ilvl w:val="0"/>
          <w:numId w:val="31"/>
        </w:numPr>
        <w:rPr>
          <w:rFonts w:asciiTheme="minorHAnsi" w:hAnsiTheme="minorHAnsi"/>
          <w:lang w:val="sq-AL"/>
        </w:rPr>
      </w:pPr>
      <w:r w:rsidRPr="005678D0">
        <w:rPr>
          <w:rFonts w:asciiTheme="minorHAnsi" w:hAnsiTheme="minorHAnsi"/>
          <w:lang w:val="sq-AL"/>
        </w:rPr>
        <w:t>Mbrojtje nga Lumi Seman në Zhelizhan dhe Toshkëz me vlerë 53 milionë lekë.</w:t>
      </w:r>
    </w:p>
    <w:p w:rsidR="009640B4" w:rsidRPr="005678D0" w:rsidRDefault="009640B4" w:rsidP="00AB1DCB">
      <w:pPr>
        <w:pStyle w:val="ListParagraph"/>
        <w:numPr>
          <w:ilvl w:val="0"/>
          <w:numId w:val="31"/>
        </w:numPr>
        <w:rPr>
          <w:rFonts w:asciiTheme="minorHAnsi" w:hAnsiTheme="minorHAnsi"/>
          <w:lang w:val="sq-AL"/>
        </w:rPr>
      </w:pPr>
      <w:r w:rsidRPr="005678D0">
        <w:rPr>
          <w:rFonts w:asciiTheme="minorHAnsi" w:hAnsiTheme="minorHAnsi"/>
          <w:lang w:val="sq-AL"/>
        </w:rPr>
        <w:t>Rehabilitimi i hidrovorit Shllinxa, Kurbin me vlerë 49 milionë lekë.</w:t>
      </w:r>
    </w:p>
    <w:p w:rsidR="009640B4" w:rsidRPr="005678D0" w:rsidRDefault="009640B4" w:rsidP="00AB1DCB">
      <w:pPr>
        <w:pStyle w:val="ListParagraph"/>
        <w:numPr>
          <w:ilvl w:val="0"/>
          <w:numId w:val="31"/>
        </w:numPr>
        <w:rPr>
          <w:rFonts w:asciiTheme="minorHAnsi" w:hAnsiTheme="minorHAnsi"/>
          <w:lang w:val="sq-AL"/>
        </w:rPr>
      </w:pPr>
      <w:r w:rsidRPr="005678D0">
        <w:rPr>
          <w:rFonts w:asciiTheme="minorHAnsi" w:hAnsiTheme="minorHAnsi"/>
          <w:lang w:val="sq-AL"/>
        </w:rPr>
        <w:t>Ndërtim i rrjetit ujitës Bodar-Kutal me vlerë 26 milionë lekë.</w:t>
      </w:r>
    </w:p>
    <w:p w:rsidR="009640B4" w:rsidRPr="005678D0" w:rsidRDefault="009640B4" w:rsidP="00AB1DCB">
      <w:pPr>
        <w:pStyle w:val="ListParagraph"/>
        <w:numPr>
          <w:ilvl w:val="0"/>
          <w:numId w:val="31"/>
        </w:numPr>
        <w:rPr>
          <w:rFonts w:asciiTheme="minorHAnsi" w:hAnsiTheme="minorHAnsi"/>
          <w:lang w:val="sq-AL"/>
        </w:rPr>
      </w:pPr>
      <w:r w:rsidRPr="005678D0">
        <w:rPr>
          <w:rFonts w:asciiTheme="minorHAnsi" w:hAnsiTheme="minorHAnsi"/>
          <w:lang w:val="sq-AL" w:eastAsia="sq-AL"/>
        </w:rPr>
        <w:t>Rehabilitimi i kanalit ujitës Dukaj me vlerë 22 milionë lekë.</w:t>
      </w:r>
    </w:p>
    <w:p w:rsidR="009640B4" w:rsidRPr="005678D0" w:rsidRDefault="009640B4" w:rsidP="00AB1DCB">
      <w:pPr>
        <w:pStyle w:val="ListParagraph"/>
        <w:numPr>
          <w:ilvl w:val="0"/>
          <w:numId w:val="31"/>
        </w:numPr>
        <w:rPr>
          <w:rFonts w:asciiTheme="minorHAnsi" w:hAnsiTheme="minorHAnsi"/>
          <w:lang w:val="sq-AL"/>
        </w:rPr>
      </w:pPr>
      <w:r w:rsidRPr="005678D0">
        <w:rPr>
          <w:rFonts w:asciiTheme="minorHAnsi" w:hAnsiTheme="minorHAnsi"/>
          <w:lang w:val="sq-AL" w:eastAsia="sq-AL"/>
        </w:rPr>
        <w:t>Pellgu ujëmbledhës, kanali i furnizimit me ujë të rezervuarit në qytetin e Bilishtit</w:t>
      </w:r>
      <w:r w:rsidRPr="005678D0">
        <w:rPr>
          <w:rFonts w:asciiTheme="minorHAnsi" w:hAnsiTheme="minorHAnsi"/>
          <w:bCs/>
          <w:lang w:val="sq-AL"/>
        </w:rPr>
        <w:t xml:space="preserve"> me vlerë 27 milionë lekë.</w:t>
      </w:r>
    </w:p>
    <w:p w:rsidR="009640B4" w:rsidRPr="005678D0" w:rsidRDefault="009640B4" w:rsidP="00AB1DCB">
      <w:pPr>
        <w:pStyle w:val="ListParagraph"/>
        <w:numPr>
          <w:ilvl w:val="0"/>
          <w:numId w:val="31"/>
        </w:numPr>
        <w:jc w:val="both"/>
        <w:rPr>
          <w:rFonts w:asciiTheme="minorHAnsi" w:hAnsiTheme="minorHAnsi"/>
          <w:lang w:val="sq-AL" w:eastAsia="sq-AL"/>
        </w:rPr>
      </w:pPr>
      <w:r w:rsidRPr="005678D0">
        <w:rPr>
          <w:rFonts w:asciiTheme="minorHAnsi" w:hAnsiTheme="minorHAnsi"/>
          <w:lang w:val="sq-AL" w:eastAsia="sq-AL"/>
        </w:rPr>
        <w:t>Rehabilitimi i kanaleve vaditës e kullues Bashkia Cërrik</w:t>
      </w:r>
      <w:r w:rsidRPr="005678D0">
        <w:rPr>
          <w:rFonts w:asciiTheme="minorHAnsi" w:hAnsiTheme="minorHAnsi"/>
          <w:bCs/>
          <w:lang w:val="sq-AL"/>
        </w:rPr>
        <w:t xml:space="preserve"> me vlerë 37 milionë lekë.</w:t>
      </w:r>
    </w:p>
    <w:p w:rsidR="009640B4" w:rsidRPr="005678D0" w:rsidRDefault="009640B4" w:rsidP="006F25E7">
      <w:pPr>
        <w:spacing w:before="240" w:line="276" w:lineRule="auto"/>
        <w:rPr>
          <w:rFonts w:asciiTheme="minorHAnsi" w:hAnsiTheme="minorHAnsi"/>
          <w:u w:val="single"/>
          <w:lang w:val="sq-AL"/>
        </w:rPr>
      </w:pPr>
      <w:r w:rsidRPr="005678D0">
        <w:rPr>
          <w:rFonts w:asciiTheme="minorHAnsi" w:hAnsiTheme="minorHAnsi"/>
          <w:u w:val="single"/>
          <w:lang w:val="sq-AL"/>
        </w:rPr>
        <w:t>Në programin “Mbështetje për Peshkimin”:</w:t>
      </w:r>
    </w:p>
    <w:p w:rsidR="009640B4" w:rsidRPr="005678D0" w:rsidRDefault="009640B4" w:rsidP="00AB1DCB">
      <w:pPr>
        <w:pStyle w:val="ListParagraph"/>
        <w:numPr>
          <w:ilvl w:val="0"/>
          <w:numId w:val="30"/>
        </w:numPr>
        <w:jc w:val="both"/>
        <w:rPr>
          <w:rFonts w:asciiTheme="minorHAnsi" w:hAnsiTheme="minorHAnsi"/>
          <w:b/>
          <w:lang w:val="sq-AL"/>
        </w:rPr>
      </w:pPr>
      <w:r w:rsidRPr="005678D0">
        <w:rPr>
          <w:rFonts w:asciiTheme="minorHAnsi" w:hAnsiTheme="minorHAnsi"/>
          <w:color w:val="000000"/>
          <w:lang w:val="sq-AL" w:eastAsia="sq-AL"/>
        </w:rPr>
        <w:t>Hartim i projekt idesë dhe projekt zbatimi për objektin "Thellimi i kanalit hyrës në Portin e Peshkimit Vlorë", me vlerë 749 mijë lekë.</w:t>
      </w:r>
    </w:p>
    <w:p w:rsidR="009640B4" w:rsidRPr="005678D0" w:rsidRDefault="009640B4" w:rsidP="00AB1DCB">
      <w:pPr>
        <w:pStyle w:val="ListParagraph"/>
        <w:numPr>
          <w:ilvl w:val="0"/>
          <w:numId w:val="30"/>
        </w:numPr>
        <w:jc w:val="both"/>
        <w:rPr>
          <w:rFonts w:asciiTheme="minorHAnsi" w:hAnsiTheme="minorHAnsi"/>
          <w:color w:val="000000"/>
          <w:lang w:val="sq-AL" w:eastAsia="sq-AL"/>
        </w:rPr>
      </w:pPr>
      <w:r w:rsidRPr="005678D0">
        <w:rPr>
          <w:rFonts w:asciiTheme="minorHAnsi" w:hAnsiTheme="minorHAnsi"/>
          <w:color w:val="000000"/>
          <w:lang w:val="sq-AL" w:eastAsia="sq-AL"/>
        </w:rPr>
        <w:t>Hartim i projekt idese dhe projekt zbatimi për objektin "Thellimi i grykëderdhjes të kanalit Butrint me detin” me vlerë 389 mijë lekë.</w:t>
      </w:r>
    </w:p>
    <w:p w:rsidR="009640B4" w:rsidRPr="005678D0" w:rsidRDefault="009640B4" w:rsidP="006F25E7">
      <w:pPr>
        <w:pStyle w:val="ListParagraph"/>
        <w:spacing w:before="240" w:line="276" w:lineRule="auto"/>
        <w:jc w:val="both"/>
        <w:rPr>
          <w:rFonts w:asciiTheme="minorHAnsi" w:hAnsiTheme="minorHAnsi"/>
          <w:b/>
          <w:lang w:val="sq-AL"/>
        </w:rPr>
      </w:pPr>
    </w:p>
    <w:p w:rsidR="009640B4" w:rsidRPr="005678D0" w:rsidRDefault="009640B4" w:rsidP="006F25E7">
      <w:pPr>
        <w:spacing w:before="240" w:line="276" w:lineRule="auto"/>
        <w:jc w:val="both"/>
        <w:rPr>
          <w:rFonts w:asciiTheme="minorHAnsi" w:hAnsiTheme="minorHAnsi"/>
          <w:b/>
          <w:lang w:val="sq-AL"/>
        </w:rPr>
      </w:pPr>
      <w:r w:rsidRPr="005678D0">
        <w:rPr>
          <w:rFonts w:asciiTheme="minorHAnsi" w:hAnsiTheme="minorHAnsi"/>
          <w:b/>
          <w:lang w:val="sq-AL"/>
        </w:rPr>
        <w:t>Ministria e Transportit dhe Infrastrukturës</w:t>
      </w:r>
    </w:p>
    <w:p w:rsidR="009640B4" w:rsidRPr="005678D0" w:rsidRDefault="009640B4" w:rsidP="006F25E7">
      <w:pPr>
        <w:spacing w:line="276" w:lineRule="auto"/>
        <w:jc w:val="both"/>
        <w:rPr>
          <w:rFonts w:asciiTheme="minorHAnsi" w:hAnsiTheme="minorHAnsi"/>
          <w:lang w:val="sq-AL"/>
        </w:rPr>
      </w:pPr>
      <w:r w:rsidRPr="005678D0">
        <w:rPr>
          <w:rFonts w:asciiTheme="minorHAnsi" w:hAnsiTheme="minorHAnsi"/>
          <w:lang w:val="sq-AL"/>
        </w:rPr>
        <w:t>Me fondet e alokuara për investime për vitin 2021, kanë përfunduar kontratat e mëposhtme:</w:t>
      </w:r>
    </w:p>
    <w:p w:rsidR="009640B4" w:rsidRPr="005678D0" w:rsidRDefault="009640B4" w:rsidP="006F25E7">
      <w:pPr>
        <w:spacing w:before="240" w:line="276" w:lineRule="auto"/>
        <w:jc w:val="both"/>
        <w:rPr>
          <w:rFonts w:asciiTheme="minorHAnsi" w:hAnsiTheme="minorHAnsi"/>
          <w:u w:val="single"/>
          <w:lang w:val="sq-AL"/>
        </w:rPr>
      </w:pPr>
      <w:r w:rsidRPr="005678D0">
        <w:rPr>
          <w:rFonts w:asciiTheme="minorHAnsi" w:hAnsiTheme="minorHAnsi"/>
          <w:u w:val="single"/>
          <w:lang w:val="sq-AL"/>
        </w:rPr>
        <w:t>Në programin “Transporti Rrugor”:</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t>Ndërtim rruga Kardhiq-Delvinë, Loti 4 me vlerë 2.4 miliardë lekë.</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t>Ndërtim rruga Kardhiq-Delvinë, Loti 5 me vlerë 2 miliardë lekë.</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t>Ndërtim i rruges së Unazës së Jashtme Tiranë, pjesa verilindore (seg Kth Saukut-Bregu i lumit) Loti 3 me vlerë 2.2 miliardë lekë.</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t>Ndërtim i urës së Zemblakut me vlerë 39 milionë lekë.</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t>Rikonstruksion i Urës së Leklit me vlerë 9 milionë lekë.</w:t>
      </w:r>
    </w:p>
    <w:p w:rsidR="009640B4" w:rsidRPr="005678D0" w:rsidRDefault="009640B4" w:rsidP="006F25E7">
      <w:pPr>
        <w:spacing w:before="240" w:line="276" w:lineRule="auto"/>
        <w:jc w:val="both"/>
        <w:rPr>
          <w:rFonts w:asciiTheme="minorHAnsi" w:hAnsiTheme="minorHAnsi"/>
          <w:u w:val="single"/>
          <w:lang w:val="sq-AL"/>
        </w:rPr>
      </w:pPr>
      <w:r w:rsidRPr="005678D0">
        <w:rPr>
          <w:rFonts w:asciiTheme="minorHAnsi" w:hAnsiTheme="minorHAnsi"/>
          <w:u w:val="single"/>
          <w:lang w:val="sq-AL"/>
        </w:rPr>
        <w:t>Në programin “Ujësjellës-Kanalizime”:</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t xml:space="preserve">Sistemimi i furnizimit me ujë dhe supervizion punimesh të zonës turistike Hamallaj, faza e I" Sukth me vlerë kontrate 75.3 milionë lekë.   </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t>Instalimi dhe supervizimi i teknologjive të reja në stacionet e pompimit në sistemin Mengel-Samurr Godolesh (për zëvendësimin e pompave dhe paisjeve elektrike) me vlerë kontrate 63 milionë lekë.</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lastRenderedPageBreak/>
        <w:t>Projekt për vendosje matësash në pallatet me kollone të brendshme, Loti I, Qytet Durrës me vlerë kontrate 48.9 milionë lekë.</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t>Ndërtimi dhe supervizioni i rrjetit të jashtëm të kanalzimeve të ujrave të zeza dhe stacioni i pompimit, Lagja Potam me vlerë kontrate 41 milionë lekë.</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t>Ndërtim dhe supervizimi i rrjetit të kanalzimeve në segmentin "4 rrugët Shijak"-"Ura Dajlanit" Durrës me vlerë kontrate 6.7 milionë lekë.</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t>Rrjeti i kanalizimeve  të ujërave të zeza  Luz, Kavaje,(vazhdim) Faza e II &amp; rrjeti tercial i kuz ne zonen e Golemit (pagese kolaudimi) dhe supervizion punimesh me vlerë kontrate 149 milionë lekë.</w:t>
      </w:r>
    </w:p>
    <w:p w:rsidR="009640B4" w:rsidRPr="005678D0" w:rsidRDefault="009640B4" w:rsidP="00AB1DCB">
      <w:pPr>
        <w:pStyle w:val="ListParagraph"/>
        <w:numPr>
          <w:ilvl w:val="0"/>
          <w:numId w:val="30"/>
        </w:numPr>
        <w:jc w:val="both"/>
        <w:rPr>
          <w:rFonts w:asciiTheme="minorHAnsi" w:hAnsiTheme="minorHAnsi"/>
          <w:lang w:val="sq-AL"/>
        </w:rPr>
      </w:pPr>
      <w:r w:rsidRPr="005678D0">
        <w:rPr>
          <w:rFonts w:asciiTheme="minorHAnsi" w:hAnsiTheme="minorHAnsi"/>
          <w:lang w:val="sq-AL"/>
        </w:rPr>
        <w:t>Përmirësimi i KUZ Sarandë (Sarandë-ITUP, Bajpas dhe vendosje saracineska manovrimi ajrues) dhe supervizion punimesh me vlerë kontrate 15.6 milionë lekë.</w:t>
      </w:r>
    </w:p>
    <w:p w:rsidR="009640B4" w:rsidRPr="005678D0" w:rsidRDefault="009640B4" w:rsidP="006F25E7">
      <w:pPr>
        <w:pStyle w:val="NormalWeb"/>
        <w:spacing w:after="0" w:afterAutospacing="0" w:line="276" w:lineRule="auto"/>
        <w:jc w:val="both"/>
        <w:rPr>
          <w:rFonts w:asciiTheme="minorHAnsi" w:hAnsiTheme="minorHAnsi"/>
          <w:b/>
          <w:color w:val="000000"/>
          <w:lang w:val="sq-AL"/>
        </w:rPr>
      </w:pPr>
      <w:r w:rsidRPr="005678D0">
        <w:rPr>
          <w:rFonts w:asciiTheme="minorHAnsi" w:hAnsiTheme="minorHAnsi"/>
          <w:b/>
          <w:color w:val="000000"/>
          <w:lang w:val="sq-AL"/>
        </w:rPr>
        <w:t>Ministria e Arsimit dhe Sporteve</w:t>
      </w:r>
    </w:p>
    <w:p w:rsidR="009640B4" w:rsidRPr="005678D0" w:rsidRDefault="009640B4" w:rsidP="006F25E7">
      <w:pPr>
        <w:spacing w:line="276" w:lineRule="auto"/>
        <w:jc w:val="both"/>
        <w:rPr>
          <w:rFonts w:asciiTheme="minorHAnsi" w:hAnsiTheme="minorHAnsi"/>
          <w:color w:val="000000"/>
          <w:lang w:val="sq-AL"/>
        </w:rPr>
      </w:pPr>
      <w:r w:rsidRPr="005678D0">
        <w:rPr>
          <w:rFonts w:asciiTheme="minorHAnsi" w:hAnsiTheme="minorHAnsi"/>
          <w:color w:val="000000"/>
          <w:lang w:val="sq-AL"/>
        </w:rPr>
        <w:t>Për MASR deri në fund të muajit Maj 2021 janë realizuar 2 kontrata investimesh:</w:t>
      </w:r>
    </w:p>
    <w:p w:rsidR="009640B4" w:rsidRPr="005678D0" w:rsidRDefault="009640B4" w:rsidP="00AB1DCB">
      <w:pPr>
        <w:pStyle w:val="ListParagraph"/>
        <w:numPr>
          <w:ilvl w:val="0"/>
          <w:numId w:val="32"/>
        </w:numPr>
        <w:jc w:val="both"/>
        <w:rPr>
          <w:rFonts w:asciiTheme="minorHAnsi" w:hAnsiTheme="minorHAnsi"/>
          <w:color w:val="000000"/>
          <w:lang w:val="sq-AL"/>
        </w:rPr>
      </w:pPr>
      <w:r w:rsidRPr="005678D0">
        <w:rPr>
          <w:rFonts w:asciiTheme="minorHAnsi" w:hAnsiTheme="minorHAnsi"/>
          <w:color w:val="000000"/>
          <w:lang w:val="sq-AL"/>
        </w:rPr>
        <w:t>Rikualifikimi i ndërtesave të UPT-se (Fakulteti i Inxhinierisë Mekanike dhe Inxhinieria Elektrike) me vlerë 191 milionë lekë.</w:t>
      </w:r>
    </w:p>
    <w:p w:rsidR="009640B4" w:rsidRPr="005678D0" w:rsidRDefault="009640B4" w:rsidP="00AB1DCB">
      <w:pPr>
        <w:numPr>
          <w:ilvl w:val="0"/>
          <w:numId w:val="6"/>
        </w:numPr>
        <w:jc w:val="both"/>
        <w:rPr>
          <w:rFonts w:asciiTheme="minorHAnsi" w:hAnsiTheme="minorHAnsi"/>
          <w:color w:val="000000"/>
          <w:lang w:val="sq-AL"/>
        </w:rPr>
      </w:pPr>
      <w:r w:rsidRPr="005678D0">
        <w:rPr>
          <w:rFonts w:asciiTheme="minorHAnsi" w:hAnsiTheme="minorHAnsi"/>
          <w:color w:val="000000"/>
          <w:lang w:val="sq-AL"/>
        </w:rPr>
        <w:t>Krijim Laboratorit Dixhital te Anatomise në Universitetin Aleksandër Xhuvani Elbasan me vlerë 15 milionë lekë.</w:t>
      </w:r>
    </w:p>
    <w:p w:rsidR="009640B4" w:rsidRPr="005678D0" w:rsidRDefault="009640B4" w:rsidP="006F25E7">
      <w:pPr>
        <w:spacing w:line="276" w:lineRule="auto"/>
        <w:jc w:val="both"/>
        <w:rPr>
          <w:rFonts w:asciiTheme="minorHAnsi" w:hAnsiTheme="minorHAnsi"/>
          <w:b/>
          <w:lang w:val="sq-AL"/>
        </w:rPr>
      </w:pPr>
    </w:p>
    <w:p w:rsidR="009640B4" w:rsidRPr="005678D0" w:rsidRDefault="009640B4" w:rsidP="006F25E7">
      <w:pPr>
        <w:spacing w:line="276" w:lineRule="auto"/>
        <w:jc w:val="both"/>
        <w:rPr>
          <w:rFonts w:asciiTheme="minorHAnsi" w:hAnsiTheme="minorHAnsi"/>
          <w:b/>
          <w:lang w:val="sq-AL"/>
        </w:rPr>
      </w:pPr>
      <w:r w:rsidRPr="005678D0">
        <w:rPr>
          <w:rFonts w:asciiTheme="minorHAnsi" w:hAnsiTheme="minorHAnsi"/>
          <w:b/>
          <w:lang w:val="sq-AL"/>
        </w:rPr>
        <w:t>Ministria e Shëndetësisë dhe Mbrojtjes Sociale</w:t>
      </w:r>
    </w:p>
    <w:p w:rsidR="009640B4" w:rsidRPr="005678D0" w:rsidRDefault="009640B4" w:rsidP="006F25E7">
      <w:pPr>
        <w:spacing w:line="276" w:lineRule="auto"/>
        <w:jc w:val="both"/>
        <w:rPr>
          <w:rFonts w:asciiTheme="minorHAnsi" w:hAnsiTheme="minorHAnsi"/>
          <w:bCs/>
          <w:lang w:val="sq-AL"/>
        </w:rPr>
      </w:pPr>
      <w:r w:rsidRPr="005678D0">
        <w:rPr>
          <w:rFonts w:asciiTheme="minorHAnsi" w:hAnsiTheme="minorHAnsi"/>
          <w:lang w:val="sq-AL"/>
        </w:rPr>
        <w:t>Me fondet e alokuara për investime për vitin 2021</w:t>
      </w:r>
      <w:r w:rsidRPr="005678D0">
        <w:rPr>
          <w:rFonts w:asciiTheme="minorHAnsi" w:hAnsiTheme="minorHAnsi"/>
          <w:color w:val="000000"/>
          <w:lang w:val="sq-AL"/>
        </w:rPr>
        <w:t>, kanë</w:t>
      </w:r>
      <w:r w:rsidRPr="005678D0">
        <w:rPr>
          <w:rFonts w:asciiTheme="minorHAnsi" w:hAnsiTheme="minorHAnsi"/>
          <w:bCs/>
          <w:color w:val="000000"/>
          <w:lang w:val="sq-AL"/>
        </w:rPr>
        <w:t xml:space="preserve"> përfunduar objektet më poshtë</w:t>
      </w:r>
      <w:r w:rsidRPr="005678D0">
        <w:rPr>
          <w:rFonts w:asciiTheme="minorHAnsi" w:hAnsiTheme="minorHAnsi"/>
          <w:bCs/>
          <w:lang w:val="sq-AL"/>
        </w:rPr>
        <w:t>:</w:t>
      </w:r>
    </w:p>
    <w:p w:rsidR="009640B4" w:rsidRPr="005678D0" w:rsidRDefault="009640B4" w:rsidP="00AB1DCB">
      <w:pPr>
        <w:pStyle w:val="ListParagraph"/>
        <w:numPr>
          <w:ilvl w:val="0"/>
          <w:numId w:val="6"/>
        </w:numPr>
        <w:jc w:val="both"/>
        <w:rPr>
          <w:rFonts w:asciiTheme="minorHAnsi" w:hAnsiTheme="minorHAnsi"/>
          <w:bCs/>
          <w:lang w:val="sq-AL"/>
        </w:rPr>
      </w:pPr>
      <w:r w:rsidRPr="005678D0">
        <w:rPr>
          <w:rFonts w:asciiTheme="minorHAnsi" w:hAnsiTheme="minorHAnsi"/>
          <w:bCs/>
          <w:lang w:val="sq-AL"/>
        </w:rPr>
        <w:t>Rikonstruksion ne sp.Lezhe dhe shtesë për Maternitetin Lezhë</w:t>
      </w:r>
      <w:r w:rsidRPr="005678D0">
        <w:rPr>
          <w:rFonts w:asciiTheme="minorHAnsi" w:hAnsiTheme="minorHAnsi"/>
          <w:lang w:val="sq-AL"/>
        </w:rPr>
        <w:t xml:space="preserve"> me vlerë 324 milionë lekë.</w:t>
      </w:r>
    </w:p>
    <w:p w:rsidR="009640B4" w:rsidRPr="005678D0" w:rsidRDefault="009640B4" w:rsidP="00AB1DCB">
      <w:pPr>
        <w:pStyle w:val="ListParagraph"/>
        <w:numPr>
          <w:ilvl w:val="0"/>
          <w:numId w:val="6"/>
        </w:numPr>
        <w:jc w:val="both"/>
        <w:rPr>
          <w:rFonts w:asciiTheme="minorHAnsi" w:hAnsiTheme="minorHAnsi"/>
          <w:bCs/>
          <w:lang w:val="sq-AL"/>
        </w:rPr>
      </w:pPr>
      <w:r w:rsidRPr="005678D0">
        <w:rPr>
          <w:rFonts w:asciiTheme="minorHAnsi" w:hAnsiTheme="minorHAnsi"/>
          <w:bCs/>
          <w:lang w:val="sq-AL"/>
        </w:rPr>
        <w:t>F.V pajisje hotelerie dhe mjekësore për maternitetin e sp.Lezhe me vlerë 70 milionë lekë.</w:t>
      </w:r>
    </w:p>
    <w:p w:rsidR="009640B4" w:rsidRPr="005678D0" w:rsidRDefault="009640B4" w:rsidP="00AB1DCB">
      <w:pPr>
        <w:pStyle w:val="ListParagraph"/>
        <w:numPr>
          <w:ilvl w:val="0"/>
          <w:numId w:val="6"/>
        </w:numPr>
        <w:jc w:val="both"/>
        <w:rPr>
          <w:rFonts w:asciiTheme="minorHAnsi" w:hAnsiTheme="minorHAnsi"/>
          <w:bCs/>
          <w:lang w:val="sq-AL"/>
        </w:rPr>
      </w:pPr>
      <w:r w:rsidRPr="005678D0">
        <w:rPr>
          <w:rFonts w:asciiTheme="minorHAnsi" w:hAnsiTheme="minorHAnsi"/>
          <w:bCs/>
          <w:lang w:val="sq-AL"/>
        </w:rPr>
        <w:t>"F.V pajisje per sherbimin e kardiokirurgjise ne SU Shefqet Ndroqi Tirane" me vlerë 86 milionë lekë.</w:t>
      </w:r>
    </w:p>
    <w:p w:rsidR="009640B4" w:rsidRPr="005678D0" w:rsidRDefault="009640B4" w:rsidP="00AB1DCB">
      <w:pPr>
        <w:pStyle w:val="ListParagraph"/>
        <w:numPr>
          <w:ilvl w:val="0"/>
          <w:numId w:val="6"/>
        </w:numPr>
        <w:jc w:val="both"/>
        <w:rPr>
          <w:rFonts w:asciiTheme="minorHAnsi" w:hAnsiTheme="minorHAnsi"/>
          <w:lang w:val="sq-AL"/>
        </w:rPr>
      </w:pPr>
      <w:r w:rsidRPr="005678D0">
        <w:rPr>
          <w:rFonts w:asciiTheme="minorHAnsi" w:hAnsiTheme="minorHAnsi"/>
          <w:bCs/>
          <w:lang w:val="sq-AL"/>
        </w:rPr>
        <w:t>F.V aparat grafie dixhitale me panel detektues dhe me printer lazer për printimin e imazheve radiologjike në SU me vlerë 3.9 milionë lekë.</w:t>
      </w:r>
    </w:p>
    <w:p w:rsidR="009640B4" w:rsidRPr="005678D0" w:rsidRDefault="009640B4" w:rsidP="006F25E7">
      <w:pPr>
        <w:spacing w:line="276" w:lineRule="auto"/>
        <w:jc w:val="both"/>
        <w:rPr>
          <w:rFonts w:asciiTheme="minorHAnsi" w:hAnsiTheme="minorHAnsi"/>
          <w:b/>
          <w:lang w:val="sq-AL"/>
        </w:rPr>
      </w:pPr>
    </w:p>
    <w:p w:rsidR="009640B4" w:rsidRPr="005678D0" w:rsidRDefault="009640B4" w:rsidP="006F25E7">
      <w:pPr>
        <w:spacing w:line="276" w:lineRule="auto"/>
        <w:jc w:val="both"/>
        <w:rPr>
          <w:rFonts w:asciiTheme="minorHAnsi" w:hAnsiTheme="minorHAnsi"/>
          <w:b/>
          <w:lang w:val="sq-AL"/>
        </w:rPr>
      </w:pPr>
      <w:r w:rsidRPr="005678D0">
        <w:rPr>
          <w:rFonts w:asciiTheme="minorHAnsi" w:hAnsiTheme="minorHAnsi"/>
          <w:b/>
          <w:lang w:val="sq-AL"/>
        </w:rPr>
        <w:t>Ministria e Financave dhe Ekonomisë</w:t>
      </w:r>
    </w:p>
    <w:p w:rsidR="009640B4" w:rsidRPr="005678D0" w:rsidRDefault="009640B4" w:rsidP="006F25E7">
      <w:pPr>
        <w:spacing w:line="276" w:lineRule="auto"/>
        <w:jc w:val="both"/>
        <w:rPr>
          <w:rFonts w:asciiTheme="minorHAnsi" w:hAnsiTheme="minorHAnsi"/>
          <w:lang w:val="sq-AL"/>
        </w:rPr>
      </w:pPr>
      <w:r w:rsidRPr="005678D0">
        <w:rPr>
          <w:rFonts w:asciiTheme="minorHAnsi" w:hAnsiTheme="minorHAnsi"/>
          <w:lang w:val="sq-AL"/>
        </w:rPr>
        <w:t>Me fondet e alokuara për investime për vitin 2021, në Ministrinë e Financave dhe Ekonomisë janë mbyllur:</w:t>
      </w:r>
    </w:p>
    <w:p w:rsidR="009640B4" w:rsidRPr="005678D0" w:rsidRDefault="009640B4" w:rsidP="00AB1DCB">
      <w:pPr>
        <w:pStyle w:val="ListParagraph"/>
        <w:numPr>
          <w:ilvl w:val="0"/>
          <w:numId w:val="33"/>
        </w:numPr>
        <w:shd w:val="clear" w:color="auto" w:fill="FFFFFF"/>
        <w:rPr>
          <w:rFonts w:asciiTheme="minorHAnsi" w:hAnsiTheme="minorHAnsi"/>
          <w:lang w:val="sq-AL"/>
        </w:rPr>
      </w:pPr>
      <w:r w:rsidRPr="005678D0">
        <w:rPr>
          <w:rFonts w:asciiTheme="minorHAnsi" w:hAnsiTheme="minorHAnsi"/>
          <w:lang w:val="sq-AL"/>
        </w:rPr>
        <w:t>Blerje pajisje për disaster recovery center të sistemit të thesarit me vlerë kontrate 12.4 milionë lekë.</w:t>
      </w:r>
    </w:p>
    <w:p w:rsidR="009640B4" w:rsidRPr="005678D0" w:rsidRDefault="009640B4" w:rsidP="00AB1DCB">
      <w:pPr>
        <w:pStyle w:val="ListParagraph"/>
        <w:numPr>
          <w:ilvl w:val="0"/>
          <w:numId w:val="33"/>
        </w:numPr>
        <w:shd w:val="clear" w:color="auto" w:fill="FFFFFF"/>
        <w:rPr>
          <w:rFonts w:asciiTheme="minorHAnsi" w:hAnsiTheme="minorHAnsi"/>
          <w:lang w:val="sq-AL"/>
        </w:rPr>
      </w:pPr>
      <w:r w:rsidRPr="005678D0">
        <w:rPr>
          <w:rFonts w:asciiTheme="minorHAnsi" w:hAnsiTheme="minorHAnsi"/>
          <w:lang w:val="sq-AL"/>
        </w:rPr>
        <w:t>Rikonstruksion i shkollës së mesme profesionale 26 Marsi Kavajë me vlerë kontrate 147.9 milionë lekë.</w:t>
      </w:r>
    </w:p>
    <w:p w:rsidR="009640B4" w:rsidRPr="005678D0" w:rsidRDefault="009640B4" w:rsidP="00AB1DCB">
      <w:pPr>
        <w:pStyle w:val="ListParagraph"/>
        <w:numPr>
          <w:ilvl w:val="0"/>
          <w:numId w:val="33"/>
        </w:numPr>
        <w:shd w:val="clear" w:color="auto" w:fill="FFFFFF"/>
        <w:rPr>
          <w:rFonts w:asciiTheme="minorHAnsi" w:hAnsiTheme="minorHAnsi"/>
          <w:lang w:val="sq-AL"/>
        </w:rPr>
      </w:pPr>
      <w:r w:rsidRPr="005678D0">
        <w:rPr>
          <w:rFonts w:asciiTheme="minorHAnsi" w:hAnsiTheme="minorHAnsi"/>
          <w:lang w:val="sq-AL"/>
        </w:rPr>
        <w:t>Dixhitalizimi i shërbimeve Doganore me vlerë kontrate 62.5 milionë lekë.</w:t>
      </w:r>
    </w:p>
    <w:p w:rsidR="009640B4" w:rsidRPr="00AB1DCB" w:rsidRDefault="009640B4" w:rsidP="006F25E7">
      <w:pPr>
        <w:pStyle w:val="ListParagraph"/>
        <w:shd w:val="clear" w:color="auto" w:fill="FFFFFF"/>
        <w:spacing w:line="276" w:lineRule="auto"/>
        <w:rPr>
          <w:rFonts w:asciiTheme="minorHAnsi" w:hAnsiTheme="minorHAnsi"/>
          <w:sz w:val="8"/>
          <w:szCs w:val="8"/>
          <w:lang w:val="sq-AL"/>
        </w:rPr>
      </w:pPr>
    </w:p>
    <w:p w:rsidR="009640B4" w:rsidRPr="005678D0" w:rsidRDefault="009640B4" w:rsidP="006F25E7">
      <w:pPr>
        <w:shd w:val="clear" w:color="auto" w:fill="FFFFFF"/>
        <w:spacing w:line="276" w:lineRule="auto"/>
        <w:rPr>
          <w:rFonts w:asciiTheme="minorHAnsi" w:hAnsiTheme="minorHAnsi"/>
          <w:u w:val="single"/>
          <w:lang w:val="sq-AL"/>
        </w:rPr>
      </w:pPr>
      <w:r w:rsidRPr="005678D0">
        <w:rPr>
          <w:rFonts w:asciiTheme="minorHAnsi" w:hAnsiTheme="minorHAnsi"/>
          <w:u w:val="single"/>
          <w:lang w:val="sq-AL"/>
        </w:rPr>
        <w:t>Në programin “Strehimi”:</w:t>
      </w:r>
    </w:p>
    <w:p w:rsidR="009640B4" w:rsidRPr="005678D0" w:rsidRDefault="009640B4" w:rsidP="00AB1DCB">
      <w:pPr>
        <w:pStyle w:val="ListParagraph"/>
        <w:numPr>
          <w:ilvl w:val="0"/>
          <w:numId w:val="33"/>
        </w:numPr>
        <w:shd w:val="clear" w:color="auto" w:fill="FFFFFF"/>
        <w:jc w:val="both"/>
        <w:rPr>
          <w:rFonts w:asciiTheme="minorHAnsi" w:hAnsiTheme="minorHAnsi"/>
          <w:lang w:val="sq-AL"/>
        </w:rPr>
      </w:pPr>
      <w:r w:rsidRPr="005678D0">
        <w:rPr>
          <w:rFonts w:asciiTheme="minorHAnsi" w:hAnsiTheme="minorHAnsi"/>
          <w:lang w:val="sq-AL"/>
        </w:rPr>
        <w:t>Përmirësim i kushteve  të banimit për komunitetin e varfër dhe të pafavorizuar:  Bashkia Gramsh, Belsh, Berat, Maliq,Vlorë, Kamëz me vlerë 83 milionë lekë, nga e cila është financuar nga buxheti i shtetit 67.7 milionë lekë dhe pjesa tjeër nga Njësitë e Vetëqeverisjes Vendore.</w:t>
      </w:r>
    </w:p>
    <w:p w:rsidR="009640B4" w:rsidRPr="005678D0" w:rsidRDefault="009640B4" w:rsidP="006F25E7">
      <w:pPr>
        <w:shd w:val="clear" w:color="auto" w:fill="FFFFFF"/>
        <w:spacing w:line="276" w:lineRule="auto"/>
        <w:rPr>
          <w:rFonts w:asciiTheme="minorHAnsi" w:hAnsiTheme="minorHAnsi"/>
          <w:lang w:val="sq-AL"/>
        </w:rPr>
      </w:pPr>
    </w:p>
    <w:p w:rsidR="009640B4" w:rsidRPr="005678D0" w:rsidRDefault="009640B4" w:rsidP="006F25E7">
      <w:pPr>
        <w:shd w:val="clear" w:color="auto" w:fill="FFFFFF"/>
        <w:spacing w:line="276" w:lineRule="auto"/>
        <w:rPr>
          <w:rFonts w:asciiTheme="minorHAnsi" w:hAnsiTheme="minorHAnsi"/>
          <w:b/>
          <w:lang w:val="sq-AL"/>
        </w:rPr>
      </w:pPr>
      <w:r w:rsidRPr="005678D0">
        <w:rPr>
          <w:rFonts w:asciiTheme="minorHAnsi" w:hAnsiTheme="minorHAnsi"/>
          <w:color w:val="212121"/>
          <w:lang w:val="sq-AL" w:eastAsia="sq-AL"/>
        </w:rPr>
        <w:t> </w:t>
      </w:r>
      <w:r w:rsidRPr="005678D0">
        <w:rPr>
          <w:rFonts w:asciiTheme="minorHAnsi" w:hAnsiTheme="minorHAnsi"/>
          <w:b/>
          <w:lang w:val="sq-AL"/>
        </w:rPr>
        <w:t>Ministria e Brendshme</w:t>
      </w:r>
    </w:p>
    <w:p w:rsidR="009640B4" w:rsidRPr="005678D0" w:rsidRDefault="009640B4" w:rsidP="006F25E7">
      <w:pPr>
        <w:spacing w:line="276" w:lineRule="auto"/>
        <w:jc w:val="both"/>
        <w:rPr>
          <w:rFonts w:asciiTheme="minorHAnsi" w:hAnsiTheme="minorHAnsi"/>
          <w:lang w:val="sq-AL"/>
        </w:rPr>
      </w:pPr>
      <w:r w:rsidRPr="005678D0">
        <w:rPr>
          <w:rFonts w:asciiTheme="minorHAnsi" w:hAnsiTheme="minorHAnsi"/>
          <w:lang w:val="sq-AL"/>
        </w:rPr>
        <w:t>Me fondet e alokuara për investime për vitin 2021, është mbyllur  kontrata :</w:t>
      </w:r>
    </w:p>
    <w:p w:rsidR="009640B4" w:rsidRPr="005678D0" w:rsidRDefault="009640B4" w:rsidP="007F0B61">
      <w:pPr>
        <w:pStyle w:val="ListParagraph"/>
        <w:numPr>
          <w:ilvl w:val="0"/>
          <w:numId w:val="33"/>
        </w:numPr>
        <w:spacing w:line="276" w:lineRule="auto"/>
        <w:jc w:val="both"/>
        <w:rPr>
          <w:rFonts w:asciiTheme="minorHAnsi" w:hAnsiTheme="minorHAnsi"/>
          <w:b/>
          <w:lang w:val="sq-AL"/>
        </w:rPr>
      </w:pPr>
      <w:r w:rsidRPr="005678D0">
        <w:rPr>
          <w:rFonts w:asciiTheme="minorHAnsi" w:hAnsiTheme="minorHAnsi"/>
          <w:lang w:val="sq-AL"/>
        </w:rPr>
        <w:t>Ndërtimi datacenter për sistemet e policise shtetit- Salla e servave me vlerë 127 milionë lekë.</w:t>
      </w:r>
    </w:p>
    <w:p w:rsidR="009640B4" w:rsidRPr="005678D0" w:rsidRDefault="009640B4" w:rsidP="006F25E7">
      <w:pPr>
        <w:spacing w:line="276" w:lineRule="auto"/>
        <w:jc w:val="both"/>
        <w:rPr>
          <w:rFonts w:asciiTheme="minorHAnsi" w:hAnsiTheme="minorHAnsi"/>
          <w:b/>
          <w:lang w:val="sq-AL"/>
        </w:rPr>
      </w:pPr>
    </w:p>
    <w:p w:rsidR="00E22258" w:rsidRDefault="00E22258" w:rsidP="006F25E7">
      <w:pPr>
        <w:spacing w:line="276" w:lineRule="auto"/>
        <w:jc w:val="both"/>
        <w:rPr>
          <w:rFonts w:asciiTheme="minorHAnsi" w:hAnsiTheme="minorHAnsi"/>
          <w:b/>
          <w:lang w:val="sq-AL"/>
        </w:rPr>
      </w:pPr>
    </w:p>
    <w:p w:rsidR="009640B4" w:rsidRPr="005678D0" w:rsidRDefault="009640B4" w:rsidP="006F25E7">
      <w:pPr>
        <w:spacing w:line="276" w:lineRule="auto"/>
        <w:jc w:val="both"/>
        <w:rPr>
          <w:rFonts w:asciiTheme="minorHAnsi" w:hAnsiTheme="minorHAnsi"/>
          <w:b/>
          <w:lang w:val="sq-AL"/>
        </w:rPr>
      </w:pPr>
      <w:r w:rsidRPr="005678D0">
        <w:rPr>
          <w:rFonts w:asciiTheme="minorHAnsi" w:hAnsiTheme="minorHAnsi"/>
          <w:b/>
          <w:lang w:val="sq-AL"/>
        </w:rPr>
        <w:lastRenderedPageBreak/>
        <w:t>Ministria e Drejtësisë</w:t>
      </w:r>
    </w:p>
    <w:p w:rsidR="009640B4" w:rsidRPr="005678D0" w:rsidRDefault="009640B4" w:rsidP="007F0B61">
      <w:pPr>
        <w:numPr>
          <w:ilvl w:val="0"/>
          <w:numId w:val="6"/>
        </w:numPr>
        <w:spacing w:line="276" w:lineRule="auto"/>
        <w:jc w:val="both"/>
        <w:rPr>
          <w:rFonts w:asciiTheme="minorHAnsi" w:hAnsiTheme="minorHAnsi"/>
          <w:lang w:val="sq-AL"/>
        </w:rPr>
      </w:pPr>
      <w:r w:rsidRPr="005678D0">
        <w:rPr>
          <w:rFonts w:asciiTheme="minorHAnsi" w:hAnsiTheme="minorHAnsi"/>
          <w:lang w:val="sq-AL"/>
        </w:rPr>
        <w:t>Studime Projektime për projektin Përmirësimi i infrastukturës ndërtimore në IEVP 11 me vlerë 3 milionë lekë.</w:t>
      </w:r>
    </w:p>
    <w:p w:rsidR="009640B4" w:rsidRPr="005678D0" w:rsidRDefault="009640B4" w:rsidP="006F25E7">
      <w:pPr>
        <w:spacing w:line="276" w:lineRule="auto"/>
        <w:jc w:val="both"/>
        <w:rPr>
          <w:rFonts w:asciiTheme="minorHAnsi" w:hAnsiTheme="minorHAnsi"/>
          <w:color w:val="000000"/>
          <w:lang w:val="sq-AL"/>
        </w:rPr>
      </w:pPr>
    </w:p>
    <w:p w:rsidR="009640B4" w:rsidRPr="005678D0" w:rsidRDefault="009640B4" w:rsidP="006F25E7">
      <w:pPr>
        <w:spacing w:line="276" w:lineRule="auto"/>
        <w:jc w:val="both"/>
        <w:rPr>
          <w:rFonts w:asciiTheme="minorHAnsi" w:hAnsiTheme="minorHAnsi"/>
          <w:b/>
          <w:lang w:val="sq-AL"/>
        </w:rPr>
      </w:pPr>
      <w:r w:rsidRPr="005678D0">
        <w:rPr>
          <w:rFonts w:asciiTheme="minorHAnsi" w:hAnsiTheme="minorHAnsi"/>
          <w:b/>
          <w:lang w:val="sq-AL"/>
        </w:rPr>
        <w:t>Ministria e Mbrojtjes</w:t>
      </w:r>
    </w:p>
    <w:p w:rsidR="009640B4" w:rsidRPr="005678D0" w:rsidRDefault="009640B4" w:rsidP="007F0B61">
      <w:pPr>
        <w:numPr>
          <w:ilvl w:val="0"/>
          <w:numId w:val="6"/>
        </w:numPr>
        <w:spacing w:line="276" w:lineRule="auto"/>
        <w:jc w:val="both"/>
        <w:rPr>
          <w:rFonts w:asciiTheme="minorHAnsi" w:hAnsiTheme="minorHAnsi"/>
          <w:lang w:val="sq-AL"/>
        </w:rPr>
      </w:pPr>
      <w:r w:rsidRPr="005678D0">
        <w:rPr>
          <w:rFonts w:asciiTheme="minorHAnsi" w:hAnsiTheme="minorHAnsi"/>
          <w:lang w:val="sq-AL"/>
        </w:rPr>
        <w:t>Hangare për helikopterët Farkë me vlerë 35 milionë lekë.</w:t>
      </w:r>
    </w:p>
    <w:p w:rsidR="009640B4" w:rsidRPr="005678D0" w:rsidRDefault="009640B4" w:rsidP="007F0B61">
      <w:pPr>
        <w:numPr>
          <w:ilvl w:val="0"/>
          <w:numId w:val="6"/>
        </w:numPr>
        <w:spacing w:line="276" w:lineRule="auto"/>
        <w:jc w:val="both"/>
        <w:rPr>
          <w:rFonts w:asciiTheme="minorHAnsi" w:hAnsiTheme="minorHAnsi"/>
          <w:lang w:val="sq-AL"/>
        </w:rPr>
      </w:pPr>
      <w:r w:rsidRPr="005678D0">
        <w:rPr>
          <w:rFonts w:asciiTheme="minorHAnsi" w:hAnsiTheme="minorHAnsi"/>
          <w:lang w:val="sq-AL"/>
        </w:rPr>
        <w:t>Sistemi i kapaciteteve operacionale për mbrojtjen kibernetike (CIRIC) dhe pamjes së përbashkët operacionale me vlerë 40 milionë lekë.</w:t>
      </w:r>
    </w:p>
    <w:p w:rsidR="009640B4" w:rsidRPr="005678D0" w:rsidRDefault="009640B4" w:rsidP="006F25E7">
      <w:pPr>
        <w:spacing w:line="276" w:lineRule="auto"/>
        <w:jc w:val="both"/>
        <w:rPr>
          <w:rFonts w:asciiTheme="minorHAnsi" w:hAnsiTheme="minorHAnsi"/>
          <w:lang w:val="sq-AL"/>
        </w:rPr>
      </w:pPr>
    </w:p>
    <w:p w:rsidR="009640B4" w:rsidRPr="005678D0" w:rsidRDefault="009640B4" w:rsidP="006F25E7">
      <w:pPr>
        <w:spacing w:line="276" w:lineRule="auto"/>
        <w:jc w:val="both"/>
        <w:rPr>
          <w:rFonts w:asciiTheme="minorHAnsi" w:hAnsiTheme="minorHAnsi"/>
          <w:b/>
          <w:lang w:val="sq-AL"/>
        </w:rPr>
      </w:pPr>
      <w:r w:rsidRPr="005678D0">
        <w:rPr>
          <w:rFonts w:asciiTheme="minorHAnsi" w:hAnsiTheme="minorHAnsi"/>
          <w:b/>
          <w:lang w:val="sq-AL"/>
        </w:rPr>
        <w:t>Në mbështetje të Reformës në Drejtësi:</w:t>
      </w:r>
    </w:p>
    <w:p w:rsidR="00AB1DCB" w:rsidRPr="005678D0" w:rsidRDefault="00AB1DCB" w:rsidP="00AB1DCB">
      <w:pPr>
        <w:numPr>
          <w:ilvl w:val="0"/>
          <w:numId w:val="6"/>
        </w:numPr>
        <w:spacing w:line="276" w:lineRule="auto"/>
        <w:jc w:val="both"/>
        <w:rPr>
          <w:rFonts w:asciiTheme="minorHAnsi" w:hAnsiTheme="minorHAnsi"/>
          <w:lang w:val="sq-AL"/>
        </w:rPr>
      </w:pPr>
      <w:r w:rsidRPr="005678D0">
        <w:rPr>
          <w:rFonts w:asciiTheme="minorHAnsi" w:hAnsiTheme="minorHAnsi"/>
          <w:lang w:val="sq-AL"/>
        </w:rPr>
        <w:t>Për vitin 2021 janë planifikuar 200 milionë lekë investime për Këshillin e Lartë i Gjyqësor, për pajisje informatike, automjete dhe blerje sistem audio, video dhe përkthim simultan për nevoja të Këshillit të Lartë të Prokurorisë.</w:t>
      </w:r>
    </w:p>
    <w:p w:rsidR="009640B4" w:rsidRPr="005678D0" w:rsidRDefault="009640B4" w:rsidP="007F0B61">
      <w:pPr>
        <w:numPr>
          <w:ilvl w:val="0"/>
          <w:numId w:val="6"/>
        </w:numPr>
        <w:spacing w:line="276" w:lineRule="auto"/>
        <w:jc w:val="both"/>
        <w:rPr>
          <w:rFonts w:asciiTheme="minorHAnsi" w:hAnsiTheme="minorHAnsi"/>
          <w:lang w:val="sq-AL"/>
        </w:rPr>
      </w:pPr>
      <w:r w:rsidRPr="005678D0">
        <w:rPr>
          <w:rFonts w:asciiTheme="minorHAnsi" w:hAnsiTheme="minorHAnsi"/>
          <w:lang w:val="sq-AL"/>
        </w:rPr>
        <w:t>Për vitin 2021 janë planifikuar 30 milionë lekë investime për blerje automjetesh, dhe paisjesh të tjera për zyrat e SPAK dhe BKH.</w:t>
      </w:r>
    </w:p>
    <w:p w:rsidR="009640B4" w:rsidRPr="005678D0" w:rsidRDefault="009640B4" w:rsidP="007F0B61">
      <w:pPr>
        <w:numPr>
          <w:ilvl w:val="0"/>
          <w:numId w:val="6"/>
        </w:numPr>
        <w:spacing w:line="276" w:lineRule="auto"/>
        <w:jc w:val="both"/>
        <w:rPr>
          <w:rFonts w:asciiTheme="minorHAnsi" w:hAnsiTheme="minorHAnsi"/>
          <w:lang w:val="sq-AL"/>
        </w:rPr>
      </w:pPr>
      <w:r w:rsidRPr="005678D0">
        <w:rPr>
          <w:rFonts w:asciiTheme="minorHAnsi" w:hAnsiTheme="minorHAnsi"/>
          <w:lang w:val="sq-AL"/>
        </w:rPr>
        <w:t>Janë planifikuar 69 milionë lekë investime për Veprimtarinë e Mbikqyrjes dhe Rivlerësimit në Sistemin e Drejtesisë, për blerje pajisje, rikonstruksione, automjet, për ILD, KPK,KPA dhe Komisionerin Publik.</w:t>
      </w:r>
    </w:p>
    <w:p w:rsidR="005A1363" w:rsidRPr="0065598A" w:rsidRDefault="005A1363" w:rsidP="00A067C6">
      <w:pPr>
        <w:spacing w:line="276" w:lineRule="auto"/>
        <w:jc w:val="both"/>
        <w:rPr>
          <w:rFonts w:asciiTheme="minorHAnsi" w:hAnsiTheme="minorHAnsi"/>
          <w:color w:val="000000"/>
          <w:lang w:val="sq-AL"/>
        </w:rPr>
      </w:pPr>
    </w:p>
    <w:p w:rsidR="00E22258" w:rsidRDefault="00E22258" w:rsidP="00A067C6">
      <w:pPr>
        <w:spacing w:line="276" w:lineRule="auto"/>
        <w:jc w:val="both"/>
        <w:rPr>
          <w:rFonts w:asciiTheme="minorHAnsi" w:hAnsiTheme="minorHAnsi"/>
          <w:color w:val="000000"/>
          <w:lang w:val="sq-AL"/>
        </w:rPr>
      </w:pPr>
    </w:p>
    <w:p w:rsidR="00E22258" w:rsidRDefault="00E22258" w:rsidP="00A067C6">
      <w:pPr>
        <w:spacing w:line="276" w:lineRule="auto"/>
        <w:jc w:val="both"/>
        <w:rPr>
          <w:rFonts w:asciiTheme="minorHAnsi" w:hAnsiTheme="minorHAnsi"/>
          <w:color w:val="000000"/>
          <w:lang w:val="sq-AL"/>
        </w:rPr>
      </w:pPr>
    </w:p>
    <w:p w:rsidR="00E22258" w:rsidRDefault="00E22258" w:rsidP="00A067C6">
      <w:pPr>
        <w:spacing w:line="276" w:lineRule="auto"/>
        <w:jc w:val="both"/>
        <w:rPr>
          <w:rFonts w:asciiTheme="minorHAnsi" w:hAnsiTheme="minorHAnsi"/>
          <w:color w:val="000000"/>
          <w:lang w:val="sq-AL"/>
        </w:rPr>
      </w:pPr>
    </w:p>
    <w:p w:rsidR="00593E6C" w:rsidRPr="0065598A" w:rsidRDefault="00593E6C" w:rsidP="000A1A4D">
      <w:pPr>
        <w:spacing w:line="276" w:lineRule="auto"/>
        <w:jc w:val="both"/>
        <w:rPr>
          <w:rFonts w:asciiTheme="minorHAnsi" w:hAnsiTheme="minorHAnsi"/>
          <w:sz w:val="8"/>
          <w:lang w:val="sq-AL"/>
        </w:rPr>
      </w:pPr>
    </w:p>
    <w:p w:rsidR="00673BAA" w:rsidRPr="0065598A" w:rsidRDefault="00932C1C" w:rsidP="00932C1C">
      <w:pPr>
        <w:spacing w:line="276" w:lineRule="auto"/>
        <w:ind w:left="3060"/>
        <w:jc w:val="both"/>
        <w:rPr>
          <w:rFonts w:asciiTheme="minorHAnsi" w:hAnsiTheme="minorHAnsi"/>
          <w:b/>
          <w:bCs/>
          <w:sz w:val="32"/>
          <w:lang w:val="sq-AL"/>
        </w:rPr>
      </w:pPr>
      <w:r w:rsidRPr="0065598A">
        <w:rPr>
          <w:rFonts w:asciiTheme="minorHAnsi" w:hAnsiTheme="minorHAnsi"/>
          <w:b/>
          <w:lang w:val="sq-AL"/>
        </w:rPr>
        <w:tab/>
      </w:r>
      <w:r w:rsidR="004335A3" w:rsidRPr="0065598A">
        <w:rPr>
          <w:rFonts w:asciiTheme="minorHAnsi" w:hAnsiTheme="minorHAnsi"/>
          <w:b/>
          <w:bCs/>
          <w:sz w:val="32"/>
          <w:lang w:val="sq-AL"/>
        </w:rPr>
        <w:t>M</w:t>
      </w:r>
      <w:r w:rsidR="00673BAA" w:rsidRPr="0065598A">
        <w:rPr>
          <w:rFonts w:asciiTheme="minorHAnsi" w:hAnsiTheme="minorHAnsi"/>
          <w:b/>
          <w:bCs/>
          <w:sz w:val="32"/>
          <w:lang w:val="sq-AL"/>
        </w:rPr>
        <w:t xml:space="preserve">INISTRI </w:t>
      </w:r>
      <w:r w:rsidR="007A31D6" w:rsidRPr="0065598A">
        <w:rPr>
          <w:rFonts w:asciiTheme="minorHAnsi" w:hAnsiTheme="minorHAnsi"/>
          <w:b/>
          <w:bCs/>
          <w:sz w:val="32"/>
          <w:lang w:val="sq-AL"/>
        </w:rPr>
        <w:t xml:space="preserve">I </w:t>
      </w:r>
      <w:r w:rsidR="00673BAA" w:rsidRPr="0065598A">
        <w:rPr>
          <w:rFonts w:asciiTheme="minorHAnsi" w:hAnsiTheme="minorHAnsi"/>
          <w:b/>
          <w:bCs/>
          <w:sz w:val="32"/>
          <w:lang w:val="sq-AL"/>
        </w:rPr>
        <w:t>FINANCAVE</w:t>
      </w:r>
      <w:r w:rsidRPr="0065598A">
        <w:rPr>
          <w:rFonts w:asciiTheme="minorHAnsi" w:hAnsiTheme="minorHAnsi"/>
          <w:b/>
          <w:bCs/>
          <w:sz w:val="32"/>
          <w:lang w:val="sq-AL"/>
        </w:rPr>
        <w:t xml:space="preserve"> DHE EKONOMISË</w:t>
      </w:r>
    </w:p>
    <w:p w:rsidR="00593E6C" w:rsidRPr="0065598A" w:rsidRDefault="00593E6C" w:rsidP="000A1A4D">
      <w:pPr>
        <w:spacing w:line="276" w:lineRule="auto"/>
        <w:ind w:left="5040"/>
        <w:jc w:val="both"/>
        <w:rPr>
          <w:rFonts w:asciiTheme="minorHAnsi" w:hAnsiTheme="minorHAnsi"/>
          <w:b/>
          <w:bCs/>
          <w:lang w:val="sq-AL"/>
        </w:rPr>
      </w:pPr>
    </w:p>
    <w:p w:rsidR="00673BAA" w:rsidRPr="0065598A" w:rsidRDefault="00932C1C" w:rsidP="00932C1C">
      <w:pPr>
        <w:spacing w:line="276" w:lineRule="auto"/>
        <w:ind w:left="2880" w:firstLine="720"/>
        <w:jc w:val="both"/>
        <w:rPr>
          <w:rFonts w:asciiTheme="minorHAnsi" w:hAnsiTheme="minorHAnsi"/>
          <w:lang w:val="sq-AL"/>
        </w:rPr>
      </w:pPr>
      <w:r w:rsidRPr="0065598A">
        <w:rPr>
          <w:rFonts w:asciiTheme="minorHAnsi" w:hAnsiTheme="minorHAnsi"/>
          <w:lang w:val="sq-AL"/>
        </w:rPr>
        <w:t>_________________</w:t>
      </w:r>
      <w:r w:rsidR="00673BAA" w:rsidRPr="0065598A">
        <w:rPr>
          <w:rFonts w:asciiTheme="minorHAnsi" w:hAnsiTheme="minorHAnsi"/>
          <w:lang w:val="sq-AL"/>
        </w:rPr>
        <w:t>_____________________________</w:t>
      </w:r>
    </w:p>
    <w:p w:rsidR="00673BAA" w:rsidRPr="0065598A" w:rsidRDefault="000A1A4D" w:rsidP="000A1A4D">
      <w:pPr>
        <w:spacing w:line="276" w:lineRule="auto"/>
        <w:ind w:left="4320" w:firstLine="720"/>
        <w:jc w:val="both"/>
        <w:rPr>
          <w:rFonts w:asciiTheme="minorHAnsi" w:hAnsiTheme="minorHAnsi"/>
          <w:b/>
          <w:sz w:val="32"/>
          <w:lang w:val="sq-AL"/>
        </w:rPr>
      </w:pPr>
      <w:r w:rsidRPr="0065598A">
        <w:rPr>
          <w:rFonts w:asciiTheme="minorHAnsi" w:hAnsiTheme="minorHAnsi"/>
          <w:b/>
          <w:sz w:val="32"/>
          <w:lang w:val="sq-AL"/>
        </w:rPr>
        <w:t xml:space="preserve">  </w:t>
      </w:r>
      <w:r w:rsidR="00E87B91" w:rsidRPr="0065598A">
        <w:rPr>
          <w:rFonts w:asciiTheme="minorHAnsi" w:hAnsiTheme="minorHAnsi"/>
          <w:b/>
          <w:sz w:val="32"/>
          <w:lang w:val="sq-AL"/>
        </w:rPr>
        <w:t xml:space="preserve">    Anila DENAJ</w:t>
      </w:r>
    </w:p>
    <w:p w:rsidR="002460BC" w:rsidRPr="0065598A" w:rsidRDefault="002460BC" w:rsidP="002460BC">
      <w:pPr>
        <w:pStyle w:val="NoSpacing"/>
        <w:rPr>
          <w:rFonts w:ascii="Times New Roman" w:hAnsi="Times New Roman"/>
          <w:i/>
          <w:sz w:val="18"/>
          <w:szCs w:val="18"/>
          <w:lang w:val="sq-AL"/>
        </w:rPr>
      </w:pPr>
    </w:p>
    <w:p w:rsidR="004335A3" w:rsidRPr="0065598A" w:rsidRDefault="004335A3" w:rsidP="002460BC">
      <w:pPr>
        <w:pStyle w:val="NoSpacing"/>
        <w:rPr>
          <w:rFonts w:ascii="Times New Roman" w:hAnsi="Times New Roman"/>
          <w:i/>
          <w:sz w:val="18"/>
          <w:szCs w:val="18"/>
          <w:lang w:val="sq-AL"/>
        </w:rPr>
      </w:pPr>
    </w:p>
    <w:p w:rsidR="00EF2C4D" w:rsidRDefault="00EF2C4D" w:rsidP="002460BC">
      <w:pPr>
        <w:pStyle w:val="NoSpacing"/>
        <w:rPr>
          <w:rFonts w:ascii="Times New Roman" w:hAnsi="Times New Roman"/>
          <w:i/>
          <w:sz w:val="18"/>
          <w:szCs w:val="18"/>
          <w:lang w:val="sq-AL"/>
        </w:rPr>
      </w:pPr>
    </w:p>
    <w:p w:rsidR="00EF2C4D" w:rsidRDefault="00EF2C4D" w:rsidP="002460BC">
      <w:pPr>
        <w:pStyle w:val="NoSpacing"/>
        <w:rPr>
          <w:rFonts w:ascii="Times New Roman" w:hAnsi="Times New Roman"/>
          <w:i/>
          <w:sz w:val="18"/>
          <w:szCs w:val="18"/>
          <w:lang w:val="sq-AL"/>
        </w:rPr>
      </w:pPr>
    </w:p>
    <w:p w:rsidR="00742C7E" w:rsidRDefault="00742C7E" w:rsidP="002460BC">
      <w:pPr>
        <w:pStyle w:val="NoSpacing"/>
        <w:rPr>
          <w:rFonts w:ascii="Times New Roman" w:hAnsi="Times New Roman"/>
          <w:i/>
          <w:sz w:val="18"/>
          <w:szCs w:val="18"/>
          <w:lang w:val="sq-AL"/>
        </w:rPr>
      </w:pPr>
    </w:p>
    <w:p w:rsidR="00742C7E" w:rsidRDefault="00742C7E" w:rsidP="002460BC">
      <w:pPr>
        <w:pStyle w:val="NoSpacing"/>
        <w:rPr>
          <w:rFonts w:ascii="Times New Roman" w:hAnsi="Times New Roman"/>
          <w:i/>
          <w:sz w:val="18"/>
          <w:szCs w:val="18"/>
          <w:lang w:val="sq-AL"/>
        </w:rPr>
      </w:pPr>
    </w:p>
    <w:p w:rsidR="00742C7E" w:rsidRDefault="00742C7E" w:rsidP="002460BC">
      <w:pPr>
        <w:pStyle w:val="NoSpacing"/>
        <w:rPr>
          <w:rFonts w:ascii="Times New Roman" w:hAnsi="Times New Roman"/>
          <w:i/>
          <w:sz w:val="18"/>
          <w:szCs w:val="18"/>
          <w:lang w:val="sq-AL"/>
        </w:rPr>
      </w:pPr>
    </w:p>
    <w:p w:rsidR="00742C7E" w:rsidRDefault="00742C7E" w:rsidP="002460BC">
      <w:pPr>
        <w:pStyle w:val="NoSpacing"/>
        <w:rPr>
          <w:rFonts w:ascii="Times New Roman" w:hAnsi="Times New Roman"/>
          <w:i/>
          <w:sz w:val="18"/>
          <w:szCs w:val="18"/>
          <w:lang w:val="sq-AL"/>
        </w:rPr>
      </w:pPr>
    </w:p>
    <w:p w:rsidR="00742C7E" w:rsidRDefault="00742C7E" w:rsidP="002460BC">
      <w:pPr>
        <w:pStyle w:val="NoSpacing"/>
        <w:rPr>
          <w:rFonts w:ascii="Times New Roman" w:hAnsi="Times New Roman"/>
          <w:i/>
          <w:sz w:val="18"/>
          <w:szCs w:val="18"/>
          <w:lang w:val="sq-AL"/>
        </w:rPr>
      </w:pPr>
    </w:p>
    <w:p w:rsidR="00EF2C4D" w:rsidRDefault="00EF2C4D" w:rsidP="002460BC">
      <w:pPr>
        <w:pStyle w:val="NoSpacing"/>
        <w:rPr>
          <w:rFonts w:ascii="Times New Roman" w:hAnsi="Times New Roman"/>
          <w:i/>
          <w:sz w:val="18"/>
          <w:szCs w:val="18"/>
          <w:lang w:val="sq-AL"/>
        </w:rPr>
      </w:pPr>
    </w:p>
    <w:p w:rsidR="00EF2C4D" w:rsidRDefault="00EF2C4D" w:rsidP="002460BC">
      <w:pPr>
        <w:pStyle w:val="NoSpacing"/>
        <w:rPr>
          <w:rFonts w:ascii="Times New Roman" w:hAnsi="Times New Roman"/>
          <w:i/>
          <w:sz w:val="18"/>
          <w:szCs w:val="18"/>
          <w:lang w:val="sq-AL"/>
        </w:rPr>
      </w:pPr>
    </w:p>
    <w:p w:rsidR="00EF2C4D" w:rsidRDefault="00EF2C4D" w:rsidP="002460BC">
      <w:pPr>
        <w:pStyle w:val="NoSpacing"/>
        <w:rPr>
          <w:rFonts w:ascii="Times New Roman" w:hAnsi="Times New Roman"/>
          <w:i/>
          <w:sz w:val="18"/>
          <w:szCs w:val="18"/>
          <w:lang w:val="sq-AL"/>
        </w:rPr>
      </w:pPr>
    </w:p>
    <w:p w:rsidR="002460BC" w:rsidRPr="00C342E2" w:rsidRDefault="007A31D6" w:rsidP="002460BC">
      <w:pPr>
        <w:pStyle w:val="NoSpacing"/>
        <w:rPr>
          <w:rFonts w:ascii="Times New Roman" w:hAnsi="Times New Roman"/>
          <w:i/>
          <w:sz w:val="18"/>
          <w:szCs w:val="18"/>
          <w:lang w:val="sq-AL"/>
        </w:rPr>
      </w:pPr>
      <w:r w:rsidRPr="00C342E2">
        <w:rPr>
          <w:rFonts w:ascii="Times New Roman" w:hAnsi="Times New Roman"/>
          <w:i/>
          <w:sz w:val="18"/>
          <w:szCs w:val="18"/>
          <w:lang w:val="sq-AL"/>
        </w:rPr>
        <w:t>Konfirmoi:</w:t>
      </w:r>
      <w:r w:rsidRPr="00C342E2">
        <w:rPr>
          <w:rFonts w:ascii="Times New Roman" w:hAnsi="Times New Roman"/>
          <w:i/>
          <w:sz w:val="18"/>
          <w:szCs w:val="18"/>
          <w:lang w:val="sq-AL"/>
        </w:rPr>
        <w:tab/>
        <w:t>Xh.Agolli, E.Lami</w:t>
      </w:r>
      <w:r w:rsidR="00AD3B61" w:rsidRPr="00C342E2">
        <w:rPr>
          <w:rFonts w:ascii="Times New Roman" w:hAnsi="Times New Roman"/>
          <w:i/>
          <w:sz w:val="18"/>
          <w:szCs w:val="18"/>
          <w:lang w:val="sq-AL"/>
        </w:rPr>
        <w:t xml:space="preserve">, </w:t>
      </w:r>
      <w:r w:rsidR="00365407">
        <w:rPr>
          <w:rFonts w:ascii="Times New Roman" w:hAnsi="Times New Roman"/>
          <w:i/>
          <w:sz w:val="18"/>
          <w:szCs w:val="18"/>
          <w:lang w:val="sq-AL"/>
        </w:rPr>
        <w:t>B.Jazxhi, B.Mehmeti, F.Brahimi, S.</w:t>
      </w:r>
      <w:r w:rsidR="00AD3B61" w:rsidRPr="00C342E2">
        <w:rPr>
          <w:rFonts w:ascii="Times New Roman" w:hAnsi="Times New Roman"/>
          <w:i/>
          <w:sz w:val="18"/>
          <w:szCs w:val="18"/>
          <w:lang w:val="sq-AL"/>
        </w:rPr>
        <w:t>Stefa</w:t>
      </w:r>
    </w:p>
    <w:p w:rsidR="002460BC" w:rsidRPr="00C342E2" w:rsidRDefault="00176D77" w:rsidP="002460BC">
      <w:pPr>
        <w:pStyle w:val="NoSpacing"/>
        <w:rPr>
          <w:rFonts w:ascii="Times New Roman" w:hAnsi="Times New Roman"/>
          <w:i/>
          <w:sz w:val="18"/>
          <w:szCs w:val="18"/>
          <w:lang w:val="sq-AL"/>
        </w:rPr>
      </w:pPr>
      <w:r w:rsidRPr="00C342E2">
        <w:rPr>
          <w:rFonts w:ascii="Times New Roman" w:hAnsi="Times New Roman"/>
          <w:i/>
          <w:sz w:val="18"/>
          <w:szCs w:val="18"/>
          <w:lang w:val="sq-AL"/>
        </w:rPr>
        <w:t>Konfirmo</w:t>
      </w:r>
      <w:r w:rsidR="002460BC" w:rsidRPr="00C342E2">
        <w:rPr>
          <w:rFonts w:ascii="Times New Roman" w:hAnsi="Times New Roman"/>
          <w:i/>
          <w:sz w:val="18"/>
          <w:szCs w:val="18"/>
          <w:lang w:val="sq-AL"/>
        </w:rPr>
        <w:t xml:space="preserve">i: </w:t>
      </w:r>
      <w:r w:rsidR="007A31D6" w:rsidRPr="00C342E2">
        <w:rPr>
          <w:rFonts w:ascii="Times New Roman" w:hAnsi="Times New Roman"/>
          <w:i/>
          <w:sz w:val="18"/>
          <w:szCs w:val="18"/>
          <w:lang w:val="sq-AL"/>
        </w:rPr>
        <w:tab/>
        <w:t>M.Dh</w:t>
      </w:r>
      <w:r w:rsidR="00317905" w:rsidRPr="00C342E2">
        <w:rPr>
          <w:rFonts w:ascii="Times New Roman" w:hAnsi="Times New Roman"/>
          <w:i/>
          <w:sz w:val="18"/>
          <w:szCs w:val="18"/>
          <w:lang w:val="sq-AL"/>
        </w:rPr>
        <w:t>ë</w:t>
      </w:r>
      <w:r w:rsidR="00365407">
        <w:rPr>
          <w:rFonts w:ascii="Times New Roman" w:hAnsi="Times New Roman"/>
          <w:i/>
          <w:sz w:val="18"/>
          <w:szCs w:val="18"/>
          <w:lang w:val="sq-AL"/>
        </w:rPr>
        <w:t>mbi, N.</w:t>
      </w:r>
      <w:r w:rsidR="007A31D6" w:rsidRPr="00C342E2">
        <w:rPr>
          <w:rFonts w:ascii="Times New Roman" w:hAnsi="Times New Roman"/>
          <w:i/>
          <w:sz w:val="18"/>
          <w:szCs w:val="18"/>
          <w:lang w:val="sq-AL"/>
        </w:rPr>
        <w:t>Lera</w:t>
      </w:r>
      <w:r w:rsidR="00652093" w:rsidRPr="00C342E2">
        <w:rPr>
          <w:rFonts w:ascii="Times New Roman" w:hAnsi="Times New Roman"/>
          <w:i/>
          <w:sz w:val="18"/>
          <w:szCs w:val="18"/>
          <w:lang w:val="sq-AL"/>
        </w:rPr>
        <w:t xml:space="preserve">, </w:t>
      </w:r>
    </w:p>
    <w:p w:rsidR="002460BC" w:rsidRPr="00C342E2" w:rsidRDefault="007A31D6" w:rsidP="002460BC">
      <w:pPr>
        <w:pStyle w:val="NoSpacing"/>
        <w:rPr>
          <w:rFonts w:ascii="Times New Roman" w:hAnsi="Times New Roman"/>
          <w:i/>
          <w:sz w:val="18"/>
          <w:szCs w:val="18"/>
          <w:lang w:val="sq-AL"/>
        </w:rPr>
      </w:pPr>
      <w:r w:rsidRPr="00C342E2">
        <w:rPr>
          <w:rFonts w:ascii="Times New Roman" w:hAnsi="Times New Roman"/>
          <w:i/>
          <w:sz w:val="18"/>
          <w:szCs w:val="18"/>
          <w:lang w:val="sq-AL"/>
        </w:rPr>
        <w:t>M</w:t>
      </w:r>
      <w:r w:rsidR="002460BC" w:rsidRPr="00C342E2">
        <w:rPr>
          <w:rFonts w:ascii="Times New Roman" w:hAnsi="Times New Roman"/>
          <w:i/>
          <w:sz w:val="18"/>
          <w:szCs w:val="18"/>
          <w:lang w:val="sq-AL"/>
        </w:rPr>
        <w:t xml:space="preserve">iratoi: </w:t>
      </w:r>
      <w:r w:rsidR="002460BC" w:rsidRPr="00C342E2">
        <w:rPr>
          <w:rFonts w:ascii="Times New Roman" w:hAnsi="Times New Roman"/>
          <w:i/>
          <w:sz w:val="18"/>
          <w:szCs w:val="18"/>
          <w:lang w:val="sq-AL"/>
        </w:rPr>
        <w:tab/>
      </w:r>
      <w:r w:rsidRPr="00C342E2">
        <w:rPr>
          <w:rFonts w:ascii="Times New Roman" w:hAnsi="Times New Roman"/>
          <w:i/>
          <w:sz w:val="18"/>
          <w:szCs w:val="18"/>
          <w:lang w:val="sq-AL"/>
        </w:rPr>
        <w:tab/>
      </w:r>
      <w:r w:rsidR="00365407">
        <w:rPr>
          <w:rFonts w:ascii="Times New Roman" w:hAnsi="Times New Roman"/>
          <w:i/>
          <w:sz w:val="18"/>
          <w:szCs w:val="18"/>
          <w:lang w:val="sq-AL"/>
        </w:rPr>
        <w:t xml:space="preserve">O.Muzaka </w:t>
      </w:r>
    </w:p>
    <w:p w:rsidR="00E87B91" w:rsidRPr="00C342E2" w:rsidRDefault="00E87B91" w:rsidP="002460BC">
      <w:pPr>
        <w:pStyle w:val="NoSpacing"/>
        <w:rPr>
          <w:rFonts w:ascii="Times New Roman" w:hAnsi="Times New Roman"/>
          <w:i/>
          <w:sz w:val="18"/>
          <w:szCs w:val="18"/>
          <w:lang w:val="sq-AL"/>
        </w:rPr>
      </w:pPr>
      <w:r w:rsidRPr="00C342E2">
        <w:rPr>
          <w:rFonts w:ascii="Times New Roman" w:hAnsi="Times New Roman"/>
          <w:i/>
          <w:sz w:val="18"/>
          <w:szCs w:val="18"/>
          <w:lang w:val="sq-AL"/>
        </w:rPr>
        <w:t>Miratoi:</w:t>
      </w:r>
      <w:r w:rsidRPr="00C342E2">
        <w:rPr>
          <w:rFonts w:ascii="Times New Roman" w:hAnsi="Times New Roman"/>
          <w:i/>
          <w:sz w:val="18"/>
          <w:szCs w:val="18"/>
          <w:lang w:val="sq-AL"/>
        </w:rPr>
        <w:tab/>
      </w:r>
      <w:r w:rsidRPr="00C342E2">
        <w:rPr>
          <w:rFonts w:ascii="Times New Roman" w:hAnsi="Times New Roman"/>
          <w:i/>
          <w:sz w:val="18"/>
          <w:szCs w:val="18"/>
          <w:lang w:val="sq-AL"/>
        </w:rPr>
        <w:tab/>
      </w:r>
      <w:r w:rsidR="00652093" w:rsidRPr="00C342E2">
        <w:rPr>
          <w:rFonts w:ascii="Times New Roman" w:hAnsi="Times New Roman"/>
          <w:i/>
          <w:sz w:val="18"/>
          <w:szCs w:val="18"/>
          <w:lang w:val="sq-AL"/>
        </w:rPr>
        <w:t>A</w:t>
      </w:r>
      <w:r w:rsidR="00365407">
        <w:rPr>
          <w:rFonts w:ascii="Times New Roman" w:hAnsi="Times New Roman"/>
          <w:i/>
          <w:sz w:val="18"/>
          <w:szCs w:val="18"/>
          <w:lang w:val="sq-AL"/>
        </w:rPr>
        <w:t>.</w:t>
      </w:r>
      <w:r w:rsidR="00652093" w:rsidRPr="00C342E2">
        <w:rPr>
          <w:rFonts w:ascii="Times New Roman" w:hAnsi="Times New Roman"/>
          <w:i/>
          <w:sz w:val="18"/>
          <w:szCs w:val="18"/>
          <w:lang w:val="sq-AL"/>
        </w:rPr>
        <w:t>Xhemali</w:t>
      </w:r>
    </w:p>
    <w:sectPr w:rsidR="00E87B91" w:rsidRPr="00C342E2" w:rsidSect="00797C25">
      <w:headerReference w:type="default" r:id="rId82"/>
      <w:headerReference w:type="first" r:id="rId83"/>
      <w:pgSz w:w="11907" w:h="16839" w:code="9"/>
      <w:pgMar w:top="1080" w:right="1107" w:bottom="630" w:left="1170" w:header="720" w:footer="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0A19" w:rsidRDefault="00340A19" w:rsidP="00CD61BB">
      <w:r>
        <w:separator/>
      </w:r>
    </w:p>
  </w:endnote>
  <w:endnote w:type="continuationSeparator" w:id="0">
    <w:p w:rsidR="00340A19" w:rsidRDefault="00340A19" w:rsidP="00CD61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2FF" w:usb1="420024FF" w:usb2="00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0A19" w:rsidRDefault="00340A19" w:rsidP="00CD61BB">
      <w:r>
        <w:separator/>
      </w:r>
    </w:p>
  </w:footnote>
  <w:footnote w:type="continuationSeparator" w:id="0">
    <w:p w:rsidR="00340A19" w:rsidRDefault="00340A19" w:rsidP="00CD61BB">
      <w:r>
        <w:continuationSeparator/>
      </w:r>
    </w:p>
  </w:footnote>
  <w:footnote w:id="1">
    <w:p w:rsidR="002C40CB" w:rsidRPr="00971C15" w:rsidRDefault="002C40CB" w:rsidP="00971C15">
      <w:pPr>
        <w:pStyle w:val="FootnoteText"/>
        <w:spacing w:line="240" w:lineRule="auto"/>
        <w:jc w:val="both"/>
        <w:rPr>
          <w:i/>
          <w:sz w:val="18"/>
          <w:lang w:val="en-US"/>
        </w:rPr>
      </w:pPr>
      <w:r w:rsidRPr="00971C15">
        <w:rPr>
          <w:rStyle w:val="FootnoteReference"/>
          <w:i/>
          <w:sz w:val="18"/>
        </w:rPr>
        <w:footnoteRef/>
      </w:r>
      <w:r w:rsidRPr="00971C15">
        <w:rPr>
          <w:i/>
          <w:sz w:val="18"/>
        </w:rPr>
        <w:t xml:space="preserve"> Analiza e zhvillimeve ekonomike n</w:t>
      </w:r>
      <w:r>
        <w:rPr>
          <w:i/>
          <w:sz w:val="18"/>
        </w:rPr>
        <w:t>ë</w:t>
      </w:r>
      <w:r w:rsidRPr="00971C15">
        <w:rPr>
          <w:i/>
          <w:sz w:val="18"/>
        </w:rPr>
        <w:t xml:space="preserve"> ket</w:t>
      </w:r>
      <w:r>
        <w:rPr>
          <w:i/>
          <w:sz w:val="18"/>
        </w:rPr>
        <w:t>ë</w:t>
      </w:r>
      <w:r w:rsidRPr="00971C15">
        <w:rPr>
          <w:i/>
          <w:sz w:val="18"/>
        </w:rPr>
        <w:t xml:space="preserve"> seksion</w:t>
      </w:r>
      <w:r>
        <w:rPr>
          <w:i/>
          <w:sz w:val="18"/>
        </w:rPr>
        <w:t>,</w:t>
      </w:r>
      <w:r w:rsidRPr="00971C15">
        <w:rPr>
          <w:i/>
          <w:sz w:val="18"/>
        </w:rPr>
        <w:t xml:space="preserve"> bazohet n</w:t>
      </w:r>
      <w:r>
        <w:rPr>
          <w:i/>
          <w:sz w:val="18"/>
        </w:rPr>
        <w:t>ë</w:t>
      </w:r>
      <w:r w:rsidRPr="00971C15">
        <w:rPr>
          <w:i/>
          <w:sz w:val="18"/>
        </w:rPr>
        <w:t xml:space="preserve"> statistikat/informacionin m</w:t>
      </w:r>
      <w:r>
        <w:rPr>
          <w:i/>
          <w:sz w:val="18"/>
        </w:rPr>
        <w:t>ë</w:t>
      </w:r>
      <w:r w:rsidRPr="00971C15">
        <w:rPr>
          <w:i/>
          <w:sz w:val="18"/>
        </w:rPr>
        <w:t xml:space="preserve"> t</w:t>
      </w:r>
      <w:r>
        <w:rPr>
          <w:i/>
          <w:sz w:val="18"/>
        </w:rPr>
        <w:t>ë</w:t>
      </w:r>
      <w:r w:rsidRPr="00971C15">
        <w:rPr>
          <w:i/>
          <w:sz w:val="18"/>
        </w:rPr>
        <w:t xml:space="preserve"> fundit </w:t>
      </w:r>
      <w:r>
        <w:rPr>
          <w:i/>
          <w:sz w:val="18"/>
        </w:rPr>
        <w:t xml:space="preserve">zyrtar </w:t>
      </w:r>
      <w:r w:rsidRPr="00971C15">
        <w:rPr>
          <w:i/>
          <w:sz w:val="18"/>
        </w:rPr>
        <w:t>t</w:t>
      </w:r>
      <w:r>
        <w:rPr>
          <w:i/>
          <w:sz w:val="18"/>
        </w:rPr>
        <w:t>ë</w:t>
      </w:r>
      <w:r w:rsidRPr="00971C15">
        <w:rPr>
          <w:i/>
          <w:sz w:val="18"/>
        </w:rPr>
        <w:t xml:space="preserve"> disponuesh</w:t>
      </w:r>
      <w:r>
        <w:rPr>
          <w:i/>
          <w:sz w:val="18"/>
        </w:rPr>
        <w:t>ë</w:t>
      </w:r>
      <w:r w:rsidRPr="00971C15">
        <w:rPr>
          <w:i/>
          <w:sz w:val="18"/>
        </w:rPr>
        <w:t>m</w:t>
      </w:r>
      <w:r>
        <w:rPr>
          <w:i/>
          <w:sz w:val="18"/>
        </w:rPr>
        <w:t>,</w:t>
      </w:r>
      <w:r w:rsidRPr="00971C15">
        <w:rPr>
          <w:i/>
          <w:sz w:val="18"/>
        </w:rPr>
        <w:t xml:space="preserve"> n</w:t>
      </w:r>
      <w:r>
        <w:rPr>
          <w:i/>
          <w:sz w:val="18"/>
        </w:rPr>
        <w:t>ë</w:t>
      </w:r>
      <w:r w:rsidRPr="00971C15">
        <w:rPr>
          <w:i/>
          <w:sz w:val="18"/>
        </w:rPr>
        <w:t xml:space="preserve"> momentin e hartimit t</w:t>
      </w:r>
      <w:r>
        <w:rPr>
          <w:i/>
          <w:sz w:val="18"/>
        </w:rPr>
        <w:t>ë</w:t>
      </w:r>
      <w:r w:rsidRPr="00971C15">
        <w:rPr>
          <w:i/>
          <w:sz w:val="18"/>
        </w:rPr>
        <w:t xml:space="preserve"> k</w:t>
      </w:r>
      <w:r>
        <w:rPr>
          <w:i/>
          <w:sz w:val="18"/>
        </w:rPr>
        <w:t>ë</w:t>
      </w:r>
      <w:r w:rsidRPr="00971C15">
        <w:rPr>
          <w:i/>
          <w:sz w:val="18"/>
        </w:rPr>
        <w:t>tij raporti.</w:t>
      </w:r>
    </w:p>
  </w:footnote>
  <w:footnote w:id="2">
    <w:p w:rsidR="002C40CB" w:rsidRPr="00057778" w:rsidRDefault="002C40CB" w:rsidP="00513A75">
      <w:pPr>
        <w:pStyle w:val="FootnoteText"/>
        <w:ind w:left="720" w:hanging="720"/>
        <w:jc w:val="both"/>
        <w:rPr>
          <w:rFonts w:ascii="Times New Roman" w:hAnsi="Times New Roman"/>
          <w:lang w:val="en-US"/>
        </w:rPr>
      </w:pPr>
      <w:r w:rsidRPr="00057778">
        <w:rPr>
          <w:rStyle w:val="FootnoteReference"/>
          <w:rFonts w:ascii="Times New Roman" w:hAnsi="Times New Roman"/>
        </w:rPr>
        <w:footnoteRef/>
      </w:r>
      <w:r w:rsidRPr="00057778">
        <w:rPr>
          <w:rFonts w:ascii="Times New Roman" w:hAnsi="Times New Roman"/>
        </w:rPr>
        <w:t xml:space="preserve"> </w:t>
      </w:r>
      <w:r w:rsidRPr="00057778">
        <w:rPr>
          <w:rFonts w:ascii="Times New Roman" w:hAnsi="Times New Roman"/>
          <w:lang w:val="en-US"/>
        </w:rPr>
        <w:t xml:space="preserve">I referohet normës mesatare të ponderuar të titujve shtetërorë të emetuar </w:t>
      </w:r>
      <w:r>
        <w:rPr>
          <w:rFonts w:ascii="Times New Roman" w:hAnsi="Times New Roman"/>
          <w:lang w:val="en-US"/>
        </w:rPr>
        <w:t xml:space="preserve">vetëm </w:t>
      </w:r>
      <w:r w:rsidRPr="00057778">
        <w:rPr>
          <w:rFonts w:ascii="Times New Roman" w:hAnsi="Times New Roman"/>
          <w:lang w:val="en-US"/>
        </w:rPr>
        <w:t>në tregun primar.</w:t>
      </w:r>
    </w:p>
  </w:footnote>
  <w:footnote w:id="3">
    <w:p w:rsidR="002C40CB" w:rsidRPr="00302A6A" w:rsidRDefault="002C40CB" w:rsidP="00150012">
      <w:pPr>
        <w:pStyle w:val="FootnoteText"/>
        <w:spacing w:after="0" w:line="240" w:lineRule="auto"/>
        <w:ind w:left="90" w:hanging="90"/>
        <w:jc w:val="both"/>
        <w:rPr>
          <w:lang w:val="en-US"/>
        </w:rPr>
      </w:pPr>
      <w:r>
        <w:rPr>
          <w:rStyle w:val="FootnoteReference"/>
        </w:rPr>
        <w:footnoteRef/>
      </w:r>
      <w:r>
        <w:t xml:space="preserve"> </w:t>
      </w:r>
      <w:r w:rsidRPr="00302A6A">
        <w:rPr>
          <w:i/>
          <w:sz w:val="18"/>
        </w:rPr>
        <w:t>Analiza e zhvillimeve ekonomike në ketë seksion, bazohet në statistikat/informacionin më të fundit zyrtar të disponueshëm, në momentin e hartimit të këtij raporti</w:t>
      </w:r>
      <w:r w:rsidRPr="00302A6A">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40CB" w:rsidRPr="007A09E2" w:rsidRDefault="002C40CB" w:rsidP="007A09E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3"/>
      <w:gridCol w:w="1548"/>
    </w:tblGrid>
    <w:tr w:rsidR="002C40CB" w:rsidRPr="008E7E7B"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983205663"/>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rsidR="002C40CB" w:rsidRPr="008E7E7B" w:rsidRDefault="002C40CB" w:rsidP="006055DD">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rsidR="002C40CB" w:rsidRDefault="002C40CB"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2020</w:t>
          </w:r>
          <w:r>
            <w:rPr>
              <w:rFonts w:asciiTheme="majorHAnsi" w:eastAsiaTheme="majorEastAsia" w:hAnsiTheme="majorHAnsi" w:cstheme="majorBidi"/>
              <w:bCs/>
              <w:color w:val="A6A6A6" w:themeColor="background1" w:themeShade="A6"/>
              <w:sz w:val="18"/>
              <w:szCs w:val="18"/>
            </w:rPr>
            <w:tab/>
          </w:r>
        </w:p>
        <w:p w:rsidR="002C40CB" w:rsidRPr="008E7E7B" w:rsidRDefault="002C40CB"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rsidR="002C40CB" w:rsidRDefault="002C40C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3"/>
      <w:gridCol w:w="1548"/>
    </w:tblGrid>
    <w:tr w:rsidR="002C40CB" w:rsidRPr="008E7E7B"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57790424"/>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rsidR="002C40CB" w:rsidRPr="008E7E7B" w:rsidRDefault="002C40CB" w:rsidP="00350497">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rsidR="002C40CB" w:rsidRDefault="002C40CB"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2019</w:t>
          </w:r>
          <w:r>
            <w:rPr>
              <w:rFonts w:asciiTheme="majorHAnsi" w:eastAsiaTheme="majorEastAsia" w:hAnsiTheme="majorHAnsi" w:cstheme="majorBidi"/>
              <w:bCs/>
              <w:color w:val="A6A6A6" w:themeColor="background1" w:themeShade="A6"/>
              <w:sz w:val="18"/>
              <w:szCs w:val="18"/>
            </w:rPr>
            <w:tab/>
          </w:r>
        </w:p>
        <w:p w:rsidR="002C40CB" w:rsidRPr="008E7E7B" w:rsidRDefault="002C40CB"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rsidR="002C40CB" w:rsidRDefault="002C40C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C74B9"/>
    <w:multiLevelType w:val="hybridMultilevel"/>
    <w:tmpl w:val="59E4DDE0"/>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
    <w:nsid w:val="08194815"/>
    <w:multiLevelType w:val="hybridMultilevel"/>
    <w:tmpl w:val="97460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872997"/>
    <w:multiLevelType w:val="hybridMultilevel"/>
    <w:tmpl w:val="9E14CAD2"/>
    <w:lvl w:ilvl="0" w:tplc="02CE0E2C">
      <w:start w:val="1"/>
      <w:numFmt w:val="lowerLetter"/>
      <w:lvlText w:val="%1)"/>
      <w:lvlJc w:val="left"/>
      <w:pPr>
        <w:ind w:left="540" w:hanging="360"/>
      </w:pPr>
      <w:rPr>
        <w:rFonts w:ascii="Times New Roman" w:eastAsia="Times New Roman" w:hAnsi="Times New Roman" w:cs="Times New Roman"/>
        <w:sz w:val="24"/>
        <w:szCs w:val="24"/>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
    <w:nsid w:val="0FD931D4"/>
    <w:multiLevelType w:val="hybridMultilevel"/>
    <w:tmpl w:val="7944A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630F69"/>
    <w:multiLevelType w:val="multilevel"/>
    <w:tmpl w:val="DF9A9E26"/>
    <w:lvl w:ilvl="0">
      <w:start w:val="5"/>
      <w:numFmt w:val="upperRoman"/>
      <w:lvlText w:val="%1.4"/>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nsid w:val="140F47F9"/>
    <w:multiLevelType w:val="multilevel"/>
    <w:tmpl w:val="BD1E9FFE"/>
    <w:lvl w:ilvl="0">
      <w:start w:val="5"/>
      <w:numFmt w:val="upperRoman"/>
      <w:lvlText w:val="%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nsid w:val="14F11363"/>
    <w:multiLevelType w:val="hybridMultilevel"/>
    <w:tmpl w:val="005ADEE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6D05AC7"/>
    <w:multiLevelType w:val="hybridMultilevel"/>
    <w:tmpl w:val="BFB2ABB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17282028"/>
    <w:multiLevelType w:val="hybridMultilevel"/>
    <w:tmpl w:val="B3E4DF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9E17363"/>
    <w:multiLevelType w:val="hybridMultilevel"/>
    <w:tmpl w:val="BE5C485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A5B546D"/>
    <w:multiLevelType w:val="hybridMultilevel"/>
    <w:tmpl w:val="5BBCC4A2"/>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1">
    <w:nsid w:val="1CDB3470"/>
    <w:multiLevelType w:val="hybridMultilevel"/>
    <w:tmpl w:val="E6B069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225916"/>
    <w:multiLevelType w:val="multilevel"/>
    <w:tmpl w:val="2660A528"/>
    <w:lvl w:ilvl="0">
      <w:start w:val="5"/>
      <w:numFmt w:val="upperRoman"/>
      <w:lvlText w:val="%1.2.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210A35C1"/>
    <w:multiLevelType w:val="hybridMultilevel"/>
    <w:tmpl w:val="9E14CAD2"/>
    <w:lvl w:ilvl="0" w:tplc="02CE0E2C">
      <w:start w:val="1"/>
      <w:numFmt w:val="lowerLetter"/>
      <w:lvlText w:val="%1)"/>
      <w:lvlJc w:val="left"/>
      <w:pPr>
        <w:ind w:left="540" w:hanging="360"/>
      </w:pPr>
      <w:rPr>
        <w:rFonts w:ascii="Times New Roman" w:eastAsia="Times New Roman" w:hAnsi="Times New Roman" w:cs="Times New Roman"/>
        <w:sz w:val="24"/>
        <w:szCs w:val="24"/>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4">
    <w:nsid w:val="23C613C4"/>
    <w:multiLevelType w:val="hybridMultilevel"/>
    <w:tmpl w:val="1ADCD982"/>
    <w:lvl w:ilvl="0" w:tplc="041C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EF72D1"/>
    <w:multiLevelType w:val="hybridMultilevel"/>
    <w:tmpl w:val="F34C375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nsid w:val="2BC016A4"/>
    <w:multiLevelType w:val="hybridMultilevel"/>
    <w:tmpl w:val="8AA44A3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2C131E04"/>
    <w:multiLevelType w:val="hybridMultilevel"/>
    <w:tmpl w:val="C4628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6734AB"/>
    <w:multiLevelType w:val="multilevel"/>
    <w:tmpl w:val="C060D6FE"/>
    <w:lvl w:ilvl="0">
      <w:start w:val="5"/>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nsid w:val="2FDC5781"/>
    <w:multiLevelType w:val="hybridMultilevel"/>
    <w:tmpl w:val="542C6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F91942"/>
    <w:multiLevelType w:val="hybridMultilevel"/>
    <w:tmpl w:val="59D84004"/>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21">
    <w:nsid w:val="35A6630F"/>
    <w:multiLevelType w:val="hybridMultilevel"/>
    <w:tmpl w:val="E4425FDC"/>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22">
    <w:nsid w:val="38170166"/>
    <w:multiLevelType w:val="hybridMultilevel"/>
    <w:tmpl w:val="893AD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8460694"/>
    <w:multiLevelType w:val="hybridMultilevel"/>
    <w:tmpl w:val="079AEDD4"/>
    <w:lvl w:ilvl="0" w:tplc="0409000D">
      <w:start w:val="1"/>
      <w:numFmt w:val="bullet"/>
      <w:lvlText w:val=""/>
      <w:lvlJc w:val="left"/>
      <w:pPr>
        <w:ind w:left="1170" w:hanging="360"/>
      </w:pPr>
      <w:rPr>
        <w:rFonts w:ascii="Wingdings" w:hAnsi="Wingdings" w:hint="default"/>
      </w:rPr>
    </w:lvl>
    <w:lvl w:ilvl="1" w:tplc="08090003" w:tentative="1">
      <w:start w:val="1"/>
      <w:numFmt w:val="bullet"/>
      <w:lvlText w:val="o"/>
      <w:lvlJc w:val="left"/>
      <w:pPr>
        <w:ind w:left="1890" w:hanging="360"/>
      </w:pPr>
      <w:rPr>
        <w:rFonts w:ascii="Courier New" w:hAnsi="Courier New" w:cs="Courier New" w:hint="default"/>
      </w:rPr>
    </w:lvl>
    <w:lvl w:ilvl="2" w:tplc="08090005" w:tentative="1">
      <w:start w:val="1"/>
      <w:numFmt w:val="bullet"/>
      <w:lvlText w:val=""/>
      <w:lvlJc w:val="left"/>
      <w:pPr>
        <w:ind w:left="2610" w:hanging="360"/>
      </w:pPr>
      <w:rPr>
        <w:rFonts w:ascii="Wingdings" w:hAnsi="Wingdings" w:hint="default"/>
      </w:rPr>
    </w:lvl>
    <w:lvl w:ilvl="3" w:tplc="08090001" w:tentative="1">
      <w:start w:val="1"/>
      <w:numFmt w:val="bullet"/>
      <w:lvlText w:val=""/>
      <w:lvlJc w:val="left"/>
      <w:pPr>
        <w:ind w:left="3330" w:hanging="360"/>
      </w:pPr>
      <w:rPr>
        <w:rFonts w:ascii="Symbol" w:hAnsi="Symbol" w:hint="default"/>
      </w:rPr>
    </w:lvl>
    <w:lvl w:ilvl="4" w:tplc="08090003" w:tentative="1">
      <w:start w:val="1"/>
      <w:numFmt w:val="bullet"/>
      <w:lvlText w:val="o"/>
      <w:lvlJc w:val="left"/>
      <w:pPr>
        <w:ind w:left="4050" w:hanging="360"/>
      </w:pPr>
      <w:rPr>
        <w:rFonts w:ascii="Courier New" w:hAnsi="Courier New" w:cs="Courier New" w:hint="default"/>
      </w:rPr>
    </w:lvl>
    <w:lvl w:ilvl="5" w:tplc="08090005" w:tentative="1">
      <w:start w:val="1"/>
      <w:numFmt w:val="bullet"/>
      <w:lvlText w:val=""/>
      <w:lvlJc w:val="left"/>
      <w:pPr>
        <w:ind w:left="4770" w:hanging="360"/>
      </w:pPr>
      <w:rPr>
        <w:rFonts w:ascii="Wingdings" w:hAnsi="Wingdings" w:hint="default"/>
      </w:rPr>
    </w:lvl>
    <w:lvl w:ilvl="6" w:tplc="08090001" w:tentative="1">
      <w:start w:val="1"/>
      <w:numFmt w:val="bullet"/>
      <w:lvlText w:val=""/>
      <w:lvlJc w:val="left"/>
      <w:pPr>
        <w:ind w:left="5490" w:hanging="360"/>
      </w:pPr>
      <w:rPr>
        <w:rFonts w:ascii="Symbol" w:hAnsi="Symbol" w:hint="default"/>
      </w:rPr>
    </w:lvl>
    <w:lvl w:ilvl="7" w:tplc="08090003" w:tentative="1">
      <w:start w:val="1"/>
      <w:numFmt w:val="bullet"/>
      <w:lvlText w:val="o"/>
      <w:lvlJc w:val="left"/>
      <w:pPr>
        <w:ind w:left="6210" w:hanging="360"/>
      </w:pPr>
      <w:rPr>
        <w:rFonts w:ascii="Courier New" w:hAnsi="Courier New" w:cs="Courier New" w:hint="default"/>
      </w:rPr>
    </w:lvl>
    <w:lvl w:ilvl="8" w:tplc="08090005" w:tentative="1">
      <w:start w:val="1"/>
      <w:numFmt w:val="bullet"/>
      <w:lvlText w:val=""/>
      <w:lvlJc w:val="left"/>
      <w:pPr>
        <w:ind w:left="6930" w:hanging="360"/>
      </w:pPr>
      <w:rPr>
        <w:rFonts w:ascii="Wingdings" w:hAnsi="Wingdings" w:hint="default"/>
      </w:rPr>
    </w:lvl>
  </w:abstractNum>
  <w:abstractNum w:abstractNumId="24">
    <w:nsid w:val="3C1E0145"/>
    <w:multiLevelType w:val="hybridMultilevel"/>
    <w:tmpl w:val="E66663B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3CA6EE6"/>
    <w:multiLevelType w:val="hybridMultilevel"/>
    <w:tmpl w:val="65B07F1A"/>
    <w:lvl w:ilvl="0" w:tplc="ADD40D0C">
      <w:start w:val="1"/>
      <w:numFmt w:val="bullet"/>
      <w:lvlText w:val=""/>
      <w:lvlJc w:val="left"/>
      <w:pPr>
        <w:ind w:left="720" w:hanging="360"/>
      </w:pPr>
      <w:rPr>
        <w:rFonts w:ascii="Symbol" w:hAnsi="Symbol" w:hint="default"/>
        <w:b/>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6171CA4"/>
    <w:multiLevelType w:val="hybridMultilevel"/>
    <w:tmpl w:val="D9DA0E40"/>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27">
    <w:nsid w:val="46822AD7"/>
    <w:multiLevelType w:val="hybridMultilevel"/>
    <w:tmpl w:val="53E02A1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48147684"/>
    <w:multiLevelType w:val="hybridMultilevel"/>
    <w:tmpl w:val="A23EACC2"/>
    <w:lvl w:ilvl="0" w:tplc="02CE0E2C">
      <w:start w:val="1"/>
      <w:numFmt w:val="lowerLetter"/>
      <w:lvlText w:val="%1)"/>
      <w:lvlJc w:val="left"/>
      <w:pPr>
        <w:ind w:left="540" w:hanging="360"/>
      </w:pPr>
      <w:rPr>
        <w:rFonts w:ascii="Times New Roman" w:eastAsia="Times New Roman" w:hAnsi="Times New Roman" w:cs="Times New Roman"/>
        <w:sz w:val="24"/>
        <w:szCs w:val="24"/>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9">
    <w:nsid w:val="4B3E5562"/>
    <w:multiLevelType w:val="hybridMultilevel"/>
    <w:tmpl w:val="E670EDBC"/>
    <w:lvl w:ilvl="0" w:tplc="E4485122">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4BF419B5"/>
    <w:multiLevelType w:val="hybridMultilevel"/>
    <w:tmpl w:val="1F58D50E"/>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31">
    <w:nsid w:val="4C5F1C38"/>
    <w:multiLevelType w:val="hybridMultilevel"/>
    <w:tmpl w:val="840AE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CED783B"/>
    <w:multiLevelType w:val="hybridMultilevel"/>
    <w:tmpl w:val="79E25BF8"/>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33">
    <w:nsid w:val="4E316C7E"/>
    <w:multiLevelType w:val="hybridMultilevel"/>
    <w:tmpl w:val="DD0A73F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4E3E73D8"/>
    <w:multiLevelType w:val="hybridMultilevel"/>
    <w:tmpl w:val="CC964F12"/>
    <w:lvl w:ilvl="0" w:tplc="041C0001">
      <w:start w:val="1"/>
      <w:numFmt w:val="bullet"/>
      <w:lvlText w:val=""/>
      <w:lvlJc w:val="left"/>
      <w:pPr>
        <w:ind w:left="780" w:hanging="360"/>
      </w:pPr>
      <w:rPr>
        <w:rFonts w:ascii="Symbol" w:hAnsi="Symbol" w:hint="default"/>
      </w:rPr>
    </w:lvl>
    <w:lvl w:ilvl="1" w:tplc="041C0003" w:tentative="1">
      <w:start w:val="1"/>
      <w:numFmt w:val="bullet"/>
      <w:lvlText w:val="o"/>
      <w:lvlJc w:val="left"/>
      <w:pPr>
        <w:ind w:left="1500" w:hanging="360"/>
      </w:pPr>
      <w:rPr>
        <w:rFonts w:ascii="Courier New" w:hAnsi="Courier New" w:cs="Courier New" w:hint="default"/>
      </w:rPr>
    </w:lvl>
    <w:lvl w:ilvl="2" w:tplc="041C0005" w:tentative="1">
      <w:start w:val="1"/>
      <w:numFmt w:val="bullet"/>
      <w:lvlText w:val=""/>
      <w:lvlJc w:val="left"/>
      <w:pPr>
        <w:ind w:left="2220" w:hanging="360"/>
      </w:pPr>
      <w:rPr>
        <w:rFonts w:ascii="Wingdings" w:hAnsi="Wingdings" w:hint="default"/>
      </w:rPr>
    </w:lvl>
    <w:lvl w:ilvl="3" w:tplc="041C0001" w:tentative="1">
      <w:start w:val="1"/>
      <w:numFmt w:val="bullet"/>
      <w:lvlText w:val=""/>
      <w:lvlJc w:val="left"/>
      <w:pPr>
        <w:ind w:left="2940" w:hanging="360"/>
      </w:pPr>
      <w:rPr>
        <w:rFonts w:ascii="Symbol" w:hAnsi="Symbol" w:hint="default"/>
      </w:rPr>
    </w:lvl>
    <w:lvl w:ilvl="4" w:tplc="041C0003" w:tentative="1">
      <w:start w:val="1"/>
      <w:numFmt w:val="bullet"/>
      <w:lvlText w:val="o"/>
      <w:lvlJc w:val="left"/>
      <w:pPr>
        <w:ind w:left="3660" w:hanging="360"/>
      </w:pPr>
      <w:rPr>
        <w:rFonts w:ascii="Courier New" w:hAnsi="Courier New" w:cs="Courier New" w:hint="default"/>
      </w:rPr>
    </w:lvl>
    <w:lvl w:ilvl="5" w:tplc="041C0005" w:tentative="1">
      <w:start w:val="1"/>
      <w:numFmt w:val="bullet"/>
      <w:lvlText w:val=""/>
      <w:lvlJc w:val="left"/>
      <w:pPr>
        <w:ind w:left="4380" w:hanging="360"/>
      </w:pPr>
      <w:rPr>
        <w:rFonts w:ascii="Wingdings" w:hAnsi="Wingdings" w:hint="default"/>
      </w:rPr>
    </w:lvl>
    <w:lvl w:ilvl="6" w:tplc="041C0001" w:tentative="1">
      <w:start w:val="1"/>
      <w:numFmt w:val="bullet"/>
      <w:lvlText w:val=""/>
      <w:lvlJc w:val="left"/>
      <w:pPr>
        <w:ind w:left="5100" w:hanging="360"/>
      </w:pPr>
      <w:rPr>
        <w:rFonts w:ascii="Symbol" w:hAnsi="Symbol" w:hint="default"/>
      </w:rPr>
    </w:lvl>
    <w:lvl w:ilvl="7" w:tplc="041C0003" w:tentative="1">
      <w:start w:val="1"/>
      <w:numFmt w:val="bullet"/>
      <w:lvlText w:val="o"/>
      <w:lvlJc w:val="left"/>
      <w:pPr>
        <w:ind w:left="5820" w:hanging="360"/>
      </w:pPr>
      <w:rPr>
        <w:rFonts w:ascii="Courier New" w:hAnsi="Courier New" w:cs="Courier New" w:hint="default"/>
      </w:rPr>
    </w:lvl>
    <w:lvl w:ilvl="8" w:tplc="041C0005" w:tentative="1">
      <w:start w:val="1"/>
      <w:numFmt w:val="bullet"/>
      <w:lvlText w:val=""/>
      <w:lvlJc w:val="left"/>
      <w:pPr>
        <w:ind w:left="6540" w:hanging="360"/>
      </w:pPr>
      <w:rPr>
        <w:rFonts w:ascii="Wingdings" w:hAnsi="Wingdings" w:hint="default"/>
      </w:rPr>
    </w:lvl>
  </w:abstractNum>
  <w:abstractNum w:abstractNumId="35">
    <w:nsid w:val="4F9B355E"/>
    <w:multiLevelType w:val="hybridMultilevel"/>
    <w:tmpl w:val="27A2BA9E"/>
    <w:lvl w:ilvl="0" w:tplc="04090005">
      <w:start w:val="1"/>
      <w:numFmt w:val="bullet"/>
      <w:lvlText w:val=""/>
      <w:lvlJc w:val="left"/>
      <w:pPr>
        <w:ind w:left="720" w:hanging="360"/>
      </w:pPr>
      <w:rPr>
        <w:rFonts w:ascii="Wingdings" w:hAnsi="Wingdings"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36">
    <w:nsid w:val="540B0042"/>
    <w:multiLevelType w:val="hybridMultilevel"/>
    <w:tmpl w:val="D8083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7326C54"/>
    <w:multiLevelType w:val="hybridMultilevel"/>
    <w:tmpl w:val="6102F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8D9564D"/>
    <w:multiLevelType w:val="hybridMultilevel"/>
    <w:tmpl w:val="2BC465D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70674E"/>
    <w:multiLevelType w:val="hybridMultilevel"/>
    <w:tmpl w:val="C1C2EAB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98C16D8"/>
    <w:multiLevelType w:val="hybridMultilevel"/>
    <w:tmpl w:val="5154585A"/>
    <w:lvl w:ilvl="0" w:tplc="0B60D5D2">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9D7485F"/>
    <w:multiLevelType w:val="hybridMultilevel"/>
    <w:tmpl w:val="A23EACC2"/>
    <w:lvl w:ilvl="0" w:tplc="02CE0E2C">
      <w:start w:val="1"/>
      <w:numFmt w:val="lowerLetter"/>
      <w:lvlText w:val="%1)"/>
      <w:lvlJc w:val="left"/>
      <w:pPr>
        <w:ind w:left="540" w:hanging="360"/>
      </w:pPr>
      <w:rPr>
        <w:rFonts w:ascii="Times New Roman" w:eastAsia="Times New Roman" w:hAnsi="Times New Roman" w:cs="Times New Roman"/>
        <w:sz w:val="24"/>
        <w:szCs w:val="24"/>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2">
    <w:nsid w:val="59E03C5E"/>
    <w:multiLevelType w:val="hybridMultilevel"/>
    <w:tmpl w:val="447A8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B2557FF"/>
    <w:multiLevelType w:val="hybridMultilevel"/>
    <w:tmpl w:val="1F0C8EA2"/>
    <w:lvl w:ilvl="0" w:tplc="041C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B26070A"/>
    <w:multiLevelType w:val="multilevel"/>
    <w:tmpl w:val="90EAC768"/>
    <w:lvl w:ilvl="0">
      <w:start w:val="5"/>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nsid w:val="5C351FD1"/>
    <w:multiLevelType w:val="hybridMultilevel"/>
    <w:tmpl w:val="92AE9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DA84D9B"/>
    <w:multiLevelType w:val="hybridMultilevel"/>
    <w:tmpl w:val="13A020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FCB4490"/>
    <w:multiLevelType w:val="multilevel"/>
    <w:tmpl w:val="215C3EA4"/>
    <w:lvl w:ilvl="0">
      <w:start w:val="5"/>
      <w:numFmt w:val="upperRoman"/>
      <w:lvlText w:val="%1.4.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nsid w:val="601B29CC"/>
    <w:multiLevelType w:val="hybridMultilevel"/>
    <w:tmpl w:val="4F4CAA38"/>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49">
    <w:nsid w:val="60706106"/>
    <w:multiLevelType w:val="hybridMultilevel"/>
    <w:tmpl w:val="EEBA1B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0CE77FF"/>
    <w:multiLevelType w:val="hybridMultilevel"/>
    <w:tmpl w:val="A9409E16"/>
    <w:lvl w:ilvl="0" w:tplc="04090005">
      <w:start w:val="1"/>
      <w:numFmt w:val="bullet"/>
      <w:lvlText w:val=""/>
      <w:lvlJc w:val="left"/>
      <w:pPr>
        <w:ind w:left="720" w:hanging="360"/>
      </w:pPr>
      <w:rPr>
        <w:rFonts w:ascii="Wingdings" w:hAnsi="Wingdings"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51">
    <w:nsid w:val="64C409F9"/>
    <w:multiLevelType w:val="multilevel"/>
    <w:tmpl w:val="8E38A48C"/>
    <w:lvl w:ilvl="0">
      <w:start w:val="5"/>
      <w:numFmt w:val="upperRoman"/>
      <w:lvlText w:val="%1.2.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2">
    <w:nsid w:val="66785E28"/>
    <w:multiLevelType w:val="hybridMultilevel"/>
    <w:tmpl w:val="C080763A"/>
    <w:lvl w:ilvl="0" w:tplc="041C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7D65A72"/>
    <w:multiLevelType w:val="hybridMultilevel"/>
    <w:tmpl w:val="52BA4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A4225CD"/>
    <w:multiLevelType w:val="hybridMultilevel"/>
    <w:tmpl w:val="A23EACC2"/>
    <w:lvl w:ilvl="0" w:tplc="02CE0E2C">
      <w:start w:val="1"/>
      <w:numFmt w:val="lowerLetter"/>
      <w:lvlText w:val="%1)"/>
      <w:lvlJc w:val="left"/>
      <w:pPr>
        <w:ind w:left="540" w:hanging="360"/>
      </w:pPr>
      <w:rPr>
        <w:rFonts w:ascii="Times New Roman" w:eastAsia="Times New Roman" w:hAnsi="Times New Roman" w:cs="Times New Roman"/>
        <w:sz w:val="24"/>
        <w:szCs w:val="24"/>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55">
    <w:nsid w:val="6F902C47"/>
    <w:multiLevelType w:val="hybridMultilevel"/>
    <w:tmpl w:val="199492B6"/>
    <w:lvl w:ilvl="0" w:tplc="D0EA5116">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4431191"/>
    <w:multiLevelType w:val="hybridMultilevel"/>
    <w:tmpl w:val="AB043D40"/>
    <w:lvl w:ilvl="0" w:tplc="7B968B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44A014E"/>
    <w:multiLevelType w:val="hybridMultilevel"/>
    <w:tmpl w:val="906E5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4B21FED"/>
    <w:multiLevelType w:val="hybridMultilevel"/>
    <w:tmpl w:val="7E5E81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6DA6430"/>
    <w:multiLevelType w:val="multilevel"/>
    <w:tmpl w:val="C024A6FC"/>
    <w:lvl w:ilvl="0">
      <w:start w:val="5"/>
      <w:numFmt w:val="upperRoman"/>
      <w:lvlText w:val="%1.2.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0">
    <w:nsid w:val="79353187"/>
    <w:multiLevelType w:val="hybridMultilevel"/>
    <w:tmpl w:val="9246F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9492CFE"/>
    <w:multiLevelType w:val="hybridMultilevel"/>
    <w:tmpl w:val="BDD2AC5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nsid w:val="7A2E029C"/>
    <w:multiLevelType w:val="hybridMultilevel"/>
    <w:tmpl w:val="864219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C3713DB"/>
    <w:multiLevelType w:val="hybridMultilevel"/>
    <w:tmpl w:val="FF840A3A"/>
    <w:lvl w:ilvl="0" w:tplc="04090001">
      <w:start w:val="1"/>
      <w:numFmt w:val="bullet"/>
      <w:lvlText w:val=""/>
      <w:lvlJc w:val="left"/>
      <w:pPr>
        <w:ind w:left="1800" w:hanging="360"/>
      </w:pPr>
      <w:rPr>
        <w:rFonts w:ascii="Symbol" w:hAnsi="Symbol" w:hint="default"/>
      </w:rPr>
    </w:lvl>
    <w:lvl w:ilvl="1" w:tplc="0409000D">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4">
    <w:nsid w:val="7C4D6247"/>
    <w:multiLevelType w:val="hybridMultilevel"/>
    <w:tmpl w:val="95C08EA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5">
    <w:nsid w:val="7E2055A1"/>
    <w:multiLevelType w:val="multilevel"/>
    <w:tmpl w:val="68166E5E"/>
    <w:lvl w:ilvl="0">
      <w:start w:val="5"/>
      <w:numFmt w:val="upperRoman"/>
      <w:lvlText w:val="%1.4.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56"/>
  </w:num>
  <w:num w:numId="2">
    <w:abstractNumId w:val="9"/>
  </w:num>
  <w:num w:numId="3">
    <w:abstractNumId w:val="29"/>
  </w:num>
  <w:num w:numId="4">
    <w:abstractNumId w:val="27"/>
  </w:num>
  <w:num w:numId="5">
    <w:abstractNumId w:val="62"/>
  </w:num>
  <w:num w:numId="6">
    <w:abstractNumId w:val="49"/>
  </w:num>
  <w:num w:numId="7">
    <w:abstractNumId w:val="64"/>
  </w:num>
  <w:num w:numId="8">
    <w:abstractNumId w:val="42"/>
  </w:num>
  <w:num w:numId="9">
    <w:abstractNumId w:val="38"/>
  </w:num>
  <w:num w:numId="10">
    <w:abstractNumId w:val="15"/>
  </w:num>
  <w:num w:numId="11">
    <w:abstractNumId w:val="6"/>
  </w:num>
  <w:num w:numId="12">
    <w:abstractNumId w:val="33"/>
  </w:num>
  <w:num w:numId="13">
    <w:abstractNumId w:val="63"/>
  </w:num>
  <w:num w:numId="14">
    <w:abstractNumId w:val="7"/>
  </w:num>
  <w:num w:numId="15">
    <w:abstractNumId w:val="61"/>
  </w:num>
  <w:num w:numId="16">
    <w:abstractNumId w:val="46"/>
  </w:num>
  <w:num w:numId="17">
    <w:abstractNumId w:val="19"/>
  </w:num>
  <w:num w:numId="18">
    <w:abstractNumId w:val="22"/>
  </w:num>
  <w:num w:numId="19">
    <w:abstractNumId w:val="57"/>
  </w:num>
  <w:num w:numId="20">
    <w:abstractNumId w:val="3"/>
  </w:num>
  <w:num w:numId="21">
    <w:abstractNumId w:val="10"/>
  </w:num>
  <w:num w:numId="22">
    <w:abstractNumId w:val="20"/>
  </w:num>
  <w:num w:numId="23">
    <w:abstractNumId w:val="48"/>
  </w:num>
  <w:num w:numId="24">
    <w:abstractNumId w:val="21"/>
  </w:num>
  <w:num w:numId="25">
    <w:abstractNumId w:val="58"/>
  </w:num>
  <w:num w:numId="26">
    <w:abstractNumId w:val="55"/>
  </w:num>
  <w:num w:numId="27">
    <w:abstractNumId w:val="23"/>
  </w:num>
  <w:num w:numId="28">
    <w:abstractNumId w:val="8"/>
  </w:num>
  <w:num w:numId="29">
    <w:abstractNumId w:val="40"/>
  </w:num>
  <w:num w:numId="30">
    <w:abstractNumId w:val="36"/>
  </w:num>
  <w:num w:numId="31">
    <w:abstractNumId w:val="37"/>
  </w:num>
  <w:num w:numId="32">
    <w:abstractNumId w:val="60"/>
  </w:num>
  <w:num w:numId="33">
    <w:abstractNumId w:val="25"/>
  </w:num>
  <w:num w:numId="34">
    <w:abstractNumId w:val="54"/>
  </w:num>
  <w:num w:numId="35">
    <w:abstractNumId w:val="17"/>
  </w:num>
  <w:num w:numId="36">
    <w:abstractNumId w:val="1"/>
  </w:num>
  <w:num w:numId="37">
    <w:abstractNumId w:val="26"/>
  </w:num>
  <w:num w:numId="38">
    <w:abstractNumId w:val="32"/>
  </w:num>
  <w:num w:numId="39">
    <w:abstractNumId w:val="50"/>
  </w:num>
  <w:num w:numId="40">
    <w:abstractNumId w:val="34"/>
  </w:num>
  <w:num w:numId="41">
    <w:abstractNumId w:val="35"/>
  </w:num>
  <w:num w:numId="42">
    <w:abstractNumId w:val="52"/>
  </w:num>
  <w:num w:numId="43">
    <w:abstractNumId w:val="43"/>
  </w:num>
  <w:num w:numId="44">
    <w:abstractNumId w:val="14"/>
  </w:num>
  <w:num w:numId="45">
    <w:abstractNumId w:val="11"/>
  </w:num>
  <w:num w:numId="46">
    <w:abstractNumId w:val="45"/>
  </w:num>
  <w:num w:numId="47">
    <w:abstractNumId w:val="24"/>
  </w:num>
  <w:num w:numId="48">
    <w:abstractNumId w:val="0"/>
  </w:num>
  <w:num w:numId="49">
    <w:abstractNumId w:val="30"/>
  </w:num>
  <w:num w:numId="50">
    <w:abstractNumId w:val="5"/>
  </w:num>
  <w:num w:numId="51">
    <w:abstractNumId w:val="44"/>
  </w:num>
  <w:num w:numId="52">
    <w:abstractNumId w:val="51"/>
  </w:num>
  <w:num w:numId="53">
    <w:abstractNumId w:val="12"/>
  </w:num>
  <w:num w:numId="54">
    <w:abstractNumId w:val="59"/>
  </w:num>
  <w:num w:numId="55">
    <w:abstractNumId w:val="18"/>
  </w:num>
  <w:num w:numId="56">
    <w:abstractNumId w:val="4"/>
  </w:num>
  <w:num w:numId="57">
    <w:abstractNumId w:val="47"/>
  </w:num>
  <w:num w:numId="58">
    <w:abstractNumId w:val="65"/>
  </w:num>
  <w:num w:numId="59">
    <w:abstractNumId w:val="31"/>
  </w:num>
  <w:num w:numId="60">
    <w:abstractNumId w:val="41"/>
  </w:num>
  <w:num w:numId="61">
    <w:abstractNumId w:val="28"/>
  </w:num>
  <w:num w:numId="62">
    <w:abstractNumId w:val="2"/>
  </w:num>
  <w:num w:numId="63">
    <w:abstractNumId w:val="13"/>
  </w:num>
  <w:num w:numId="64">
    <w:abstractNumId w:val="53"/>
  </w:num>
  <w:num w:numId="65">
    <w:abstractNumId w:val="16"/>
  </w:num>
  <w:num w:numId="66">
    <w:abstractNumId w:val="39"/>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2E05"/>
    <w:rsid w:val="000009B4"/>
    <w:rsid w:val="00001847"/>
    <w:rsid w:val="00001B8A"/>
    <w:rsid w:val="0000203C"/>
    <w:rsid w:val="00002903"/>
    <w:rsid w:val="00002985"/>
    <w:rsid w:val="00002BA1"/>
    <w:rsid w:val="000042BE"/>
    <w:rsid w:val="00004591"/>
    <w:rsid w:val="00004BBA"/>
    <w:rsid w:val="000058A5"/>
    <w:rsid w:val="0000625F"/>
    <w:rsid w:val="00006D26"/>
    <w:rsid w:val="00006F4A"/>
    <w:rsid w:val="00007240"/>
    <w:rsid w:val="00007FB3"/>
    <w:rsid w:val="000105BE"/>
    <w:rsid w:val="00010AD1"/>
    <w:rsid w:val="00011DE6"/>
    <w:rsid w:val="00013AAD"/>
    <w:rsid w:val="000146B5"/>
    <w:rsid w:val="0002003B"/>
    <w:rsid w:val="00020968"/>
    <w:rsid w:val="00020D0D"/>
    <w:rsid w:val="00021054"/>
    <w:rsid w:val="00023EC7"/>
    <w:rsid w:val="00024F36"/>
    <w:rsid w:val="00026ECA"/>
    <w:rsid w:val="000278C7"/>
    <w:rsid w:val="00030821"/>
    <w:rsid w:val="00030AB4"/>
    <w:rsid w:val="000313E1"/>
    <w:rsid w:val="00031696"/>
    <w:rsid w:val="000316EE"/>
    <w:rsid w:val="0003180D"/>
    <w:rsid w:val="00031893"/>
    <w:rsid w:val="00035841"/>
    <w:rsid w:val="000358B5"/>
    <w:rsid w:val="00036D1F"/>
    <w:rsid w:val="00037512"/>
    <w:rsid w:val="00040FFF"/>
    <w:rsid w:val="0004148F"/>
    <w:rsid w:val="00041651"/>
    <w:rsid w:val="00041A92"/>
    <w:rsid w:val="000431C2"/>
    <w:rsid w:val="000433A3"/>
    <w:rsid w:val="000447C4"/>
    <w:rsid w:val="000463AC"/>
    <w:rsid w:val="00050790"/>
    <w:rsid w:val="00050FA7"/>
    <w:rsid w:val="00051122"/>
    <w:rsid w:val="00051A5E"/>
    <w:rsid w:val="00052BF2"/>
    <w:rsid w:val="00053402"/>
    <w:rsid w:val="00053BCC"/>
    <w:rsid w:val="00055212"/>
    <w:rsid w:val="000557E1"/>
    <w:rsid w:val="00056FAE"/>
    <w:rsid w:val="00060018"/>
    <w:rsid w:val="0006109B"/>
    <w:rsid w:val="00062B2F"/>
    <w:rsid w:val="000631F1"/>
    <w:rsid w:val="00064256"/>
    <w:rsid w:val="0006646C"/>
    <w:rsid w:val="00066E22"/>
    <w:rsid w:val="000675C9"/>
    <w:rsid w:val="00067A97"/>
    <w:rsid w:val="00070183"/>
    <w:rsid w:val="00070A9E"/>
    <w:rsid w:val="0007318D"/>
    <w:rsid w:val="00074D63"/>
    <w:rsid w:val="00074EFC"/>
    <w:rsid w:val="00075214"/>
    <w:rsid w:val="00075221"/>
    <w:rsid w:val="00075EFB"/>
    <w:rsid w:val="00077ACE"/>
    <w:rsid w:val="00080C58"/>
    <w:rsid w:val="0008211E"/>
    <w:rsid w:val="00082792"/>
    <w:rsid w:val="0008405B"/>
    <w:rsid w:val="0008466E"/>
    <w:rsid w:val="00084AE6"/>
    <w:rsid w:val="0008561F"/>
    <w:rsid w:val="0008790E"/>
    <w:rsid w:val="0009015E"/>
    <w:rsid w:val="000906A2"/>
    <w:rsid w:val="000909B0"/>
    <w:rsid w:val="00091411"/>
    <w:rsid w:val="0009269D"/>
    <w:rsid w:val="00092EF5"/>
    <w:rsid w:val="000935B0"/>
    <w:rsid w:val="00093EC3"/>
    <w:rsid w:val="000946AA"/>
    <w:rsid w:val="00094C85"/>
    <w:rsid w:val="00096062"/>
    <w:rsid w:val="000960BA"/>
    <w:rsid w:val="000972C6"/>
    <w:rsid w:val="00097454"/>
    <w:rsid w:val="000A00F7"/>
    <w:rsid w:val="000A0F68"/>
    <w:rsid w:val="000A105F"/>
    <w:rsid w:val="000A1269"/>
    <w:rsid w:val="000A1A4D"/>
    <w:rsid w:val="000A1DED"/>
    <w:rsid w:val="000A2C2B"/>
    <w:rsid w:val="000A2E8B"/>
    <w:rsid w:val="000A3A65"/>
    <w:rsid w:val="000A47EC"/>
    <w:rsid w:val="000A4DB4"/>
    <w:rsid w:val="000A6BDF"/>
    <w:rsid w:val="000A79C2"/>
    <w:rsid w:val="000B14D4"/>
    <w:rsid w:val="000B2FE1"/>
    <w:rsid w:val="000B3625"/>
    <w:rsid w:val="000B4464"/>
    <w:rsid w:val="000B4D34"/>
    <w:rsid w:val="000B540E"/>
    <w:rsid w:val="000B5856"/>
    <w:rsid w:val="000B5A01"/>
    <w:rsid w:val="000B6C8B"/>
    <w:rsid w:val="000B73D2"/>
    <w:rsid w:val="000B77A5"/>
    <w:rsid w:val="000B7B21"/>
    <w:rsid w:val="000C0515"/>
    <w:rsid w:val="000C0D2E"/>
    <w:rsid w:val="000C2177"/>
    <w:rsid w:val="000C4EAF"/>
    <w:rsid w:val="000C59F7"/>
    <w:rsid w:val="000C7321"/>
    <w:rsid w:val="000D0537"/>
    <w:rsid w:val="000D0B82"/>
    <w:rsid w:val="000D0FAE"/>
    <w:rsid w:val="000D1054"/>
    <w:rsid w:val="000D1394"/>
    <w:rsid w:val="000D3057"/>
    <w:rsid w:val="000D39D1"/>
    <w:rsid w:val="000D582B"/>
    <w:rsid w:val="000D678C"/>
    <w:rsid w:val="000D725A"/>
    <w:rsid w:val="000D735A"/>
    <w:rsid w:val="000D78D1"/>
    <w:rsid w:val="000D7B83"/>
    <w:rsid w:val="000E0554"/>
    <w:rsid w:val="000E084F"/>
    <w:rsid w:val="000E14D0"/>
    <w:rsid w:val="000E1C80"/>
    <w:rsid w:val="000E2E50"/>
    <w:rsid w:val="000E3075"/>
    <w:rsid w:val="000E3178"/>
    <w:rsid w:val="000E44E0"/>
    <w:rsid w:val="000E4AD3"/>
    <w:rsid w:val="000E55F7"/>
    <w:rsid w:val="000E6782"/>
    <w:rsid w:val="000E6C40"/>
    <w:rsid w:val="000E71CA"/>
    <w:rsid w:val="000E73FC"/>
    <w:rsid w:val="000E7521"/>
    <w:rsid w:val="000E765C"/>
    <w:rsid w:val="000F051F"/>
    <w:rsid w:val="000F1197"/>
    <w:rsid w:val="000F25F3"/>
    <w:rsid w:val="000F2E94"/>
    <w:rsid w:val="000F2F61"/>
    <w:rsid w:val="000F4824"/>
    <w:rsid w:val="000F4D1C"/>
    <w:rsid w:val="000F540A"/>
    <w:rsid w:val="000F606D"/>
    <w:rsid w:val="000F7B0C"/>
    <w:rsid w:val="000F7EE0"/>
    <w:rsid w:val="001004A6"/>
    <w:rsid w:val="001011D2"/>
    <w:rsid w:val="00102AA3"/>
    <w:rsid w:val="00102D6A"/>
    <w:rsid w:val="00104441"/>
    <w:rsid w:val="00105412"/>
    <w:rsid w:val="00106E18"/>
    <w:rsid w:val="001070FF"/>
    <w:rsid w:val="00107342"/>
    <w:rsid w:val="00107770"/>
    <w:rsid w:val="001105BE"/>
    <w:rsid w:val="0011061C"/>
    <w:rsid w:val="0011081B"/>
    <w:rsid w:val="00110EC0"/>
    <w:rsid w:val="0011178E"/>
    <w:rsid w:val="00112C09"/>
    <w:rsid w:val="001140C9"/>
    <w:rsid w:val="0011462F"/>
    <w:rsid w:val="001147E2"/>
    <w:rsid w:val="0011683A"/>
    <w:rsid w:val="00117B74"/>
    <w:rsid w:val="00117C1E"/>
    <w:rsid w:val="00121650"/>
    <w:rsid w:val="001216A1"/>
    <w:rsid w:val="0012315A"/>
    <w:rsid w:val="00123604"/>
    <w:rsid w:val="00123875"/>
    <w:rsid w:val="00123D3E"/>
    <w:rsid w:val="0012432B"/>
    <w:rsid w:val="00124A22"/>
    <w:rsid w:val="0012547B"/>
    <w:rsid w:val="00125535"/>
    <w:rsid w:val="001256B7"/>
    <w:rsid w:val="00125DA8"/>
    <w:rsid w:val="001269C4"/>
    <w:rsid w:val="00126C04"/>
    <w:rsid w:val="0012733D"/>
    <w:rsid w:val="001273EB"/>
    <w:rsid w:val="00127B95"/>
    <w:rsid w:val="0013043F"/>
    <w:rsid w:val="00131067"/>
    <w:rsid w:val="00132007"/>
    <w:rsid w:val="00132274"/>
    <w:rsid w:val="001325A5"/>
    <w:rsid w:val="00132760"/>
    <w:rsid w:val="00133661"/>
    <w:rsid w:val="001348C2"/>
    <w:rsid w:val="00134BE3"/>
    <w:rsid w:val="00134C45"/>
    <w:rsid w:val="00137DBA"/>
    <w:rsid w:val="0014189B"/>
    <w:rsid w:val="0014251C"/>
    <w:rsid w:val="00142974"/>
    <w:rsid w:val="00143F84"/>
    <w:rsid w:val="001445E4"/>
    <w:rsid w:val="0014483A"/>
    <w:rsid w:val="00145A6E"/>
    <w:rsid w:val="00145CF2"/>
    <w:rsid w:val="001460AD"/>
    <w:rsid w:val="00146D79"/>
    <w:rsid w:val="001470C2"/>
    <w:rsid w:val="001472EC"/>
    <w:rsid w:val="00150012"/>
    <w:rsid w:val="00150059"/>
    <w:rsid w:val="00150A21"/>
    <w:rsid w:val="00152EE7"/>
    <w:rsid w:val="00152F8F"/>
    <w:rsid w:val="001549DF"/>
    <w:rsid w:val="00155195"/>
    <w:rsid w:val="001554F0"/>
    <w:rsid w:val="0015558C"/>
    <w:rsid w:val="001559DA"/>
    <w:rsid w:val="00157B21"/>
    <w:rsid w:val="00161F13"/>
    <w:rsid w:val="00163C3B"/>
    <w:rsid w:val="001649C0"/>
    <w:rsid w:val="001664DF"/>
    <w:rsid w:val="0016694D"/>
    <w:rsid w:val="00166D8B"/>
    <w:rsid w:val="001700B3"/>
    <w:rsid w:val="0017076B"/>
    <w:rsid w:val="0017172F"/>
    <w:rsid w:val="00171750"/>
    <w:rsid w:val="001720EB"/>
    <w:rsid w:val="00172EF6"/>
    <w:rsid w:val="00172F07"/>
    <w:rsid w:val="00174442"/>
    <w:rsid w:val="0017449A"/>
    <w:rsid w:val="0017690C"/>
    <w:rsid w:val="00176D77"/>
    <w:rsid w:val="00176D8B"/>
    <w:rsid w:val="0017759D"/>
    <w:rsid w:val="00177EE9"/>
    <w:rsid w:val="00180408"/>
    <w:rsid w:val="00180FE4"/>
    <w:rsid w:val="00181163"/>
    <w:rsid w:val="001813D0"/>
    <w:rsid w:val="001829D2"/>
    <w:rsid w:val="001838EB"/>
    <w:rsid w:val="00184522"/>
    <w:rsid w:val="001850DE"/>
    <w:rsid w:val="00186C16"/>
    <w:rsid w:val="00186CC4"/>
    <w:rsid w:val="00186F3E"/>
    <w:rsid w:val="00187722"/>
    <w:rsid w:val="001907DA"/>
    <w:rsid w:val="00190FF4"/>
    <w:rsid w:val="00192E38"/>
    <w:rsid w:val="00193047"/>
    <w:rsid w:val="00193214"/>
    <w:rsid w:val="00193217"/>
    <w:rsid w:val="00193EF8"/>
    <w:rsid w:val="001945D6"/>
    <w:rsid w:val="0019472E"/>
    <w:rsid w:val="001964A3"/>
    <w:rsid w:val="001978B3"/>
    <w:rsid w:val="00197C2F"/>
    <w:rsid w:val="001A1995"/>
    <w:rsid w:val="001A584B"/>
    <w:rsid w:val="001A6E86"/>
    <w:rsid w:val="001A766B"/>
    <w:rsid w:val="001A77A8"/>
    <w:rsid w:val="001B038E"/>
    <w:rsid w:val="001B1459"/>
    <w:rsid w:val="001B14EA"/>
    <w:rsid w:val="001B168E"/>
    <w:rsid w:val="001B35D0"/>
    <w:rsid w:val="001B3B3B"/>
    <w:rsid w:val="001B5B2F"/>
    <w:rsid w:val="001B65FA"/>
    <w:rsid w:val="001C1838"/>
    <w:rsid w:val="001C2667"/>
    <w:rsid w:val="001C27C1"/>
    <w:rsid w:val="001C2A41"/>
    <w:rsid w:val="001C3D4D"/>
    <w:rsid w:val="001C4818"/>
    <w:rsid w:val="001C4FB0"/>
    <w:rsid w:val="001C4FB4"/>
    <w:rsid w:val="001C7383"/>
    <w:rsid w:val="001D44AF"/>
    <w:rsid w:val="001D4F19"/>
    <w:rsid w:val="001D5347"/>
    <w:rsid w:val="001E0CE8"/>
    <w:rsid w:val="001E18DB"/>
    <w:rsid w:val="001E1912"/>
    <w:rsid w:val="001E2B2F"/>
    <w:rsid w:val="001E2BD8"/>
    <w:rsid w:val="001E4604"/>
    <w:rsid w:val="001E49E7"/>
    <w:rsid w:val="001E6A9B"/>
    <w:rsid w:val="001E701E"/>
    <w:rsid w:val="001E7643"/>
    <w:rsid w:val="001F058C"/>
    <w:rsid w:val="001F0604"/>
    <w:rsid w:val="001F063F"/>
    <w:rsid w:val="001F0FC4"/>
    <w:rsid w:val="001F113C"/>
    <w:rsid w:val="001F1309"/>
    <w:rsid w:val="001F142F"/>
    <w:rsid w:val="001F2ADF"/>
    <w:rsid w:val="001F417D"/>
    <w:rsid w:val="001F67C5"/>
    <w:rsid w:val="001F6F5E"/>
    <w:rsid w:val="001F6F95"/>
    <w:rsid w:val="001F6FDF"/>
    <w:rsid w:val="00201FE1"/>
    <w:rsid w:val="00203D04"/>
    <w:rsid w:val="00204B73"/>
    <w:rsid w:val="00204F1C"/>
    <w:rsid w:val="00205409"/>
    <w:rsid w:val="00205627"/>
    <w:rsid w:val="0020657D"/>
    <w:rsid w:val="00207814"/>
    <w:rsid w:val="002107E2"/>
    <w:rsid w:val="00210AB8"/>
    <w:rsid w:val="00211C3F"/>
    <w:rsid w:val="00211F52"/>
    <w:rsid w:val="002124D1"/>
    <w:rsid w:val="00213209"/>
    <w:rsid w:val="00213C47"/>
    <w:rsid w:val="00215300"/>
    <w:rsid w:val="0021544A"/>
    <w:rsid w:val="00215963"/>
    <w:rsid w:val="002161D1"/>
    <w:rsid w:val="00216E0B"/>
    <w:rsid w:val="00217106"/>
    <w:rsid w:val="0021769C"/>
    <w:rsid w:val="00217FEB"/>
    <w:rsid w:val="002209C4"/>
    <w:rsid w:val="00222429"/>
    <w:rsid w:val="00223C96"/>
    <w:rsid w:val="00224542"/>
    <w:rsid w:val="00224B01"/>
    <w:rsid w:val="002255E1"/>
    <w:rsid w:val="002257B4"/>
    <w:rsid w:val="00225E29"/>
    <w:rsid w:val="00227084"/>
    <w:rsid w:val="002278F9"/>
    <w:rsid w:val="0023082A"/>
    <w:rsid w:val="00231E75"/>
    <w:rsid w:val="002323A5"/>
    <w:rsid w:val="002326C7"/>
    <w:rsid w:val="00233485"/>
    <w:rsid w:val="002334F6"/>
    <w:rsid w:val="00233B27"/>
    <w:rsid w:val="00234757"/>
    <w:rsid w:val="00236654"/>
    <w:rsid w:val="002370D8"/>
    <w:rsid w:val="00237145"/>
    <w:rsid w:val="0023717E"/>
    <w:rsid w:val="002402F8"/>
    <w:rsid w:val="002406D0"/>
    <w:rsid w:val="0024079D"/>
    <w:rsid w:val="00240864"/>
    <w:rsid w:val="00240ABA"/>
    <w:rsid w:val="00240ABC"/>
    <w:rsid w:val="00240E5B"/>
    <w:rsid w:val="00241855"/>
    <w:rsid w:val="00241CE3"/>
    <w:rsid w:val="002423E9"/>
    <w:rsid w:val="002441A5"/>
    <w:rsid w:val="002448DB"/>
    <w:rsid w:val="00244B72"/>
    <w:rsid w:val="00244CEF"/>
    <w:rsid w:val="00245055"/>
    <w:rsid w:val="00245495"/>
    <w:rsid w:val="00245B8B"/>
    <w:rsid w:val="002460BC"/>
    <w:rsid w:val="002469C1"/>
    <w:rsid w:val="00247209"/>
    <w:rsid w:val="00247778"/>
    <w:rsid w:val="002478D3"/>
    <w:rsid w:val="00251493"/>
    <w:rsid w:val="00251AAE"/>
    <w:rsid w:val="00251F46"/>
    <w:rsid w:val="00252196"/>
    <w:rsid w:val="002527CA"/>
    <w:rsid w:val="00252F8E"/>
    <w:rsid w:val="00253CA1"/>
    <w:rsid w:val="00255AEC"/>
    <w:rsid w:val="00255C53"/>
    <w:rsid w:val="00256E9F"/>
    <w:rsid w:val="002570C3"/>
    <w:rsid w:val="002572CD"/>
    <w:rsid w:val="00257744"/>
    <w:rsid w:val="00257EA1"/>
    <w:rsid w:val="00260083"/>
    <w:rsid w:val="00260328"/>
    <w:rsid w:val="00261D6E"/>
    <w:rsid w:val="00262852"/>
    <w:rsid w:val="00263A0A"/>
    <w:rsid w:val="00264A8E"/>
    <w:rsid w:val="00264E3B"/>
    <w:rsid w:val="002651EF"/>
    <w:rsid w:val="00265A7D"/>
    <w:rsid w:val="00265F48"/>
    <w:rsid w:val="00266524"/>
    <w:rsid w:val="00266905"/>
    <w:rsid w:val="00267105"/>
    <w:rsid w:val="0027011A"/>
    <w:rsid w:val="0027240C"/>
    <w:rsid w:val="00272C50"/>
    <w:rsid w:val="00273119"/>
    <w:rsid w:val="002740E3"/>
    <w:rsid w:val="00275310"/>
    <w:rsid w:val="00275E5D"/>
    <w:rsid w:val="00276003"/>
    <w:rsid w:val="002762A9"/>
    <w:rsid w:val="00276794"/>
    <w:rsid w:val="0027683A"/>
    <w:rsid w:val="00277F20"/>
    <w:rsid w:val="00282629"/>
    <w:rsid w:val="00284F57"/>
    <w:rsid w:val="00286D23"/>
    <w:rsid w:val="00286DCC"/>
    <w:rsid w:val="0028760E"/>
    <w:rsid w:val="00291768"/>
    <w:rsid w:val="00291EF6"/>
    <w:rsid w:val="0029315A"/>
    <w:rsid w:val="00297E24"/>
    <w:rsid w:val="002A0C3D"/>
    <w:rsid w:val="002A11B7"/>
    <w:rsid w:val="002A1407"/>
    <w:rsid w:val="002A2247"/>
    <w:rsid w:val="002A228A"/>
    <w:rsid w:val="002A328E"/>
    <w:rsid w:val="002A38F0"/>
    <w:rsid w:val="002A461D"/>
    <w:rsid w:val="002A60C3"/>
    <w:rsid w:val="002A6548"/>
    <w:rsid w:val="002A734A"/>
    <w:rsid w:val="002B0043"/>
    <w:rsid w:val="002B1D29"/>
    <w:rsid w:val="002B2044"/>
    <w:rsid w:val="002B2276"/>
    <w:rsid w:val="002B2B79"/>
    <w:rsid w:val="002B3717"/>
    <w:rsid w:val="002B3AB5"/>
    <w:rsid w:val="002B51BE"/>
    <w:rsid w:val="002C04BF"/>
    <w:rsid w:val="002C0E6D"/>
    <w:rsid w:val="002C13CF"/>
    <w:rsid w:val="002C1E64"/>
    <w:rsid w:val="002C1E6C"/>
    <w:rsid w:val="002C2324"/>
    <w:rsid w:val="002C2FBF"/>
    <w:rsid w:val="002C3CA1"/>
    <w:rsid w:val="002C40CB"/>
    <w:rsid w:val="002C4E7B"/>
    <w:rsid w:val="002C5A42"/>
    <w:rsid w:val="002C6745"/>
    <w:rsid w:val="002C681F"/>
    <w:rsid w:val="002D0C56"/>
    <w:rsid w:val="002D2B0D"/>
    <w:rsid w:val="002D2D2D"/>
    <w:rsid w:val="002D38C7"/>
    <w:rsid w:val="002D4B15"/>
    <w:rsid w:val="002D5945"/>
    <w:rsid w:val="002D762C"/>
    <w:rsid w:val="002E06CE"/>
    <w:rsid w:val="002E0B92"/>
    <w:rsid w:val="002E2871"/>
    <w:rsid w:val="002E3BD8"/>
    <w:rsid w:val="002E3D93"/>
    <w:rsid w:val="002E4B00"/>
    <w:rsid w:val="002E5A19"/>
    <w:rsid w:val="002E5B8A"/>
    <w:rsid w:val="002E66C3"/>
    <w:rsid w:val="002E7615"/>
    <w:rsid w:val="002E7DE0"/>
    <w:rsid w:val="002F0689"/>
    <w:rsid w:val="002F14DE"/>
    <w:rsid w:val="002F43DA"/>
    <w:rsid w:val="002F4D7C"/>
    <w:rsid w:val="002F5102"/>
    <w:rsid w:val="002F5328"/>
    <w:rsid w:val="002F5474"/>
    <w:rsid w:val="002F619B"/>
    <w:rsid w:val="002F6850"/>
    <w:rsid w:val="002F77DE"/>
    <w:rsid w:val="00301175"/>
    <w:rsid w:val="00301253"/>
    <w:rsid w:val="00302A6A"/>
    <w:rsid w:val="00302B52"/>
    <w:rsid w:val="003038BE"/>
    <w:rsid w:val="00303DF2"/>
    <w:rsid w:val="00306255"/>
    <w:rsid w:val="0030746D"/>
    <w:rsid w:val="00307625"/>
    <w:rsid w:val="0030765D"/>
    <w:rsid w:val="00307698"/>
    <w:rsid w:val="0030779F"/>
    <w:rsid w:val="00312527"/>
    <w:rsid w:val="003134EA"/>
    <w:rsid w:val="003136B7"/>
    <w:rsid w:val="00313B39"/>
    <w:rsid w:val="00314D71"/>
    <w:rsid w:val="00315385"/>
    <w:rsid w:val="003174DD"/>
    <w:rsid w:val="00317891"/>
    <w:rsid w:val="00317905"/>
    <w:rsid w:val="00317E44"/>
    <w:rsid w:val="0032510B"/>
    <w:rsid w:val="00326976"/>
    <w:rsid w:val="00326E44"/>
    <w:rsid w:val="00327513"/>
    <w:rsid w:val="00327624"/>
    <w:rsid w:val="00327729"/>
    <w:rsid w:val="003301FA"/>
    <w:rsid w:val="0033045F"/>
    <w:rsid w:val="00330B1D"/>
    <w:rsid w:val="00330EE7"/>
    <w:rsid w:val="00330F78"/>
    <w:rsid w:val="003329FF"/>
    <w:rsid w:val="00332B68"/>
    <w:rsid w:val="00332E0A"/>
    <w:rsid w:val="003332A3"/>
    <w:rsid w:val="0033525B"/>
    <w:rsid w:val="003356F7"/>
    <w:rsid w:val="00335DD0"/>
    <w:rsid w:val="00336589"/>
    <w:rsid w:val="00336753"/>
    <w:rsid w:val="00337792"/>
    <w:rsid w:val="00337F9A"/>
    <w:rsid w:val="00340944"/>
    <w:rsid w:val="00340A19"/>
    <w:rsid w:val="00340D6B"/>
    <w:rsid w:val="00340DDE"/>
    <w:rsid w:val="00341655"/>
    <w:rsid w:val="00341DF7"/>
    <w:rsid w:val="00341E88"/>
    <w:rsid w:val="003428D1"/>
    <w:rsid w:val="00342E35"/>
    <w:rsid w:val="00343879"/>
    <w:rsid w:val="00343B94"/>
    <w:rsid w:val="0034411F"/>
    <w:rsid w:val="00344512"/>
    <w:rsid w:val="00344C59"/>
    <w:rsid w:val="003450A2"/>
    <w:rsid w:val="00345A78"/>
    <w:rsid w:val="00346229"/>
    <w:rsid w:val="0034657E"/>
    <w:rsid w:val="00347DAF"/>
    <w:rsid w:val="0035044A"/>
    <w:rsid w:val="00350497"/>
    <w:rsid w:val="003519B5"/>
    <w:rsid w:val="00352194"/>
    <w:rsid w:val="003537DA"/>
    <w:rsid w:val="00353DB6"/>
    <w:rsid w:val="003552DA"/>
    <w:rsid w:val="00355305"/>
    <w:rsid w:val="00355C74"/>
    <w:rsid w:val="003570A0"/>
    <w:rsid w:val="003575E0"/>
    <w:rsid w:val="00357847"/>
    <w:rsid w:val="00361ABE"/>
    <w:rsid w:val="00362095"/>
    <w:rsid w:val="003621AA"/>
    <w:rsid w:val="003623F3"/>
    <w:rsid w:val="00362A60"/>
    <w:rsid w:val="00362CA4"/>
    <w:rsid w:val="00362D24"/>
    <w:rsid w:val="00365407"/>
    <w:rsid w:val="00365DAA"/>
    <w:rsid w:val="003661FA"/>
    <w:rsid w:val="003671F1"/>
    <w:rsid w:val="0036747C"/>
    <w:rsid w:val="00370C58"/>
    <w:rsid w:val="00371249"/>
    <w:rsid w:val="003718F9"/>
    <w:rsid w:val="00372A3F"/>
    <w:rsid w:val="00372B08"/>
    <w:rsid w:val="00373494"/>
    <w:rsid w:val="00375B6A"/>
    <w:rsid w:val="00376338"/>
    <w:rsid w:val="00381CAE"/>
    <w:rsid w:val="00382398"/>
    <w:rsid w:val="00383CB4"/>
    <w:rsid w:val="00384ABC"/>
    <w:rsid w:val="00386111"/>
    <w:rsid w:val="003862DD"/>
    <w:rsid w:val="003864E7"/>
    <w:rsid w:val="00386547"/>
    <w:rsid w:val="0038676C"/>
    <w:rsid w:val="00387104"/>
    <w:rsid w:val="00387F54"/>
    <w:rsid w:val="00392AE6"/>
    <w:rsid w:val="00392D7F"/>
    <w:rsid w:val="00393560"/>
    <w:rsid w:val="003947F2"/>
    <w:rsid w:val="0039490A"/>
    <w:rsid w:val="00394CF9"/>
    <w:rsid w:val="003950C6"/>
    <w:rsid w:val="0039681B"/>
    <w:rsid w:val="00397C3F"/>
    <w:rsid w:val="00397DA3"/>
    <w:rsid w:val="003A02D6"/>
    <w:rsid w:val="003A0994"/>
    <w:rsid w:val="003A1589"/>
    <w:rsid w:val="003A294A"/>
    <w:rsid w:val="003A5D62"/>
    <w:rsid w:val="003A645F"/>
    <w:rsid w:val="003A67D5"/>
    <w:rsid w:val="003A68A0"/>
    <w:rsid w:val="003A719F"/>
    <w:rsid w:val="003A7637"/>
    <w:rsid w:val="003A797D"/>
    <w:rsid w:val="003B08AB"/>
    <w:rsid w:val="003B1519"/>
    <w:rsid w:val="003B165E"/>
    <w:rsid w:val="003B21B2"/>
    <w:rsid w:val="003B52C0"/>
    <w:rsid w:val="003B67ED"/>
    <w:rsid w:val="003B7659"/>
    <w:rsid w:val="003B7685"/>
    <w:rsid w:val="003B7A5E"/>
    <w:rsid w:val="003B7A8E"/>
    <w:rsid w:val="003B7EAE"/>
    <w:rsid w:val="003C125C"/>
    <w:rsid w:val="003C15C5"/>
    <w:rsid w:val="003C20CF"/>
    <w:rsid w:val="003C2CAD"/>
    <w:rsid w:val="003C42B7"/>
    <w:rsid w:val="003C5C96"/>
    <w:rsid w:val="003C5F40"/>
    <w:rsid w:val="003C5FC9"/>
    <w:rsid w:val="003C6B6E"/>
    <w:rsid w:val="003D0213"/>
    <w:rsid w:val="003D047F"/>
    <w:rsid w:val="003D071E"/>
    <w:rsid w:val="003D082B"/>
    <w:rsid w:val="003D0989"/>
    <w:rsid w:val="003D0A60"/>
    <w:rsid w:val="003D0C18"/>
    <w:rsid w:val="003D184D"/>
    <w:rsid w:val="003D24A4"/>
    <w:rsid w:val="003D27B0"/>
    <w:rsid w:val="003D2E53"/>
    <w:rsid w:val="003D2F4D"/>
    <w:rsid w:val="003D3D34"/>
    <w:rsid w:val="003D3D3B"/>
    <w:rsid w:val="003D3F53"/>
    <w:rsid w:val="003D43A4"/>
    <w:rsid w:val="003D5130"/>
    <w:rsid w:val="003D557E"/>
    <w:rsid w:val="003D5A86"/>
    <w:rsid w:val="003D72D8"/>
    <w:rsid w:val="003D7996"/>
    <w:rsid w:val="003E03A1"/>
    <w:rsid w:val="003E03E4"/>
    <w:rsid w:val="003E069C"/>
    <w:rsid w:val="003E3135"/>
    <w:rsid w:val="003E49E5"/>
    <w:rsid w:val="003E529E"/>
    <w:rsid w:val="003E568F"/>
    <w:rsid w:val="003E5AE7"/>
    <w:rsid w:val="003E6982"/>
    <w:rsid w:val="003E783A"/>
    <w:rsid w:val="003E788A"/>
    <w:rsid w:val="003F09C1"/>
    <w:rsid w:val="003F1220"/>
    <w:rsid w:val="003F2272"/>
    <w:rsid w:val="003F2FDB"/>
    <w:rsid w:val="003F38E8"/>
    <w:rsid w:val="003F4DA7"/>
    <w:rsid w:val="003F50B1"/>
    <w:rsid w:val="003F668C"/>
    <w:rsid w:val="004008C0"/>
    <w:rsid w:val="00400BF5"/>
    <w:rsid w:val="004010D2"/>
    <w:rsid w:val="0040176D"/>
    <w:rsid w:val="0040263A"/>
    <w:rsid w:val="0040348D"/>
    <w:rsid w:val="004049A9"/>
    <w:rsid w:val="0040685E"/>
    <w:rsid w:val="00406C97"/>
    <w:rsid w:val="004104AC"/>
    <w:rsid w:val="00412105"/>
    <w:rsid w:val="00412B4B"/>
    <w:rsid w:val="00413F7E"/>
    <w:rsid w:val="00414624"/>
    <w:rsid w:val="00414702"/>
    <w:rsid w:val="004158FA"/>
    <w:rsid w:val="0041642C"/>
    <w:rsid w:val="00417DCB"/>
    <w:rsid w:val="00420C89"/>
    <w:rsid w:val="00421A03"/>
    <w:rsid w:val="0042203E"/>
    <w:rsid w:val="00422501"/>
    <w:rsid w:val="004241A1"/>
    <w:rsid w:val="004243F1"/>
    <w:rsid w:val="004246D4"/>
    <w:rsid w:val="00425D0E"/>
    <w:rsid w:val="00426228"/>
    <w:rsid w:val="0042698C"/>
    <w:rsid w:val="00426C9E"/>
    <w:rsid w:val="0042726F"/>
    <w:rsid w:val="0042741F"/>
    <w:rsid w:val="00430AC8"/>
    <w:rsid w:val="00432288"/>
    <w:rsid w:val="004326B0"/>
    <w:rsid w:val="00433397"/>
    <w:rsid w:val="004335A3"/>
    <w:rsid w:val="004349AE"/>
    <w:rsid w:val="0043587B"/>
    <w:rsid w:val="00436982"/>
    <w:rsid w:val="00436B33"/>
    <w:rsid w:val="00436E61"/>
    <w:rsid w:val="00436FFA"/>
    <w:rsid w:val="00437C04"/>
    <w:rsid w:val="004409F7"/>
    <w:rsid w:val="004426DC"/>
    <w:rsid w:val="00443A81"/>
    <w:rsid w:val="00443CB3"/>
    <w:rsid w:val="00443DBD"/>
    <w:rsid w:val="00443FC6"/>
    <w:rsid w:val="00444289"/>
    <w:rsid w:val="00444766"/>
    <w:rsid w:val="004449DB"/>
    <w:rsid w:val="00444E32"/>
    <w:rsid w:val="00445151"/>
    <w:rsid w:val="00447459"/>
    <w:rsid w:val="0045026B"/>
    <w:rsid w:val="00451135"/>
    <w:rsid w:val="004516AC"/>
    <w:rsid w:val="00451987"/>
    <w:rsid w:val="004529D6"/>
    <w:rsid w:val="00453CE5"/>
    <w:rsid w:val="004546A1"/>
    <w:rsid w:val="00454868"/>
    <w:rsid w:val="004552E5"/>
    <w:rsid w:val="00455ECB"/>
    <w:rsid w:val="004563A6"/>
    <w:rsid w:val="00456A13"/>
    <w:rsid w:val="00456A1A"/>
    <w:rsid w:val="0045766D"/>
    <w:rsid w:val="0046055E"/>
    <w:rsid w:val="00461120"/>
    <w:rsid w:val="00462432"/>
    <w:rsid w:val="00462B80"/>
    <w:rsid w:val="00463068"/>
    <w:rsid w:val="0046343D"/>
    <w:rsid w:val="004634AF"/>
    <w:rsid w:val="00464239"/>
    <w:rsid w:val="00464997"/>
    <w:rsid w:val="00464C32"/>
    <w:rsid w:val="00465363"/>
    <w:rsid w:val="00465948"/>
    <w:rsid w:val="0046594C"/>
    <w:rsid w:val="0046664E"/>
    <w:rsid w:val="0046789C"/>
    <w:rsid w:val="00467F2A"/>
    <w:rsid w:val="00467F54"/>
    <w:rsid w:val="004710C9"/>
    <w:rsid w:val="00471172"/>
    <w:rsid w:val="004718DA"/>
    <w:rsid w:val="004719C1"/>
    <w:rsid w:val="00472294"/>
    <w:rsid w:val="004748A7"/>
    <w:rsid w:val="0047559A"/>
    <w:rsid w:val="00476597"/>
    <w:rsid w:val="00477292"/>
    <w:rsid w:val="004773DD"/>
    <w:rsid w:val="0048014F"/>
    <w:rsid w:val="00480699"/>
    <w:rsid w:val="00480DDB"/>
    <w:rsid w:val="00482138"/>
    <w:rsid w:val="004823A1"/>
    <w:rsid w:val="00482B98"/>
    <w:rsid w:val="0048344E"/>
    <w:rsid w:val="00483D16"/>
    <w:rsid w:val="00486F2E"/>
    <w:rsid w:val="004872EF"/>
    <w:rsid w:val="004878CE"/>
    <w:rsid w:val="00491932"/>
    <w:rsid w:val="00491995"/>
    <w:rsid w:val="00492A3F"/>
    <w:rsid w:val="004931F1"/>
    <w:rsid w:val="004959D2"/>
    <w:rsid w:val="004965B0"/>
    <w:rsid w:val="004974C9"/>
    <w:rsid w:val="004A010E"/>
    <w:rsid w:val="004A0FE4"/>
    <w:rsid w:val="004A1BCD"/>
    <w:rsid w:val="004A2522"/>
    <w:rsid w:val="004A254F"/>
    <w:rsid w:val="004A3259"/>
    <w:rsid w:val="004A492C"/>
    <w:rsid w:val="004A7490"/>
    <w:rsid w:val="004B03D5"/>
    <w:rsid w:val="004B0534"/>
    <w:rsid w:val="004B2482"/>
    <w:rsid w:val="004B403B"/>
    <w:rsid w:val="004B4AD0"/>
    <w:rsid w:val="004B58CA"/>
    <w:rsid w:val="004B69DB"/>
    <w:rsid w:val="004B6ADA"/>
    <w:rsid w:val="004B6BA3"/>
    <w:rsid w:val="004C0E78"/>
    <w:rsid w:val="004C1174"/>
    <w:rsid w:val="004C12C9"/>
    <w:rsid w:val="004C12F0"/>
    <w:rsid w:val="004C17C5"/>
    <w:rsid w:val="004C219F"/>
    <w:rsid w:val="004C240F"/>
    <w:rsid w:val="004C2653"/>
    <w:rsid w:val="004C285B"/>
    <w:rsid w:val="004C3D1F"/>
    <w:rsid w:val="004C5048"/>
    <w:rsid w:val="004C55B4"/>
    <w:rsid w:val="004C5BEC"/>
    <w:rsid w:val="004C5C81"/>
    <w:rsid w:val="004C6C15"/>
    <w:rsid w:val="004C6F8D"/>
    <w:rsid w:val="004C7BDF"/>
    <w:rsid w:val="004D05F2"/>
    <w:rsid w:val="004D0619"/>
    <w:rsid w:val="004D0A47"/>
    <w:rsid w:val="004D0C06"/>
    <w:rsid w:val="004D1A9D"/>
    <w:rsid w:val="004D1F43"/>
    <w:rsid w:val="004D3A5E"/>
    <w:rsid w:val="004D3ACE"/>
    <w:rsid w:val="004D6D23"/>
    <w:rsid w:val="004D7C64"/>
    <w:rsid w:val="004E0208"/>
    <w:rsid w:val="004E0EF1"/>
    <w:rsid w:val="004E13A4"/>
    <w:rsid w:val="004E1EC8"/>
    <w:rsid w:val="004E3218"/>
    <w:rsid w:val="004E33F6"/>
    <w:rsid w:val="004E355C"/>
    <w:rsid w:val="004E3562"/>
    <w:rsid w:val="004E391D"/>
    <w:rsid w:val="004E43E2"/>
    <w:rsid w:val="004E45D3"/>
    <w:rsid w:val="004E49FE"/>
    <w:rsid w:val="004E4BE3"/>
    <w:rsid w:val="004E4D69"/>
    <w:rsid w:val="004E4E4E"/>
    <w:rsid w:val="004E4EBD"/>
    <w:rsid w:val="004E58EE"/>
    <w:rsid w:val="004E5CD7"/>
    <w:rsid w:val="004E67E5"/>
    <w:rsid w:val="004E7C1E"/>
    <w:rsid w:val="004F0C7D"/>
    <w:rsid w:val="004F0F4C"/>
    <w:rsid w:val="004F1DEF"/>
    <w:rsid w:val="004F1FA6"/>
    <w:rsid w:val="004F2300"/>
    <w:rsid w:val="004F2CAD"/>
    <w:rsid w:val="004F3E0B"/>
    <w:rsid w:val="004F3F15"/>
    <w:rsid w:val="004F51AF"/>
    <w:rsid w:val="004F5A59"/>
    <w:rsid w:val="004F62A4"/>
    <w:rsid w:val="004F651C"/>
    <w:rsid w:val="004F79E4"/>
    <w:rsid w:val="004F7CCF"/>
    <w:rsid w:val="005008F3"/>
    <w:rsid w:val="00500E6A"/>
    <w:rsid w:val="00501737"/>
    <w:rsid w:val="00501931"/>
    <w:rsid w:val="005031B9"/>
    <w:rsid w:val="00503465"/>
    <w:rsid w:val="0050357E"/>
    <w:rsid w:val="00503636"/>
    <w:rsid w:val="0050393B"/>
    <w:rsid w:val="00503E2F"/>
    <w:rsid w:val="005040AD"/>
    <w:rsid w:val="00504FB2"/>
    <w:rsid w:val="005057C8"/>
    <w:rsid w:val="00505A68"/>
    <w:rsid w:val="00506CBA"/>
    <w:rsid w:val="00506FCD"/>
    <w:rsid w:val="00511809"/>
    <w:rsid w:val="005121C0"/>
    <w:rsid w:val="00512323"/>
    <w:rsid w:val="0051249B"/>
    <w:rsid w:val="00513A75"/>
    <w:rsid w:val="00513D66"/>
    <w:rsid w:val="00514246"/>
    <w:rsid w:val="00514DA0"/>
    <w:rsid w:val="00515024"/>
    <w:rsid w:val="005156E6"/>
    <w:rsid w:val="00516407"/>
    <w:rsid w:val="00516451"/>
    <w:rsid w:val="00516618"/>
    <w:rsid w:val="00517D8B"/>
    <w:rsid w:val="00521154"/>
    <w:rsid w:val="0052258A"/>
    <w:rsid w:val="00522977"/>
    <w:rsid w:val="0052318E"/>
    <w:rsid w:val="0052359A"/>
    <w:rsid w:val="00524EBF"/>
    <w:rsid w:val="0052511B"/>
    <w:rsid w:val="00525451"/>
    <w:rsid w:val="00525A7D"/>
    <w:rsid w:val="005260A8"/>
    <w:rsid w:val="00526AC1"/>
    <w:rsid w:val="00527686"/>
    <w:rsid w:val="00530A99"/>
    <w:rsid w:val="005313BB"/>
    <w:rsid w:val="00532A95"/>
    <w:rsid w:val="00532E02"/>
    <w:rsid w:val="00534682"/>
    <w:rsid w:val="0053516F"/>
    <w:rsid w:val="005353F6"/>
    <w:rsid w:val="00535EA0"/>
    <w:rsid w:val="00540BB0"/>
    <w:rsid w:val="0054100C"/>
    <w:rsid w:val="00543268"/>
    <w:rsid w:val="0054341D"/>
    <w:rsid w:val="00544DAF"/>
    <w:rsid w:val="00545DE5"/>
    <w:rsid w:val="005463E4"/>
    <w:rsid w:val="00546E20"/>
    <w:rsid w:val="0054759A"/>
    <w:rsid w:val="00550C61"/>
    <w:rsid w:val="0055157D"/>
    <w:rsid w:val="005520FD"/>
    <w:rsid w:val="005556D3"/>
    <w:rsid w:val="0055638F"/>
    <w:rsid w:val="005564F1"/>
    <w:rsid w:val="0055673C"/>
    <w:rsid w:val="00560789"/>
    <w:rsid w:val="005607ED"/>
    <w:rsid w:val="005612CA"/>
    <w:rsid w:val="00561C3B"/>
    <w:rsid w:val="00562447"/>
    <w:rsid w:val="005625A1"/>
    <w:rsid w:val="00562780"/>
    <w:rsid w:val="00562E3F"/>
    <w:rsid w:val="00563387"/>
    <w:rsid w:val="00564887"/>
    <w:rsid w:val="00565D2C"/>
    <w:rsid w:val="0056643D"/>
    <w:rsid w:val="00566B75"/>
    <w:rsid w:val="00566BBB"/>
    <w:rsid w:val="00566D66"/>
    <w:rsid w:val="005670F3"/>
    <w:rsid w:val="0056790E"/>
    <w:rsid w:val="005740A4"/>
    <w:rsid w:val="00574B2E"/>
    <w:rsid w:val="00575CA1"/>
    <w:rsid w:val="00576106"/>
    <w:rsid w:val="0057792F"/>
    <w:rsid w:val="00580297"/>
    <w:rsid w:val="00580324"/>
    <w:rsid w:val="00580916"/>
    <w:rsid w:val="005811FD"/>
    <w:rsid w:val="00581FCB"/>
    <w:rsid w:val="00582D23"/>
    <w:rsid w:val="005836FC"/>
    <w:rsid w:val="00584C75"/>
    <w:rsid w:val="00585F5C"/>
    <w:rsid w:val="005863E3"/>
    <w:rsid w:val="0058644C"/>
    <w:rsid w:val="005866F7"/>
    <w:rsid w:val="0058673C"/>
    <w:rsid w:val="00586FF5"/>
    <w:rsid w:val="00590D54"/>
    <w:rsid w:val="00590F3B"/>
    <w:rsid w:val="00591367"/>
    <w:rsid w:val="005918CA"/>
    <w:rsid w:val="005927D5"/>
    <w:rsid w:val="00592C8D"/>
    <w:rsid w:val="005935E3"/>
    <w:rsid w:val="00593E6C"/>
    <w:rsid w:val="005946E7"/>
    <w:rsid w:val="00595058"/>
    <w:rsid w:val="005954DD"/>
    <w:rsid w:val="005958E5"/>
    <w:rsid w:val="005964CB"/>
    <w:rsid w:val="005965FC"/>
    <w:rsid w:val="005A0123"/>
    <w:rsid w:val="005A0650"/>
    <w:rsid w:val="005A1363"/>
    <w:rsid w:val="005A1403"/>
    <w:rsid w:val="005A1F94"/>
    <w:rsid w:val="005A29D0"/>
    <w:rsid w:val="005A3D9A"/>
    <w:rsid w:val="005A43B2"/>
    <w:rsid w:val="005A4B21"/>
    <w:rsid w:val="005A5B4E"/>
    <w:rsid w:val="005A62E1"/>
    <w:rsid w:val="005A646A"/>
    <w:rsid w:val="005A68EB"/>
    <w:rsid w:val="005A6913"/>
    <w:rsid w:val="005A7472"/>
    <w:rsid w:val="005A754A"/>
    <w:rsid w:val="005A76AD"/>
    <w:rsid w:val="005B0675"/>
    <w:rsid w:val="005B06C5"/>
    <w:rsid w:val="005B0837"/>
    <w:rsid w:val="005B0F20"/>
    <w:rsid w:val="005B15BE"/>
    <w:rsid w:val="005B1AB0"/>
    <w:rsid w:val="005B1B0D"/>
    <w:rsid w:val="005B36C1"/>
    <w:rsid w:val="005B629E"/>
    <w:rsid w:val="005B7D10"/>
    <w:rsid w:val="005C12BA"/>
    <w:rsid w:val="005C140F"/>
    <w:rsid w:val="005C2D29"/>
    <w:rsid w:val="005C33DE"/>
    <w:rsid w:val="005C3F1C"/>
    <w:rsid w:val="005C45FB"/>
    <w:rsid w:val="005C52D1"/>
    <w:rsid w:val="005C53FD"/>
    <w:rsid w:val="005C723F"/>
    <w:rsid w:val="005C7667"/>
    <w:rsid w:val="005C7F92"/>
    <w:rsid w:val="005D04F4"/>
    <w:rsid w:val="005D0EFC"/>
    <w:rsid w:val="005D12E4"/>
    <w:rsid w:val="005D35B0"/>
    <w:rsid w:val="005D3BB5"/>
    <w:rsid w:val="005D423F"/>
    <w:rsid w:val="005D4754"/>
    <w:rsid w:val="005D4A49"/>
    <w:rsid w:val="005D568B"/>
    <w:rsid w:val="005D6734"/>
    <w:rsid w:val="005D6B16"/>
    <w:rsid w:val="005D769F"/>
    <w:rsid w:val="005D786F"/>
    <w:rsid w:val="005D7F8A"/>
    <w:rsid w:val="005E0CF1"/>
    <w:rsid w:val="005E1A02"/>
    <w:rsid w:val="005E2511"/>
    <w:rsid w:val="005E2B17"/>
    <w:rsid w:val="005E36C5"/>
    <w:rsid w:val="005E6211"/>
    <w:rsid w:val="005E6C77"/>
    <w:rsid w:val="005E6CF7"/>
    <w:rsid w:val="005E7110"/>
    <w:rsid w:val="005E76B0"/>
    <w:rsid w:val="005F0A86"/>
    <w:rsid w:val="005F2324"/>
    <w:rsid w:val="005F249C"/>
    <w:rsid w:val="005F5097"/>
    <w:rsid w:val="005F63A7"/>
    <w:rsid w:val="005F6C67"/>
    <w:rsid w:val="005F6E35"/>
    <w:rsid w:val="005F704A"/>
    <w:rsid w:val="005F7591"/>
    <w:rsid w:val="005F7844"/>
    <w:rsid w:val="00600552"/>
    <w:rsid w:val="00600789"/>
    <w:rsid w:val="00601EFC"/>
    <w:rsid w:val="00603450"/>
    <w:rsid w:val="00603E68"/>
    <w:rsid w:val="006055DD"/>
    <w:rsid w:val="00605C22"/>
    <w:rsid w:val="006062AB"/>
    <w:rsid w:val="006067E7"/>
    <w:rsid w:val="00606B78"/>
    <w:rsid w:val="00606C9E"/>
    <w:rsid w:val="00606D4E"/>
    <w:rsid w:val="00606EA6"/>
    <w:rsid w:val="00606F60"/>
    <w:rsid w:val="006107B5"/>
    <w:rsid w:val="00610DC5"/>
    <w:rsid w:val="00610F07"/>
    <w:rsid w:val="0061319C"/>
    <w:rsid w:val="0061326B"/>
    <w:rsid w:val="00615269"/>
    <w:rsid w:val="00616569"/>
    <w:rsid w:val="00616B70"/>
    <w:rsid w:val="00617373"/>
    <w:rsid w:val="00617C1D"/>
    <w:rsid w:val="00617DF6"/>
    <w:rsid w:val="00620191"/>
    <w:rsid w:val="006204D1"/>
    <w:rsid w:val="0062071E"/>
    <w:rsid w:val="00620A40"/>
    <w:rsid w:val="00620E23"/>
    <w:rsid w:val="00621382"/>
    <w:rsid w:val="006217C0"/>
    <w:rsid w:val="00621D97"/>
    <w:rsid w:val="0062222E"/>
    <w:rsid w:val="00622C5D"/>
    <w:rsid w:val="00623064"/>
    <w:rsid w:val="006233E2"/>
    <w:rsid w:val="00624FF9"/>
    <w:rsid w:val="00625180"/>
    <w:rsid w:val="006266F7"/>
    <w:rsid w:val="0062671F"/>
    <w:rsid w:val="00626746"/>
    <w:rsid w:val="00626A33"/>
    <w:rsid w:val="006308E8"/>
    <w:rsid w:val="00630D88"/>
    <w:rsid w:val="00630F48"/>
    <w:rsid w:val="00632245"/>
    <w:rsid w:val="00632747"/>
    <w:rsid w:val="006327FE"/>
    <w:rsid w:val="006352E6"/>
    <w:rsid w:val="00637131"/>
    <w:rsid w:val="00637410"/>
    <w:rsid w:val="0063765A"/>
    <w:rsid w:val="00637FB4"/>
    <w:rsid w:val="00640082"/>
    <w:rsid w:val="00640ED3"/>
    <w:rsid w:val="0064168E"/>
    <w:rsid w:val="00641F3F"/>
    <w:rsid w:val="00643654"/>
    <w:rsid w:val="006459F3"/>
    <w:rsid w:val="00645A66"/>
    <w:rsid w:val="006460B0"/>
    <w:rsid w:val="00646D02"/>
    <w:rsid w:val="00646E90"/>
    <w:rsid w:val="006501A7"/>
    <w:rsid w:val="006502DB"/>
    <w:rsid w:val="006508C0"/>
    <w:rsid w:val="0065154D"/>
    <w:rsid w:val="00651605"/>
    <w:rsid w:val="00652093"/>
    <w:rsid w:val="006528BB"/>
    <w:rsid w:val="00653723"/>
    <w:rsid w:val="0065476E"/>
    <w:rsid w:val="0065598A"/>
    <w:rsid w:val="00657BC2"/>
    <w:rsid w:val="00657E2D"/>
    <w:rsid w:val="00657FAD"/>
    <w:rsid w:val="006609A2"/>
    <w:rsid w:val="006623A3"/>
    <w:rsid w:val="0066387E"/>
    <w:rsid w:val="006638E6"/>
    <w:rsid w:val="0066452D"/>
    <w:rsid w:val="00664B6B"/>
    <w:rsid w:val="006654D7"/>
    <w:rsid w:val="00665A08"/>
    <w:rsid w:val="00666304"/>
    <w:rsid w:val="00666780"/>
    <w:rsid w:val="00666B9F"/>
    <w:rsid w:val="00667097"/>
    <w:rsid w:val="00667871"/>
    <w:rsid w:val="0066798D"/>
    <w:rsid w:val="00670AC6"/>
    <w:rsid w:val="006719B5"/>
    <w:rsid w:val="006724F6"/>
    <w:rsid w:val="006730F4"/>
    <w:rsid w:val="00673227"/>
    <w:rsid w:val="006739B0"/>
    <w:rsid w:val="00673BAA"/>
    <w:rsid w:val="00674DBA"/>
    <w:rsid w:val="00675845"/>
    <w:rsid w:val="0067621B"/>
    <w:rsid w:val="00680E93"/>
    <w:rsid w:val="00681006"/>
    <w:rsid w:val="0068128A"/>
    <w:rsid w:val="00681D88"/>
    <w:rsid w:val="0068255C"/>
    <w:rsid w:val="00685257"/>
    <w:rsid w:val="0069085E"/>
    <w:rsid w:val="006922F4"/>
    <w:rsid w:val="0069249A"/>
    <w:rsid w:val="006925BA"/>
    <w:rsid w:val="00692679"/>
    <w:rsid w:val="00692A53"/>
    <w:rsid w:val="00693958"/>
    <w:rsid w:val="00693A38"/>
    <w:rsid w:val="00697120"/>
    <w:rsid w:val="006A09D1"/>
    <w:rsid w:val="006A1E00"/>
    <w:rsid w:val="006A206A"/>
    <w:rsid w:val="006A26E4"/>
    <w:rsid w:val="006A36B6"/>
    <w:rsid w:val="006A45A0"/>
    <w:rsid w:val="006A58F8"/>
    <w:rsid w:val="006A6936"/>
    <w:rsid w:val="006A740D"/>
    <w:rsid w:val="006B1405"/>
    <w:rsid w:val="006B1E99"/>
    <w:rsid w:val="006B2026"/>
    <w:rsid w:val="006B2319"/>
    <w:rsid w:val="006B29A1"/>
    <w:rsid w:val="006B2FB2"/>
    <w:rsid w:val="006B4B62"/>
    <w:rsid w:val="006B6CA4"/>
    <w:rsid w:val="006B73BA"/>
    <w:rsid w:val="006B75A4"/>
    <w:rsid w:val="006C0FBA"/>
    <w:rsid w:val="006C1598"/>
    <w:rsid w:val="006C245D"/>
    <w:rsid w:val="006C2765"/>
    <w:rsid w:val="006C3ADA"/>
    <w:rsid w:val="006C5681"/>
    <w:rsid w:val="006C6319"/>
    <w:rsid w:val="006C655E"/>
    <w:rsid w:val="006C66BA"/>
    <w:rsid w:val="006C739C"/>
    <w:rsid w:val="006C73CF"/>
    <w:rsid w:val="006C77A2"/>
    <w:rsid w:val="006C7949"/>
    <w:rsid w:val="006D045B"/>
    <w:rsid w:val="006D26CB"/>
    <w:rsid w:val="006D3836"/>
    <w:rsid w:val="006D3879"/>
    <w:rsid w:val="006D5036"/>
    <w:rsid w:val="006D5808"/>
    <w:rsid w:val="006D603B"/>
    <w:rsid w:val="006D6632"/>
    <w:rsid w:val="006D6701"/>
    <w:rsid w:val="006D7EC7"/>
    <w:rsid w:val="006E00CC"/>
    <w:rsid w:val="006E072D"/>
    <w:rsid w:val="006E0B03"/>
    <w:rsid w:val="006E1377"/>
    <w:rsid w:val="006E1AD9"/>
    <w:rsid w:val="006E1BE5"/>
    <w:rsid w:val="006E34EA"/>
    <w:rsid w:val="006E4755"/>
    <w:rsid w:val="006E5DD5"/>
    <w:rsid w:val="006E68A7"/>
    <w:rsid w:val="006E6994"/>
    <w:rsid w:val="006F14C5"/>
    <w:rsid w:val="006F17F2"/>
    <w:rsid w:val="006F19B3"/>
    <w:rsid w:val="006F25E7"/>
    <w:rsid w:val="006F3FDF"/>
    <w:rsid w:val="006F4B16"/>
    <w:rsid w:val="006F52BB"/>
    <w:rsid w:val="006F5F7D"/>
    <w:rsid w:val="006F60FF"/>
    <w:rsid w:val="006F6305"/>
    <w:rsid w:val="006F6ED4"/>
    <w:rsid w:val="006F7BAA"/>
    <w:rsid w:val="006F7CD6"/>
    <w:rsid w:val="007000D1"/>
    <w:rsid w:val="007009D2"/>
    <w:rsid w:val="0070116C"/>
    <w:rsid w:val="007012FE"/>
    <w:rsid w:val="0070187E"/>
    <w:rsid w:val="00701954"/>
    <w:rsid w:val="00701CFE"/>
    <w:rsid w:val="007030D4"/>
    <w:rsid w:val="00706101"/>
    <w:rsid w:val="0070722E"/>
    <w:rsid w:val="0070737F"/>
    <w:rsid w:val="00707EAF"/>
    <w:rsid w:val="00710BEA"/>
    <w:rsid w:val="00710F5F"/>
    <w:rsid w:val="007117C6"/>
    <w:rsid w:val="00711AD9"/>
    <w:rsid w:val="007123F5"/>
    <w:rsid w:val="0071340F"/>
    <w:rsid w:val="0071361F"/>
    <w:rsid w:val="007138C5"/>
    <w:rsid w:val="00715308"/>
    <w:rsid w:val="007157A0"/>
    <w:rsid w:val="0071751F"/>
    <w:rsid w:val="00721579"/>
    <w:rsid w:val="00721AC3"/>
    <w:rsid w:val="00721DE4"/>
    <w:rsid w:val="00721EE7"/>
    <w:rsid w:val="00721F1A"/>
    <w:rsid w:val="007233A8"/>
    <w:rsid w:val="007246EF"/>
    <w:rsid w:val="0072482E"/>
    <w:rsid w:val="00724B4D"/>
    <w:rsid w:val="00724C94"/>
    <w:rsid w:val="00730B1E"/>
    <w:rsid w:val="00730CDC"/>
    <w:rsid w:val="007318FD"/>
    <w:rsid w:val="007319D2"/>
    <w:rsid w:val="00731DD8"/>
    <w:rsid w:val="0073653A"/>
    <w:rsid w:val="007367F1"/>
    <w:rsid w:val="00736B74"/>
    <w:rsid w:val="007412F6"/>
    <w:rsid w:val="00741A23"/>
    <w:rsid w:val="00742C7E"/>
    <w:rsid w:val="007433B0"/>
    <w:rsid w:val="007434A1"/>
    <w:rsid w:val="00745987"/>
    <w:rsid w:val="00746EB0"/>
    <w:rsid w:val="0074740A"/>
    <w:rsid w:val="00747ECC"/>
    <w:rsid w:val="007504CF"/>
    <w:rsid w:val="00751D54"/>
    <w:rsid w:val="007532D4"/>
    <w:rsid w:val="00754348"/>
    <w:rsid w:val="007544A1"/>
    <w:rsid w:val="007548EF"/>
    <w:rsid w:val="00754A53"/>
    <w:rsid w:val="0075670E"/>
    <w:rsid w:val="00756EAE"/>
    <w:rsid w:val="00760063"/>
    <w:rsid w:val="00761AE5"/>
    <w:rsid w:val="00761F41"/>
    <w:rsid w:val="00762081"/>
    <w:rsid w:val="0076218D"/>
    <w:rsid w:val="0076231C"/>
    <w:rsid w:val="00762694"/>
    <w:rsid w:val="00764371"/>
    <w:rsid w:val="00765238"/>
    <w:rsid w:val="00765663"/>
    <w:rsid w:val="00765CA3"/>
    <w:rsid w:val="00765D92"/>
    <w:rsid w:val="0076649E"/>
    <w:rsid w:val="007664A4"/>
    <w:rsid w:val="007674ED"/>
    <w:rsid w:val="0076795D"/>
    <w:rsid w:val="00771510"/>
    <w:rsid w:val="00772159"/>
    <w:rsid w:val="007721CE"/>
    <w:rsid w:val="007736F2"/>
    <w:rsid w:val="00774337"/>
    <w:rsid w:val="00774444"/>
    <w:rsid w:val="00774D86"/>
    <w:rsid w:val="00774FBE"/>
    <w:rsid w:val="00775016"/>
    <w:rsid w:val="007758CF"/>
    <w:rsid w:val="007775D4"/>
    <w:rsid w:val="00777963"/>
    <w:rsid w:val="007839F4"/>
    <w:rsid w:val="007841E5"/>
    <w:rsid w:val="0078470D"/>
    <w:rsid w:val="0078591D"/>
    <w:rsid w:val="00785D34"/>
    <w:rsid w:val="00786A15"/>
    <w:rsid w:val="00786F06"/>
    <w:rsid w:val="00787992"/>
    <w:rsid w:val="00787AE8"/>
    <w:rsid w:val="007904FF"/>
    <w:rsid w:val="00790647"/>
    <w:rsid w:val="00791761"/>
    <w:rsid w:val="007922DE"/>
    <w:rsid w:val="0079251A"/>
    <w:rsid w:val="00794876"/>
    <w:rsid w:val="00795EA6"/>
    <w:rsid w:val="00796E6A"/>
    <w:rsid w:val="00797352"/>
    <w:rsid w:val="00797787"/>
    <w:rsid w:val="00797C25"/>
    <w:rsid w:val="007A09E2"/>
    <w:rsid w:val="007A1A5D"/>
    <w:rsid w:val="007A244A"/>
    <w:rsid w:val="007A31D6"/>
    <w:rsid w:val="007A685C"/>
    <w:rsid w:val="007A7931"/>
    <w:rsid w:val="007B136A"/>
    <w:rsid w:val="007B21A7"/>
    <w:rsid w:val="007B2637"/>
    <w:rsid w:val="007B38FB"/>
    <w:rsid w:val="007B3B58"/>
    <w:rsid w:val="007B3CBB"/>
    <w:rsid w:val="007B4ADF"/>
    <w:rsid w:val="007B562A"/>
    <w:rsid w:val="007B61F5"/>
    <w:rsid w:val="007B72A8"/>
    <w:rsid w:val="007C02CF"/>
    <w:rsid w:val="007C3E85"/>
    <w:rsid w:val="007C4703"/>
    <w:rsid w:val="007C4932"/>
    <w:rsid w:val="007C6039"/>
    <w:rsid w:val="007C6700"/>
    <w:rsid w:val="007C69A7"/>
    <w:rsid w:val="007C7CEB"/>
    <w:rsid w:val="007D0E89"/>
    <w:rsid w:val="007D1EEF"/>
    <w:rsid w:val="007D2816"/>
    <w:rsid w:val="007D30E4"/>
    <w:rsid w:val="007D35A4"/>
    <w:rsid w:val="007D3DDE"/>
    <w:rsid w:val="007D3FAB"/>
    <w:rsid w:val="007D403A"/>
    <w:rsid w:val="007D4135"/>
    <w:rsid w:val="007D430D"/>
    <w:rsid w:val="007D4804"/>
    <w:rsid w:val="007D5608"/>
    <w:rsid w:val="007D6211"/>
    <w:rsid w:val="007D62DB"/>
    <w:rsid w:val="007D6B1A"/>
    <w:rsid w:val="007D6E7E"/>
    <w:rsid w:val="007D7BF9"/>
    <w:rsid w:val="007E05FC"/>
    <w:rsid w:val="007E0FDB"/>
    <w:rsid w:val="007E138B"/>
    <w:rsid w:val="007E145D"/>
    <w:rsid w:val="007E16D7"/>
    <w:rsid w:val="007E1E88"/>
    <w:rsid w:val="007E20C2"/>
    <w:rsid w:val="007E215E"/>
    <w:rsid w:val="007E293E"/>
    <w:rsid w:val="007E297E"/>
    <w:rsid w:val="007E2E33"/>
    <w:rsid w:val="007E30AA"/>
    <w:rsid w:val="007E3A95"/>
    <w:rsid w:val="007E3C99"/>
    <w:rsid w:val="007E3E6F"/>
    <w:rsid w:val="007E4DD7"/>
    <w:rsid w:val="007E5043"/>
    <w:rsid w:val="007E571D"/>
    <w:rsid w:val="007E6768"/>
    <w:rsid w:val="007E6E48"/>
    <w:rsid w:val="007E6E65"/>
    <w:rsid w:val="007E6EF3"/>
    <w:rsid w:val="007E7559"/>
    <w:rsid w:val="007F0810"/>
    <w:rsid w:val="007F0B61"/>
    <w:rsid w:val="007F224E"/>
    <w:rsid w:val="007F2A1F"/>
    <w:rsid w:val="007F32B7"/>
    <w:rsid w:val="007F3ADC"/>
    <w:rsid w:val="007F3B36"/>
    <w:rsid w:val="007F3B83"/>
    <w:rsid w:val="007F3D7C"/>
    <w:rsid w:val="007F60E0"/>
    <w:rsid w:val="007F6444"/>
    <w:rsid w:val="007F6F2D"/>
    <w:rsid w:val="008021D4"/>
    <w:rsid w:val="00802585"/>
    <w:rsid w:val="008025A2"/>
    <w:rsid w:val="00804B54"/>
    <w:rsid w:val="008051D6"/>
    <w:rsid w:val="0080562A"/>
    <w:rsid w:val="00806184"/>
    <w:rsid w:val="008066FC"/>
    <w:rsid w:val="00807ABB"/>
    <w:rsid w:val="00807AEE"/>
    <w:rsid w:val="00810192"/>
    <w:rsid w:val="00810B23"/>
    <w:rsid w:val="008110C8"/>
    <w:rsid w:val="00811C4D"/>
    <w:rsid w:val="00812683"/>
    <w:rsid w:val="00813014"/>
    <w:rsid w:val="008133EB"/>
    <w:rsid w:val="008144FF"/>
    <w:rsid w:val="00816793"/>
    <w:rsid w:val="0081768D"/>
    <w:rsid w:val="00817D06"/>
    <w:rsid w:val="0082234A"/>
    <w:rsid w:val="00824978"/>
    <w:rsid w:val="00825733"/>
    <w:rsid w:val="0082616E"/>
    <w:rsid w:val="00826923"/>
    <w:rsid w:val="00830150"/>
    <w:rsid w:val="00830636"/>
    <w:rsid w:val="00831017"/>
    <w:rsid w:val="008316B6"/>
    <w:rsid w:val="00831BD2"/>
    <w:rsid w:val="0083204B"/>
    <w:rsid w:val="00832732"/>
    <w:rsid w:val="0083392C"/>
    <w:rsid w:val="00833A9C"/>
    <w:rsid w:val="00834851"/>
    <w:rsid w:val="00834DE6"/>
    <w:rsid w:val="0083588A"/>
    <w:rsid w:val="00835AFE"/>
    <w:rsid w:val="00835E4D"/>
    <w:rsid w:val="00836E76"/>
    <w:rsid w:val="008371E4"/>
    <w:rsid w:val="00840626"/>
    <w:rsid w:val="00841628"/>
    <w:rsid w:val="00841849"/>
    <w:rsid w:val="00841B21"/>
    <w:rsid w:val="00841ECD"/>
    <w:rsid w:val="0084340E"/>
    <w:rsid w:val="00844ACC"/>
    <w:rsid w:val="00845666"/>
    <w:rsid w:val="00847AC8"/>
    <w:rsid w:val="00847FA6"/>
    <w:rsid w:val="00850082"/>
    <w:rsid w:val="008507F6"/>
    <w:rsid w:val="008510A0"/>
    <w:rsid w:val="00851709"/>
    <w:rsid w:val="0085454B"/>
    <w:rsid w:val="00855B7D"/>
    <w:rsid w:val="00856996"/>
    <w:rsid w:val="00856D42"/>
    <w:rsid w:val="008611A9"/>
    <w:rsid w:val="008620F0"/>
    <w:rsid w:val="00862D36"/>
    <w:rsid w:val="008630B1"/>
    <w:rsid w:val="00863C4C"/>
    <w:rsid w:val="00863C9B"/>
    <w:rsid w:val="008644E9"/>
    <w:rsid w:val="00864C51"/>
    <w:rsid w:val="00865682"/>
    <w:rsid w:val="00867E0C"/>
    <w:rsid w:val="008705D0"/>
    <w:rsid w:val="00870BB4"/>
    <w:rsid w:val="00871F68"/>
    <w:rsid w:val="0087282B"/>
    <w:rsid w:val="008728CE"/>
    <w:rsid w:val="00872D37"/>
    <w:rsid w:val="00873C54"/>
    <w:rsid w:val="00874595"/>
    <w:rsid w:val="00874A0B"/>
    <w:rsid w:val="00874B12"/>
    <w:rsid w:val="00877132"/>
    <w:rsid w:val="0088048C"/>
    <w:rsid w:val="00880BDE"/>
    <w:rsid w:val="00880F5F"/>
    <w:rsid w:val="0088114F"/>
    <w:rsid w:val="008815D4"/>
    <w:rsid w:val="008815DA"/>
    <w:rsid w:val="00882A08"/>
    <w:rsid w:val="00883CAE"/>
    <w:rsid w:val="00884C5E"/>
    <w:rsid w:val="00885999"/>
    <w:rsid w:val="00886397"/>
    <w:rsid w:val="00886D9A"/>
    <w:rsid w:val="00887C97"/>
    <w:rsid w:val="0089065D"/>
    <w:rsid w:val="00892B12"/>
    <w:rsid w:val="00893D93"/>
    <w:rsid w:val="00894F57"/>
    <w:rsid w:val="00895813"/>
    <w:rsid w:val="00895E84"/>
    <w:rsid w:val="008961BC"/>
    <w:rsid w:val="008961CC"/>
    <w:rsid w:val="008962A3"/>
    <w:rsid w:val="0089630D"/>
    <w:rsid w:val="00896487"/>
    <w:rsid w:val="008972B2"/>
    <w:rsid w:val="008A037E"/>
    <w:rsid w:val="008A1177"/>
    <w:rsid w:val="008A12DA"/>
    <w:rsid w:val="008A1331"/>
    <w:rsid w:val="008A299E"/>
    <w:rsid w:val="008A2D28"/>
    <w:rsid w:val="008A3227"/>
    <w:rsid w:val="008A4192"/>
    <w:rsid w:val="008A5ECC"/>
    <w:rsid w:val="008A63C7"/>
    <w:rsid w:val="008A66E2"/>
    <w:rsid w:val="008A6A15"/>
    <w:rsid w:val="008A6C24"/>
    <w:rsid w:val="008A6ED1"/>
    <w:rsid w:val="008A7464"/>
    <w:rsid w:val="008A750D"/>
    <w:rsid w:val="008A7707"/>
    <w:rsid w:val="008A7B43"/>
    <w:rsid w:val="008B16F3"/>
    <w:rsid w:val="008B29C3"/>
    <w:rsid w:val="008B4293"/>
    <w:rsid w:val="008B4469"/>
    <w:rsid w:val="008B453D"/>
    <w:rsid w:val="008B46D3"/>
    <w:rsid w:val="008B563E"/>
    <w:rsid w:val="008B6362"/>
    <w:rsid w:val="008B7AC8"/>
    <w:rsid w:val="008C22BF"/>
    <w:rsid w:val="008C2917"/>
    <w:rsid w:val="008C2AEB"/>
    <w:rsid w:val="008C2E67"/>
    <w:rsid w:val="008C365B"/>
    <w:rsid w:val="008C3E8D"/>
    <w:rsid w:val="008C42C5"/>
    <w:rsid w:val="008C512C"/>
    <w:rsid w:val="008C7907"/>
    <w:rsid w:val="008C7FEB"/>
    <w:rsid w:val="008D0120"/>
    <w:rsid w:val="008D02FC"/>
    <w:rsid w:val="008D09D1"/>
    <w:rsid w:val="008D2E6D"/>
    <w:rsid w:val="008D3AA4"/>
    <w:rsid w:val="008D4890"/>
    <w:rsid w:val="008D4A6E"/>
    <w:rsid w:val="008D6101"/>
    <w:rsid w:val="008D7039"/>
    <w:rsid w:val="008E1CF9"/>
    <w:rsid w:val="008E27CD"/>
    <w:rsid w:val="008E2DF6"/>
    <w:rsid w:val="008E3446"/>
    <w:rsid w:val="008E422C"/>
    <w:rsid w:val="008E4619"/>
    <w:rsid w:val="008E5551"/>
    <w:rsid w:val="008E5BF0"/>
    <w:rsid w:val="008E5DF4"/>
    <w:rsid w:val="008E65B3"/>
    <w:rsid w:val="008E6D6F"/>
    <w:rsid w:val="008E765B"/>
    <w:rsid w:val="008F01CE"/>
    <w:rsid w:val="008F0207"/>
    <w:rsid w:val="008F03BC"/>
    <w:rsid w:val="008F18F7"/>
    <w:rsid w:val="008F207A"/>
    <w:rsid w:val="008F2E86"/>
    <w:rsid w:val="008F3223"/>
    <w:rsid w:val="008F38EF"/>
    <w:rsid w:val="008F63B4"/>
    <w:rsid w:val="00900B3D"/>
    <w:rsid w:val="00901AB1"/>
    <w:rsid w:val="00901B93"/>
    <w:rsid w:val="009021AC"/>
    <w:rsid w:val="00902F4E"/>
    <w:rsid w:val="00903C18"/>
    <w:rsid w:val="009051B3"/>
    <w:rsid w:val="0090601E"/>
    <w:rsid w:val="00906FEE"/>
    <w:rsid w:val="00910DF7"/>
    <w:rsid w:val="00911677"/>
    <w:rsid w:val="009119E7"/>
    <w:rsid w:val="009134E9"/>
    <w:rsid w:val="00913979"/>
    <w:rsid w:val="00914118"/>
    <w:rsid w:val="0091448F"/>
    <w:rsid w:val="00916196"/>
    <w:rsid w:val="00916C0E"/>
    <w:rsid w:val="00917259"/>
    <w:rsid w:val="009211E5"/>
    <w:rsid w:val="009216BE"/>
    <w:rsid w:val="00921D94"/>
    <w:rsid w:val="0092202A"/>
    <w:rsid w:val="009222DF"/>
    <w:rsid w:val="009224AF"/>
    <w:rsid w:val="009229E9"/>
    <w:rsid w:val="00923496"/>
    <w:rsid w:val="00923599"/>
    <w:rsid w:val="0092385E"/>
    <w:rsid w:val="0092452B"/>
    <w:rsid w:val="00924E38"/>
    <w:rsid w:val="00924F50"/>
    <w:rsid w:val="00925AC8"/>
    <w:rsid w:val="00926D41"/>
    <w:rsid w:val="009274AD"/>
    <w:rsid w:val="009276CB"/>
    <w:rsid w:val="0092770A"/>
    <w:rsid w:val="00927E64"/>
    <w:rsid w:val="00930173"/>
    <w:rsid w:val="0093052F"/>
    <w:rsid w:val="00930722"/>
    <w:rsid w:val="00930EB8"/>
    <w:rsid w:val="009312FA"/>
    <w:rsid w:val="00931851"/>
    <w:rsid w:val="00931B98"/>
    <w:rsid w:val="00932560"/>
    <w:rsid w:val="00932C1C"/>
    <w:rsid w:val="00933394"/>
    <w:rsid w:val="00933D99"/>
    <w:rsid w:val="00936580"/>
    <w:rsid w:val="00936A9D"/>
    <w:rsid w:val="0094007A"/>
    <w:rsid w:val="00940135"/>
    <w:rsid w:val="00940A93"/>
    <w:rsid w:val="00940E6B"/>
    <w:rsid w:val="00941048"/>
    <w:rsid w:val="00941588"/>
    <w:rsid w:val="0094269D"/>
    <w:rsid w:val="0094272C"/>
    <w:rsid w:val="00942C52"/>
    <w:rsid w:val="00942F10"/>
    <w:rsid w:val="0094327D"/>
    <w:rsid w:val="009432E6"/>
    <w:rsid w:val="00945259"/>
    <w:rsid w:val="009453AA"/>
    <w:rsid w:val="0094558D"/>
    <w:rsid w:val="009461B1"/>
    <w:rsid w:val="00946661"/>
    <w:rsid w:val="00947085"/>
    <w:rsid w:val="00947435"/>
    <w:rsid w:val="00947D2B"/>
    <w:rsid w:val="0095022A"/>
    <w:rsid w:val="0095127C"/>
    <w:rsid w:val="00953D96"/>
    <w:rsid w:val="00953EAA"/>
    <w:rsid w:val="00953FB9"/>
    <w:rsid w:val="0095479A"/>
    <w:rsid w:val="0095480B"/>
    <w:rsid w:val="00954E06"/>
    <w:rsid w:val="009553A8"/>
    <w:rsid w:val="009557D7"/>
    <w:rsid w:val="00956F90"/>
    <w:rsid w:val="00957494"/>
    <w:rsid w:val="00960FF7"/>
    <w:rsid w:val="009617F3"/>
    <w:rsid w:val="0096190F"/>
    <w:rsid w:val="00962073"/>
    <w:rsid w:val="0096263C"/>
    <w:rsid w:val="00963740"/>
    <w:rsid w:val="009638F4"/>
    <w:rsid w:val="009640B4"/>
    <w:rsid w:val="00964492"/>
    <w:rsid w:val="00966810"/>
    <w:rsid w:val="0096689C"/>
    <w:rsid w:val="00970940"/>
    <w:rsid w:val="00971093"/>
    <w:rsid w:val="00971C15"/>
    <w:rsid w:val="00973A83"/>
    <w:rsid w:val="00974240"/>
    <w:rsid w:val="0097558D"/>
    <w:rsid w:val="009756A5"/>
    <w:rsid w:val="00975932"/>
    <w:rsid w:val="00976438"/>
    <w:rsid w:val="00976A88"/>
    <w:rsid w:val="00977916"/>
    <w:rsid w:val="00977A11"/>
    <w:rsid w:val="00977F68"/>
    <w:rsid w:val="009808EE"/>
    <w:rsid w:val="00980D19"/>
    <w:rsid w:val="00980FC2"/>
    <w:rsid w:val="00982BAC"/>
    <w:rsid w:val="00984C6E"/>
    <w:rsid w:val="009853E5"/>
    <w:rsid w:val="00986124"/>
    <w:rsid w:val="009864B4"/>
    <w:rsid w:val="00986CAA"/>
    <w:rsid w:val="00986D71"/>
    <w:rsid w:val="0099009E"/>
    <w:rsid w:val="0099086D"/>
    <w:rsid w:val="00990CDF"/>
    <w:rsid w:val="00992AF4"/>
    <w:rsid w:val="009931DE"/>
    <w:rsid w:val="0099331E"/>
    <w:rsid w:val="009949B2"/>
    <w:rsid w:val="00996855"/>
    <w:rsid w:val="009A0E9E"/>
    <w:rsid w:val="009A2858"/>
    <w:rsid w:val="009A28B3"/>
    <w:rsid w:val="009A2AF7"/>
    <w:rsid w:val="009A3607"/>
    <w:rsid w:val="009A4930"/>
    <w:rsid w:val="009A5867"/>
    <w:rsid w:val="009A65A9"/>
    <w:rsid w:val="009A66E7"/>
    <w:rsid w:val="009A6F16"/>
    <w:rsid w:val="009A711F"/>
    <w:rsid w:val="009A715B"/>
    <w:rsid w:val="009A76CA"/>
    <w:rsid w:val="009A792F"/>
    <w:rsid w:val="009B253E"/>
    <w:rsid w:val="009B496C"/>
    <w:rsid w:val="009B4B50"/>
    <w:rsid w:val="009B547A"/>
    <w:rsid w:val="009B561B"/>
    <w:rsid w:val="009B62DC"/>
    <w:rsid w:val="009B63E3"/>
    <w:rsid w:val="009B7302"/>
    <w:rsid w:val="009B7CA2"/>
    <w:rsid w:val="009C1E92"/>
    <w:rsid w:val="009C2312"/>
    <w:rsid w:val="009C2BB6"/>
    <w:rsid w:val="009C2E45"/>
    <w:rsid w:val="009C30A8"/>
    <w:rsid w:val="009D1864"/>
    <w:rsid w:val="009D1C88"/>
    <w:rsid w:val="009D2FC2"/>
    <w:rsid w:val="009D3421"/>
    <w:rsid w:val="009D53EE"/>
    <w:rsid w:val="009D5D32"/>
    <w:rsid w:val="009D626A"/>
    <w:rsid w:val="009D6D6F"/>
    <w:rsid w:val="009E0A6E"/>
    <w:rsid w:val="009E0EB0"/>
    <w:rsid w:val="009E15F3"/>
    <w:rsid w:val="009E1DE4"/>
    <w:rsid w:val="009E2EC7"/>
    <w:rsid w:val="009E3086"/>
    <w:rsid w:val="009E4104"/>
    <w:rsid w:val="009E449E"/>
    <w:rsid w:val="009E4504"/>
    <w:rsid w:val="009E4647"/>
    <w:rsid w:val="009E4871"/>
    <w:rsid w:val="009E49EC"/>
    <w:rsid w:val="009E4E95"/>
    <w:rsid w:val="009E5AA0"/>
    <w:rsid w:val="009E66F7"/>
    <w:rsid w:val="009E6A76"/>
    <w:rsid w:val="009E6F00"/>
    <w:rsid w:val="009E716C"/>
    <w:rsid w:val="009F115E"/>
    <w:rsid w:val="009F1E0B"/>
    <w:rsid w:val="009F2131"/>
    <w:rsid w:val="009F2CE1"/>
    <w:rsid w:val="009F53DC"/>
    <w:rsid w:val="009F67D6"/>
    <w:rsid w:val="00A01390"/>
    <w:rsid w:val="00A01593"/>
    <w:rsid w:val="00A01ECA"/>
    <w:rsid w:val="00A03037"/>
    <w:rsid w:val="00A0319B"/>
    <w:rsid w:val="00A03291"/>
    <w:rsid w:val="00A067C6"/>
    <w:rsid w:val="00A0687D"/>
    <w:rsid w:val="00A06C7D"/>
    <w:rsid w:val="00A06D78"/>
    <w:rsid w:val="00A07F7E"/>
    <w:rsid w:val="00A10922"/>
    <w:rsid w:val="00A10C97"/>
    <w:rsid w:val="00A11476"/>
    <w:rsid w:val="00A11898"/>
    <w:rsid w:val="00A132D0"/>
    <w:rsid w:val="00A1366C"/>
    <w:rsid w:val="00A13D1B"/>
    <w:rsid w:val="00A14825"/>
    <w:rsid w:val="00A14E61"/>
    <w:rsid w:val="00A15D7E"/>
    <w:rsid w:val="00A161CC"/>
    <w:rsid w:val="00A16534"/>
    <w:rsid w:val="00A1655B"/>
    <w:rsid w:val="00A16AA8"/>
    <w:rsid w:val="00A17731"/>
    <w:rsid w:val="00A20982"/>
    <w:rsid w:val="00A209F7"/>
    <w:rsid w:val="00A21157"/>
    <w:rsid w:val="00A2124B"/>
    <w:rsid w:val="00A21F90"/>
    <w:rsid w:val="00A234C4"/>
    <w:rsid w:val="00A237D9"/>
    <w:rsid w:val="00A238D9"/>
    <w:rsid w:val="00A25454"/>
    <w:rsid w:val="00A255FB"/>
    <w:rsid w:val="00A25C76"/>
    <w:rsid w:val="00A26062"/>
    <w:rsid w:val="00A27156"/>
    <w:rsid w:val="00A27B2B"/>
    <w:rsid w:val="00A32748"/>
    <w:rsid w:val="00A33662"/>
    <w:rsid w:val="00A33C71"/>
    <w:rsid w:val="00A3512B"/>
    <w:rsid w:val="00A35301"/>
    <w:rsid w:val="00A35864"/>
    <w:rsid w:val="00A35EC5"/>
    <w:rsid w:val="00A35FE6"/>
    <w:rsid w:val="00A36950"/>
    <w:rsid w:val="00A40986"/>
    <w:rsid w:val="00A40EC7"/>
    <w:rsid w:val="00A4135D"/>
    <w:rsid w:val="00A41E26"/>
    <w:rsid w:val="00A42656"/>
    <w:rsid w:val="00A426D6"/>
    <w:rsid w:val="00A42C9F"/>
    <w:rsid w:val="00A433D9"/>
    <w:rsid w:val="00A4451F"/>
    <w:rsid w:val="00A44D27"/>
    <w:rsid w:val="00A45E69"/>
    <w:rsid w:val="00A45F80"/>
    <w:rsid w:val="00A4658F"/>
    <w:rsid w:val="00A51A14"/>
    <w:rsid w:val="00A5376B"/>
    <w:rsid w:val="00A54307"/>
    <w:rsid w:val="00A55825"/>
    <w:rsid w:val="00A56AA7"/>
    <w:rsid w:val="00A604C7"/>
    <w:rsid w:val="00A607B8"/>
    <w:rsid w:val="00A60897"/>
    <w:rsid w:val="00A60CC8"/>
    <w:rsid w:val="00A6158C"/>
    <w:rsid w:val="00A61AD8"/>
    <w:rsid w:val="00A62C4F"/>
    <w:rsid w:val="00A63F6F"/>
    <w:rsid w:val="00A6415C"/>
    <w:rsid w:val="00A64311"/>
    <w:rsid w:val="00A64474"/>
    <w:rsid w:val="00A651B2"/>
    <w:rsid w:val="00A666F4"/>
    <w:rsid w:val="00A70326"/>
    <w:rsid w:val="00A705E0"/>
    <w:rsid w:val="00A7196E"/>
    <w:rsid w:val="00A71D71"/>
    <w:rsid w:val="00A72E14"/>
    <w:rsid w:val="00A74249"/>
    <w:rsid w:val="00A74463"/>
    <w:rsid w:val="00A746F7"/>
    <w:rsid w:val="00A7498E"/>
    <w:rsid w:val="00A766D8"/>
    <w:rsid w:val="00A76852"/>
    <w:rsid w:val="00A76CC1"/>
    <w:rsid w:val="00A779E2"/>
    <w:rsid w:val="00A80BBF"/>
    <w:rsid w:val="00A818BB"/>
    <w:rsid w:val="00A81A44"/>
    <w:rsid w:val="00A8267B"/>
    <w:rsid w:val="00A82857"/>
    <w:rsid w:val="00A82959"/>
    <w:rsid w:val="00A83624"/>
    <w:rsid w:val="00A85103"/>
    <w:rsid w:val="00A85E95"/>
    <w:rsid w:val="00A86511"/>
    <w:rsid w:val="00A872B8"/>
    <w:rsid w:val="00A87308"/>
    <w:rsid w:val="00A902B8"/>
    <w:rsid w:val="00A911A0"/>
    <w:rsid w:val="00A91336"/>
    <w:rsid w:val="00A91862"/>
    <w:rsid w:val="00A91B4D"/>
    <w:rsid w:val="00A93433"/>
    <w:rsid w:val="00A940B0"/>
    <w:rsid w:val="00A9478D"/>
    <w:rsid w:val="00A96904"/>
    <w:rsid w:val="00A97EA0"/>
    <w:rsid w:val="00AA0999"/>
    <w:rsid w:val="00AA15BB"/>
    <w:rsid w:val="00AA15CD"/>
    <w:rsid w:val="00AA20B2"/>
    <w:rsid w:val="00AA2193"/>
    <w:rsid w:val="00AA28B6"/>
    <w:rsid w:val="00AA2C36"/>
    <w:rsid w:val="00AA2D73"/>
    <w:rsid w:val="00AA341D"/>
    <w:rsid w:val="00AA3514"/>
    <w:rsid w:val="00AA4E6E"/>
    <w:rsid w:val="00AA5901"/>
    <w:rsid w:val="00AA6B60"/>
    <w:rsid w:val="00AA6E7B"/>
    <w:rsid w:val="00AB0FEC"/>
    <w:rsid w:val="00AB16C5"/>
    <w:rsid w:val="00AB1DCB"/>
    <w:rsid w:val="00AB20E3"/>
    <w:rsid w:val="00AB2DCA"/>
    <w:rsid w:val="00AB387A"/>
    <w:rsid w:val="00AB44D3"/>
    <w:rsid w:val="00AB4E09"/>
    <w:rsid w:val="00AB5188"/>
    <w:rsid w:val="00AB52BD"/>
    <w:rsid w:val="00AB6874"/>
    <w:rsid w:val="00AB6DE3"/>
    <w:rsid w:val="00AC0151"/>
    <w:rsid w:val="00AC0C8D"/>
    <w:rsid w:val="00AC11E9"/>
    <w:rsid w:val="00AC1CA0"/>
    <w:rsid w:val="00AC402A"/>
    <w:rsid w:val="00AC6E87"/>
    <w:rsid w:val="00AC7E18"/>
    <w:rsid w:val="00AD0C8D"/>
    <w:rsid w:val="00AD162D"/>
    <w:rsid w:val="00AD1E57"/>
    <w:rsid w:val="00AD388B"/>
    <w:rsid w:val="00AD3B61"/>
    <w:rsid w:val="00AD3EEC"/>
    <w:rsid w:val="00AD3FCB"/>
    <w:rsid w:val="00AD3FCD"/>
    <w:rsid w:val="00AD4301"/>
    <w:rsid w:val="00AD4899"/>
    <w:rsid w:val="00AD4A5C"/>
    <w:rsid w:val="00AD4B93"/>
    <w:rsid w:val="00AD5700"/>
    <w:rsid w:val="00AD5CED"/>
    <w:rsid w:val="00AD5D1E"/>
    <w:rsid w:val="00AD66E2"/>
    <w:rsid w:val="00AE06CF"/>
    <w:rsid w:val="00AE09A7"/>
    <w:rsid w:val="00AE19DC"/>
    <w:rsid w:val="00AE1D18"/>
    <w:rsid w:val="00AE2134"/>
    <w:rsid w:val="00AE2471"/>
    <w:rsid w:val="00AE2D2B"/>
    <w:rsid w:val="00AE2EA2"/>
    <w:rsid w:val="00AE3A83"/>
    <w:rsid w:val="00AE3C1A"/>
    <w:rsid w:val="00AE3C1B"/>
    <w:rsid w:val="00AE4BE6"/>
    <w:rsid w:val="00AE5131"/>
    <w:rsid w:val="00AE51D7"/>
    <w:rsid w:val="00AE61AD"/>
    <w:rsid w:val="00AE7BD8"/>
    <w:rsid w:val="00AE7FCA"/>
    <w:rsid w:val="00AF08C9"/>
    <w:rsid w:val="00AF0DC4"/>
    <w:rsid w:val="00AF1162"/>
    <w:rsid w:val="00AF11C1"/>
    <w:rsid w:val="00AF2015"/>
    <w:rsid w:val="00AF4709"/>
    <w:rsid w:val="00AF49E0"/>
    <w:rsid w:val="00AF516D"/>
    <w:rsid w:val="00AF54C4"/>
    <w:rsid w:val="00AF5502"/>
    <w:rsid w:val="00AF55B6"/>
    <w:rsid w:val="00AF578C"/>
    <w:rsid w:val="00AF5D77"/>
    <w:rsid w:val="00AF704E"/>
    <w:rsid w:val="00B0157D"/>
    <w:rsid w:val="00B0186A"/>
    <w:rsid w:val="00B0206A"/>
    <w:rsid w:val="00B022E9"/>
    <w:rsid w:val="00B02ECC"/>
    <w:rsid w:val="00B0387E"/>
    <w:rsid w:val="00B03E7D"/>
    <w:rsid w:val="00B05381"/>
    <w:rsid w:val="00B0569A"/>
    <w:rsid w:val="00B0575D"/>
    <w:rsid w:val="00B059C7"/>
    <w:rsid w:val="00B071FE"/>
    <w:rsid w:val="00B07B49"/>
    <w:rsid w:val="00B10120"/>
    <w:rsid w:val="00B10752"/>
    <w:rsid w:val="00B11965"/>
    <w:rsid w:val="00B11F06"/>
    <w:rsid w:val="00B13AAA"/>
    <w:rsid w:val="00B13F05"/>
    <w:rsid w:val="00B14557"/>
    <w:rsid w:val="00B14D08"/>
    <w:rsid w:val="00B1518A"/>
    <w:rsid w:val="00B15D8B"/>
    <w:rsid w:val="00B16557"/>
    <w:rsid w:val="00B17E1B"/>
    <w:rsid w:val="00B205E9"/>
    <w:rsid w:val="00B20C3D"/>
    <w:rsid w:val="00B21DFC"/>
    <w:rsid w:val="00B22178"/>
    <w:rsid w:val="00B22910"/>
    <w:rsid w:val="00B22AAA"/>
    <w:rsid w:val="00B2326C"/>
    <w:rsid w:val="00B23531"/>
    <w:rsid w:val="00B24B35"/>
    <w:rsid w:val="00B24B3B"/>
    <w:rsid w:val="00B24E3C"/>
    <w:rsid w:val="00B24E62"/>
    <w:rsid w:val="00B25B31"/>
    <w:rsid w:val="00B2606F"/>
    <w:rsid w:val="00B2674D"/>
    <w:rsid w:val="00B26BCE"/>
    <w:rsid w:val="00B270BF"/>
    <w:rsid w:val="00B27C1C"/>
    <w:rsid w:val="00B317CB"/>
    <w:rsid w:val="00B31CF7"/>
    <w:rsid w:val="00B31EF1"/>
    <w:rsid w:val="00B32C14"/>
    <w:rsid w:val="00B32E3D"/>
    <w:rsid w:val="00B33212"/>
    <w:rsid w:val="00B345A4"/>
    <w:rsid w:val="00B363C2"/>
    <w:rsid w:val="00B4075F"/>
    <w:rsid w:val="00B409CD"/>
    <w:rsid w:val="00B416CD"/>
    <w:rsid w:val="00B4223B"/>
    <w:rsid w:val="00B43A1B"/>
    <w:rsid w:val="00B43D40"/>
    <w:rsid w:val="00B4575B"/>
    <w:rsid w:val="00B4583C"/>
    <w:rsid w:val="00B4693B"/>
    <w:rsid w:val="00B507D7"/>
    <w:rsid w:val="00B5116B"/>
    <w:rsid w:val="00B54B34"/>
    <w:rsid w:val="00B54F13"/>
    <w:rsid w:val="00B55813"/>
    <w:rsid w:val="00B55E63"/>
    <w:rsid w:val="00B55E77"/>
    <w:rsid w:val="00B55FF2"/>
    <w:rsid w:val="00B57C1A"/>
    <w:rsid w:val="00B57FE7"/>
    <w:rsid w:val="00B602C6"/>
    <w:rsid w:val="00B604AA"/>
    <w:rsid w:val="00B604AC"/>
    <w:rsid w:val="00B6070F"/>
    <w:rsid w:val="00B616CC"/>
    <w:rsid w:val="00B61A54"/>
    <w:rsid w:val="00B63DC7"/>
    <w:rsid w:val="00B66218"/>
    <w:rsid w:val="00B66977"/>
    <w:rsid w:val="00B67C08"/>
    <w:rsid w:val="00B67C0E"/>
    <w:rsid w:val="00B67CB3"/>
    <w:rsid w:val="00B70042"/>
    <w:rsid w:val="00B701C9"/>
    <w:rsid w:val="00B715ED"/>
    <w:rsid w:val="00B72FA0"/>
    <w:rsid w:val="00B73BFC"/>
    <w:rsid w:val="00B73C04"/>
    <w:rsid w:val="00B74CB3"/>
    <w:rsid w:val="00B7555C"/>
    <w:rsid w:val="00B76518"/>
    <w:rsid w:val="00B770CC"/>
    <w:rsid w:val="00B77708"/>
    <w:rsid w:val="00B80064"/>
    <w:rsid w:val="00B80708"/>
    <w:rsid w:val="00B81867"/>
    <w:rsid w:val="00B83CED"/>
    <w:rsid w:val="00B83FA6"/>
    <w:rsid w:val="00B8422F"/>
    <w:rsid w:val="00B842C4"/>
    <w:rsid w:val="00B85292"/>
    <w:rsid w:val="00B85434"/>
    <w:rsid w:val="00B8655D"/>
    <w:rsid w:val="00B86837"/>
    <w:rsid w:val="00B868C6"/>
    <w:rsid w:val="00B87F38"/>
    <w:rsid w:val="00B910E3"/>
    <w:rsid w:val="00B91350"/>
    <w:rsid w:val="00B92550"/>
    <w:rsid w:val="00B929DB"/>
    <w:rsid w:val="00B936E9"/>
    <w:rsid w:val="00B950BA"/>
    <w:rsid w:val="00B95178"/>
    <w:rsid w:val="00B954DA"/>
    <w:rsid w:val="00B95810"/>
    <w:rsid w:val="00B9596F"/>
    <w:rsid w:val="00B96CB1"/>
    <w:rsid w:val="00BA02A7"/>
    <w:rsid w:val="00BA041C"/>
    <w:rsid w:val="00BA2C1B"/>
    <w:rsid w:val="00BA2C90"/>
    <w:rsid w:val="00BA4090"/>
    <w:rsid w:val="00BA4ED4"/>
    <w:rsid w:val="00BA5358"/>
    <w:rsid w:val="00BA64E5"/>
    <w:rsid w:val="00BA6752"/>
    <w:rsid w:val="00BA6C6D"/>
    <w:rsid w:val="00BA72C3"/>
    <w:rsid w:val="00BA7DAF"/>
    <w:rsid w:val="00BB01B9"/>
    <w:rsid w:val="00BB043F"/>
    <w:rsid w:val="00BB124B"/>
    <w:rsid w:val="00BB19A9"/>
    <w:rsid w:val="00BB19C6"/>
    <w:rsid w:val="00BB1EEC"/>
    <w:rsid w:val="00BB2864"/>
    <w:rsid w:val="00BB2E36"/>
    <w:rsid w:val="00BB323E"/>
    <w:rsid w:val="00BB3634"/>
    <w:rsid w:val="00BB3B8F"/>
    <w:rsid w:val="00BB3F3F"/>
    <w:rsid w:val="00BB5632"/>
    <w:rsid w:val="00BB5756"/>
    <w:rsid w:val="00BB5A40"/>
    <w:rsid w:val="00BB5AA5"/>
    <w:rsid w:val="00BB5D83"/>
    <w:rsid w:val="00BB6402"/>
    <w:rsid w:val="00BC0497"/>
    <w:rsid w:val="00BC19B9"/>
    <w:rsid w:val="00BC1FCB"/>
    <w:rsid w:val="00BC2C68"/>
    <w:rsid w:val="00BC3541"/>
    <w:rsid w:val="00BC3E8A"/>
    <w:rsid w:val="00BC47F8"/>
    <w:rsid w:val="00BC53B6"/>
    <w:rsid w:val="00BC6B7C"/>
    <w:rsid w:val="00BD00C8"/>
    <w:rsid w:val="00BD058C"/>
    <w:rsid w:val="00BD070D"/>
    <w:rsid w:val="00BD36AE"/>
    <w:rsid w:val="00BD36ED"/>
    <w:rsid w:val="00BD3C50"/>
    <w:rsid w:val="00BD3D49"/>
    <w:rsid w:val="00BD417F"/>
    <w:rsid w:val="00BD4779"/>
    <w:rsid w:val="00BD4EC0"/>
    <w:rsid w:val="00BD567E"/>
    <w:rsid w:val="00BD6445"/>
    <w:rsid w:val="00BD688C"/>
    <w:rsid w:val="00BD71A3"/>
    <w:rsid w:val="00BD74CF"/>
    <w:rsid w:val="00BD7B2B"/>
    <w:rsid w:val="00BD7F36"/>
    <w:rsid w:val="00BE0F04"/>
    <w:rsid w:val="00BE1ED0"/>
    <w:rsid w:val="00BE21E2"/>
    <w:rsid w:val="00BE2CF7"/>
    <w:rsid w:val="00BE3413"/>
    <w:rsid w:val="00BE341C"/>
    <w:rsid w:val="00BE34E5"/>
    <w:rsid w:val="00BE36BB"/>
    <w:rsid w:val="00BE5EB2"/>
    <w:rsid w:val="00BE6741"/>
    <w:rsid w:val="00BE6A52"/>
    <w:rsid w:val="00BE7434"/>
    <w:rsid w:val="00BF12EE"/>
    <w:rsid w:val="00BF3686"/>
    <w:rsid w:val="00BF39F3"/>
    <w:rsid w:val="00BF59B4"/>
    <w:rsid w:val="00BF7148"/>
    <w:rsid w:val="00BF7B22"/>
    <w:rsid w:val="00BF7B77"/>
    <w:rsid w:val="00C002D9"/>
    <w:rsid w:val="00C02954"/>
    <w:rsid w:val="00C0295B"/>
    <w:rsid w:val="00C02DD9"/>
    <w:rsid w:val="00C03964"/>
    <w:rsid w:val="00C06A39"/>
    <w:rsid w:val="00C06F47"/>
    <w:rsid w:val="00C07141"/>
    <w:rsid w:val="00C075CB"/>
    <w:rsid w:val="00C07FD5"/>
    <w:rsid w:val="00C1035E"/>
    <w:rsid w:val="00C114B0"/>
    <w:rsid w:val="00C12129"/>
    <w:rsid w:val="00C12590"/>
    <w:rsid w:val="00C12BF3"/>
    <w:rsid w:val="00C12E2D"/>
    <w:rsid w:val="00C13AA7"/>
    <w:rsid w:val="00C13F97"/>
    <w:rsid w:val="00C1434D"/>
    <w:rsid w:val="00C1464B"/>
    <w:rsid w:val="00C14B24"/>
    <w:rsid w:val="00C154C8"/>
    <w:rsid w:val="00C15E4A"/>
    <w:rsid w:val="00C160A6"/>
    <w:rsid w:val="00C1688F"/>
    <w:rsid w:val="00C16CE3"/>
    <w:rsid w:val="00C16E21"/>
    <w:rsid w:val="00C23C7E"/>
    <w:rsid w:val="00C24265"/>
    <w:rsid w:val="00C24298"/>
    <w:rsid w:val="00C24D04"/>
    <w:rsid w:val="00C27213"/>
    <w:rsid w:val="00C2741B"/>
    <w:rsid w:val="00C30B58"/>
    <w:rsid w:val="00C31544"/>
    <w:rsid w:val="00C328FF"/>
    <w:rsid w:val="00C342E2"/>
    <w:rsid w:val="00C34452"/>
    <w:rsid w:val="00C34A07"/>
    <w:rsid w:val="00C3564C"/>
    <w:rsid w:val="00C36310"/>
    <w:rsid w:val="00C365B9"/>
    <w:rsid w:val="00C376F9"/>
    <w:rsid w:val="00C3796A"/>
    <w:rsid w:val="00C400AF"/>
    <w:rsid w:val="00C40922"/>
    <w:rsid w:val="00C410AA"/>
    <w:rsid w:val="00C411B3"/>
    <w:rsid w:val="00C41879"/>
    <w:rsid w:val="00C419FA"/>
    <w:rsid w:val="00C41D88"/>
    <w:rsid w:val="00C42136"/>
    <w:rsid w:val="00C443FD"/>
    <w:rsid w:val="00C44FC8"/>
    <w:rsid w:val="00C45283"/>
    <w:rsid w:val="00C45390"/>
    <w:rsid w:val="00C4551D"/>
    <w:rsid w:val="00C457A1"/>
    <w:rsid w:val="00C458FF"/>
    <w:rsid w:val="00C47FB7"/>
    <w:rsid w:val="00C50BE1"/>
    <w:rsid w:val="00C514B9"/>
    <w:rsid w:val="00C51B03"/>
    <w:rsid w:val="00C520AD"/>
    <w:rsid w:val="00C52D2B"/>
    <w:rsid w:val="00C5365D"/>
    <w:rsid w:val="00C53A27"/>
    <w:rsid w:val="00C546B2"/>
    <w:rsid w:val="00C55200"/>
    <w:rsid w:val="00C61EA8"/>
    <w:rsid w:val="00C61EAC"/>
    <w:rsid w:val="00C626F8"/>
    <w:rsid w:val="00C6327C"/>
    <w:rsid w:val="00C64A11"/>
    <w:rsid w:val="00C653DB"/>
    <w:rsid w:val="00C65B3F"/>
    <w:rsid w:val="00C65B50"/>
    <w:rsid w:val="00C666E5"/>
    <w:rsid w:val="00C66A73"/>
    <w:rsid w:val="00C66B18"/>
    <w:rsid w:val="00C66DA0"/>
    <w:rsid w:val="00C67E11"/>
    <w:rsid w:val="00C708D3"/>
    <w:rsid w:val="00C70943"/>
    <w:rsid w:val="00C70977"/>
    <w:rsid w:val="00C726DF"/>
    <w:rsid w:val="00C72DF8"/>
    <w:rsid w:val="00C743B0"/>
    <w:rsid w:val="00C74FE0"/>
    <w:rsid w:val="00C7566B"/>
    <w:rsid w:val="00C75D59"/>
    <w:rsid w:val="00C75FE1"/>
    <w:rsid w:val="00C778D1"/>
    <w:rsid w:val="00C80F81"/>
    <w:rsid w:val="00C81111"/>
    <w:rsid w:val="00C819FF"/>
    <w:rsid w:val="00C81BF8"/>
    <w:rsid w:val="00C8213D"/>
    <w:rsid w:val="00C827F5"/>
    <w:rsid w:val="00C83C78"/>
    <w:rsid w:val="00C86295"/>
    <w:rsid w:val="00C86619"/>
    <w:rsid w:val="00C86833"/>
    <w:rsid w:val="00C90700"/>
    <w:rsid w:val="00C90FA5"/>
    <w:rsid w:val="00C91BD4"/>
    <w:rsid w:val="00C91DB1"/>
    <w:rsid w:val="00C92BF9"/>
    <w:rsid w:val="00C93679"/>
    <w:rsid w:val="00C936AE"/>
    <w:rsid w:val="00C93E27"/>
    <w:rsid w:val="00C94DAD"/>
    <w:rsid w:val="00C94EA4"/>
    <w:rsid w:val="00C94FAF"/>
    <w:rsid w:val="00C94FFB"/>
    <w:rsid w:val="00C96251"/>
    <w:rsid w:val="00C96584"/>
    <w:rsid w:val="00C9664B"/>
    <w:rsid w:val="00CA06B6"/>
    <w:rsid w:val="00CA0EBB"/>
    <w:rsid w:val="00CA154A"/>
    <w:rsid w:val="00CA2345"/>
    <w:rsid w:val="00CA24E5"/>
    <w:rsid w:val="00CA3188"/>
    <w:rsid w:val="00CA3E35"/>
    <w:rsid w:val="00CA45C7"/>
    <w:rsid w:val="00CA470E"/>
    <w:rsid w:val="00CA4883"/>
    <w:rsid w:val="00CA4D55"/>
    <w:rsid w:val="00CA5051"/>
    <w:rsid w:val="00CA52D5"/>
    <w:rsid w:val="00CA560C"/>
    <w:rsid w:val="00CA6598"/>
    <w:rsid w:val="00CA6705"/>
    <w:rsid w:val="00CA7AAA"/>
    <w:rsid w:val="00CB058E"/>
    <w:rsid w:val="00CB05CF"/>
    <w:rsid w:val="00CB1190"/>
    <w:rsid w:val="00CB14F3"/>
    <w:rsid w:val="00CB16FC"/>
    <w:rsid w:val="00CB265A"/>
    <w:rsid w:val="00CB285D"/>
    <w:rsid w:val="00CB2925"/>
    <w:rsid w:val="00CB2AA1"/>
    <w:rsid w:val="00CB4095"/>
    <w:rsid w:val="00CB4875"/>
    <w:rsid w:val="00CB4B54"/>
    <w:rsid w:val="00CB4CCE"/>
    <w:rsid w:val="00CB4E18"/>
    <w:rsid w:val="00CB50A8"/>
    <w:rsid w:val="00CB5FBB"/>
    <w:rsid w:val="00CB61AF"/>
    <w:rsid w:val="00CB64CF"/>
    <w:rsid w:val="00CB678B"/>
    <w:rsid w:val="00CB7741"/>
    <w:rsid w:val="00CC133F"/>
    <w:rsid w:val="00CC1495"/>
    <w:rsid w:val="00CC14FE"/>
    <w:rsid w:val="00CC2138"/>
    <w:rsid w:val="00CC2C04"/>
    <w:rsid w:val="00CC2D76"/>
    <w:rsid w:val="00CC3FEF"/>
    <w:rsid w:val="00CC4473"/>
    <w:rsid w:val="00CC7155"/>
    <w:rsid w:val="00CD06A3"/>
    <w:rsid w:val="00CD2295"/>
    <w:rsid w:val="00CD337B"/>
    <w:rsid w:val="00CD367E"/>
    <w:rsid w:val="00CD3B4E"/>
    <w:rsid w:val="00CD3BAD"/>
    <w:rsid w:val="00CD3E32"/>
    <w:rsid w:val="00CD4708"/>
    <w:rsid w:val="00CD4F58"/>
    <w:rsid w:val="00CD5ACC"/>
    <w:rsid w:val="00CD60E0"/>
    <w:rsid w:val="00CD61BB"/>
    <w:rsid w:val="00CD6C86"/>
    <w:rsid w:val="00CD7CF9"/>
    <w:rsid w:val="00CE0E07"/>
    <w:rsid w:val="00CE2A5A"/>
    <w:rsid w:val="00CE3733"/>
    <w:rsid w:val="00CE3F50"/>
    <w:rsid w:val="00CE4F74"/>
    <w:rsid w:val="00CE59D4"/>
    <w:rsid w:val="00CE7299"/>
    <w:rsid w:val="00CE7558"/>
    <w:rsid w:val="00CE7D65"/>
    <w:rsid w:val="00CF019D"/>
    <w:rsid w:val="00CF02E1"/>
    <w:rsid w:val="00CF1781"/>
    <w:rsid w:val="00CF189F"/>
    <w:rsid w:val="00CF1CA2"/>
    <w:rsid w:val="00CF43B7"/>
    <w:rsid w:val="00CF4E39"/>
    <w:rsid w:val="00CF57B7"/>
    <w:rsid w:val="00CF5EC5"/>
    <w:rsid w:val="00CF6041"/>
    <w:rsid w:val="00D00F80"/>
    <w:rsid w:val="00D01EFE"/>
    <w:rsid w:val="00D02393"/>
    <w:rsid w:val="00D02D18"/>
    <w:rsid w:val="00D0437F"/>
    <w:rsid w:val="00D0466B"/>
    <w:rsid w:val="00D05B62"/>
    <w:rsid w:val="00D05E09"/>
    <w:rsid w:val="00D0622E"/>
    <w:rsid w:val="00D06FA5"/>
    <w:rsid w:val="00D100B9"/>
    <w:rsid w:val="00D10C6D"/>
    <w:rsid w:val="00D12BA8"/>
    <w:rsid w:val="00D15B81"/>
    <w:rsid w:val="00D16E4B"/>
    <w:rsid w:val="00D17FD3"/>
    <w:rsid w:val="00D20D25"/>
    <w:rsid w:val="00D2161A"/>
    <w:rsid w:val="00D2166D"/>
    <w:rsid w:val="00D217D3"/>
    <w:rsid w:val="00D23F5E"/>
    <w:rsid w:val="00D25385"/>
    <w:rsid w:val="00D25D65"/>
    <w:rsid w:val="00D26EDE"/>
    <w:rsid w:val="00D32394"/>
    <w:rsid w:val="00D327BA"/>
    <w:rsid w:val="00D332AC"/>
    <w:rsid w:val="00D3557A"/>
    <w:rsid w:val="00D3576A"/>
    <w:rsid w:val="00D359B0"/>
    <w:rsid w:val="00D3619E"/>
    <w:rsid w:val="00D3629D"/>
    <w:rsid w:val="00D36378"/>
    <w:rsid w:val="00D3708F"/>
    <w:rsid w:val="00D405F2"/>
    <w:rsid w:val="00D414C0"/>
    <w:rsid w:val="00D41FE6"/>
    <w:rsid w:val="00D42552"/>
    <w:rsid w:val="00D433B3"/>
    <w:rsid w:val="00D43A95"/>
    <w:rsid w:val="00D43DF9"/>
    <w:rsid w:val="00D4615C"/>
    <w:rsid w:val="00D4733E"/>
    <w:rsid w:val="00D47C2D"/>
    <w:rsid w:val="00D512E1"/>
    <w:rsid w:val="00D51581"/>
    <w:rsid w:val="00D517B5"/>
    <w:rsid w:val="00D52BEB"/>
    <w:rsid w:val="00D52C14"/>
    <w:rsid w:val="00D53D2C"/>
    <w:rsid w:val="00D546A9"/>
    <w:rsid w:val="00D54AAF"/>
    <w:rsid w:val="00D54ED5"/>
    <w:rsid w:val="00D57893"/>
    <w:rsid w:val="00D57F4F"/>
    <w:rsid w:val="00D60940"/>
    <w:rsid w:val="00D60FBF"/>
    <w:rsid w:val="00D62D0F"/>
    <w:rsid w:val="00D637D2"/>
    <w:rsid w:val="00D6518E"/>
    <w:rsid w:val="00D662F9"/>
    <w:rsid w:val="00D67008"/>
    <w:rsid w:val="00D670BC"/>
    <w:rsid w:val="00D67589"/>
    <w:rsid w:val="00D67B14"/>
    <w:rsid w:val="00D67C19"/>
    <w:rsid w:val="00D71404"/>
    <w:rsid w:val="00D720D9"/>
    <w:rsid w:val="00D72642"/>
    <w:rsid w:val="00D739A4"/>
    <w:rsid w:val="00D74E0B"/>
    <w:rsid w:val="00D7570A"/>
    <w:rsid w:val="00D76167"/>
    <w:rsid w:val="00D765F0"/>
    <w:rsid w:val="00D76A99"/>
    <w:rsid w:val="00D7719B"/>
    <w:rsid w:val="00D773B7"/>
    <w:rsid w:val="00D77D6D"/>
    <w:rsid w:val="00D8280D"/>
    <w:rsid w:val="00D83385"/>
    <w:rsid w:val="00D84F9F"/>
    <w:rsid w:val="00D85320"/>
    <w:rsid w:val="00D859A5"/>
    <w:rsid w:val="00D86716"/>
    <w:rsid w:val="00D9038B"/>
    <w:rsid w:val="00D90476"/>
    <w:rsid w:val="00D90FA1"/>
    <w:rsid w:val="00D92335"/>
    <w:rsid w:val="00D95947"/>
    <w:rsid w:val="00D95CBA"/>
    <w:rsid w:val="00D960B7"/>
    <w:rsid w:val="00D96E5B"/>
    <w:rsid w:val="00D97956"/>
    <w:rsid w:val="00DA03D6"/>
    <w:rsid w:val="00DA04AF"/>
    <w:rsid w:val="00DA0A56"/>
    <w:rsid w:val="00DA42C4"/>
    <w:rsid w:val="00DA42D5"/>
    <w:rsid w:val="00DA46AC"/>
    <w:rsid w:val="00DA6051"/>
    <w:rsid w:val="00DA77E8"/>
    <w:rsid w:val="00DA7B3B"/>
    <w:rsid w:val="00DB0E02"/>
    <w:rsid w:val="00DB0FF9"/>
    <w:rsid w:val="00DB1190"/>
    <w:rsid w:val="00DB141C"/>
    <w:rsid w:val="00DB1E67"/>
    <w:rsid w:val="00DB28AB"/>
    <w:rsid w:val="00DB2F98"/>
    <w:rsid w:val="00DB39B7"/>
    <w:rsid w:val="00DB3ABD"/>
    <w:rsid w:val="00DB3F5C"/>
    <w:rsid w:val="00DB4505"/>
    <w:rsid w:val="00DB4522"/>
    <w:rsid w:val="00DB59C4"/>
    <w:rsid w:val="00DB5AB7"/>
    <w:rsid w:val="00DB5C58"/>
    <w:rsid w:val="00DB5DDB"/>
    <w:rsid w:val="00DB684D"/>
    <w:rsid w:val="00DC015C"/>
    <w:rsid w:val="00DC0A5C"/>
    <w:rsid w:val="00DC361F"/>
    <w:rsid w:val="00DC36FD"/>
    <w:rsid w:val="00DC3821"/>
    <w:rsid w:val="00DC3C17"/>
    <w:rsid w:val="00DC3CA6"/>
    <w:rsid w:val="00DC4139"/>
    <w:rsid w:val="00DC4644"/>
    <w:rsid w:val="00DC4891"/>
    <w:rsid w:val="00DC5DD6"/>
    <w:rsid w:val="00DC5E4A"/>
    <w:rsid w:val="00DC65A4"/>
    <w:rsid w:val="00DC69B5"/>
    <w:rsid w:val="00DC6AB5"/>
    <w:rsid w:val="00DC7403"/>
    <w:rsid w:val="00DD0D25"/>
    <w:rsid w:val="00DD1580"/>
    <w:rsid w:val="00DD1CE1"/>
    <w:rsid w:val="00DD3156"/>
    <w:rsid w:val="00DD62E3"/>
    <w:rsid w:val="00DD66E7"/>
    <w:rsid w:val="00DD6AB2"/>
    <w:rsid w:val="00DD7D3E"/>
    <w:rsid w:val="00DE06E3"/>
    <w:rsid w:val="00DE2307"/>
    <w:rsid w:val="00DE2365"/>
    <w:rsid w:val="00DE30D1"/>
    <w:rsid w:val="00DE4338"/>
    <w:rsid w:val="00DE54E7"/>
    <w:rsid w:val="00DE6806"/>
    <w:rsid w:val="00DE6973"/>
    <w:rsid w:val="00DE7827"/>
    <w:rsid w:val="00DF01E0"/>
    <w:rsid w:val="00DF196D"/>
    <w:rsid w:val="00DF2C7C"/>
    <w:rsid w:val="00DF434E"/>
    <w:rsid w:val="00DF48F0"/>
    <w:rsid w:val="00DF4A09"/>
    <w:rsid w:val="00DF51CA"/>
    <w:rsid w:val="00DF61F6"/>
    <w:rsid w:val="00DF693B"/>
    <w:rsid w:val="00DF6977"/>
    <w:rsid w:val="00DF6D3D"/>
    <w:rsid w:val="00DF7533"/>
    <w:rsid w:val="00DF7C2F"/>
    <w:rsid w:val="00E00C83"/>
    <w:rsid w:val="00E01335"/>
    <w:rsid w:val="00E02DC5"/>
    <w:rsid w:val="00E0348D"/>
    <w:rsid w:val="00E0380D"/>
    <w:rsid w:val="00E04E12"/>
    <w:rsid w:val="00E05051"/>
    <w:rsid w:val="00E054C0"/>
    <w:rsid w:val="00E05726"/>
    <w:rsid w:val="00E0682A"/>
    <w:rsid w:val="00E0717E"/>
    <w:rsid w:val="00E079B7"/>
    <w:rsid w:val="00E10258"/>
    <w:rsid w:val="00E10752"/>
    <w:rsid w:val="00E1084C"/>
    <w:rsid w:val="00E10C62"/>
    <w:rsid w:val="00E12D9E"/>
    <w:rsid w:val="00E12EB4"/>
    <w:rsid w:val="00E14F0D"/>
    <w:rsid w:val="00E15567"/>
    <w:rsid w:val="00E15AD0"/>
    <w:rsid w:val="00E20207"/>
    <w:rsid w:val="00E214AE"/>
    <w:rsid w:val="00E215F2"/>
    <w:rsid w:val="00E22258"/>
    <w:rsid w:val="00E22CE2"/>
    <w:rsid w:val="00E23D84"/>
    <w:rsid w:val="00E24537"/>
    <w:rsid w:val="00E255D7"/>
    <w:rsid w:val="00E25C73"/>
    <w:rsid w:val="00E2618C"/>
    <w:rsid w:val="00E27968"/>
    <w:rsid w:val="00E327F7"/>
    <w:rsid w:val="00E32ADB"/>
    <w:rsid w:val="00E332D2"/>
    <w:rsid w:val="00E33F68"/>
    <w:rsid w:val="00E344D0"/>
    <w:rsid w:val="00E34706"/>
    <w:rsid w:val="00E352C0"/>
    <w:rsid w:val="00E35751"/>
    <w:rsid w:val="00E35C9F"/>
    <w:rsid w:val="00E35F1C"/>
    <w:rsid w:val="00E40045"/>
    <w:rsid w:val="00E405F9"/>
    <w:rsid w:val="00E411E0"/>
    <w:rsid w:val="00E417CE"/>
    <w:rsid w:val="00E417E5"/>
    <w:rsid w:val="00E43A30"/>
    <w:rsid w:val="00E43A6C"/>
    <w:rsid w:val="00E44A68"/>
    <w:rsid w:val="00E45388"/>
    <w:rsid w:val="00E46202"/>
    <w:rsid w:val="00E46BBC"/>
    <w:rsid w:val="00E46D07"/>
    <w:rsid w:val="00E46EBB"/>
    <w:rsid w:val="00E472B3"/>
    <w:rsid w:val="00E479AE"/>
    <w:rsid w:val="00E507EB"/>
    <w:rsid w:val="00E50B7A"/>
    <w:rsid w:val="00E51F03"/>
    <w:rsid w:val="00E525CE"/>
    <w:rsid w:val="00E53E4F"/>
    <w:rsid w:val="00E54EB5"/>
    <w:rsid w:val="00E554B7"/>
    <w:rsid w:val="00E55EF3"/>
    <w:rsid w:val="00E568EB"/>
    <w:rsid w:val="00E56E5B"/>
    <w:rsid w:val="00E625CA"/>
    <w:rsid w:val="00E628C8"/>
    <w:rsid w:val="00E63B8A"/>
    <w:rsid w:val="00E63D69"/>
    <w:rsid w:val="00E64417"/>
    <w:rsid w:val="00E6481D"/>
    <w:rsid w:val="00E659A9"/>
    <w:rsid w:val="00E66136"/>
    <w:rsid w:val="00E6614B"/>
    <w:rsid w:val="00E66233"/>
    <w:rsid w:val="00E66C55"/>
    <w:rsid w:val="00E66EEB"/>
    <w:rsid w:val="00E67B09"/>
    <w:rsid w:val="00E70ED4"/>
    <w:rsid w:val="00E714CC"/>
    <w:rsid w:val="00E71801"/>
    <w:rsid w:val="00E72667"/>
    <w:rsid w:val="00E72B63"/>
    <w:rsid w:val="00E73BC5"/>
    <w:rsid w:val="00E7447D"/>
    <w:rsid w:val="00E75D71"/>
    <w:rsid w:val="00E763C9"/>
    <w:rsid w:val="00E76649"/>
    <w:rsid w:val="00E76E6E"/>
    <w:rsid w:val="00E77C52"/>
    <w:rsid w:val="00E80A52"/>
    <w:rsid w:val="00E80C37"/>
    <w:rsid w:val="00E812EF"/>
    <w:rsid w:val="00E814ED"/>
    <w:rsid w:val="00E81CA3"/>
    <w:rsid w:val="00E8480E"/>
    <w:rsid w:val="00E87B91"/>
    <w:rsid w:val="00E87C10"/>
    <w:rsid w:val="00E90C4A"/>
    <w:rsid w:val="00E9155E"/>
    <w:rsid w:val="00E922F3"/>
    <w:rsid w:val="00E923F7"/>
    <w:rsid w:val="00E92C25"/>
    <w:rsid w:val="00E92E97"/>
    <w:rsid w:val="00E94C0B"/>
    <w:rsid w:val="00E94F2B"/>
    <w:rsid w:val="00E95B5B"/>
    <w:rsid w:val="00E96764"/>
    <w:rsid w:val="00E97038"/>
    <w:rsid w:val="00E97053"/>
    <w:rsid w:val="00E978F0"/>
    <w:rsid w:val="00E97958"/>
    <w:rsid w:val="00E97A48"/>
    <w:rsid w:val="00E97DCB"/>
    <w:rsid w:val="00EA14F0"/>
    <w:rsid w:val="00EA1672"/>
    <w:rsid w:val="00EA1D2A"/>
    <w:rsid w:val="00EA2B84"/>
    <w:rsid w:val="00EA2E05"/>
    <w:rsid w:val="00EA34B9"/>
    <w:rsid w:val="00EA395F"/>
    <w:rsid w:val="00EA3EDD"/>
    <w:rsid w:val="00EA406C"/>
    <w:rsid w:val="00EA4D0E"/>
    <w:rsid w:val="00EA59AD"/>
    <w:rsid w:val="00EA658F"/>
    <w:rsid w:val="00EA726E"/>
    <w:rsid w:val="00EB0002"/>
    <w:rsid w:val="00EB0587"/>
    <w:rsid w:val="00EB05AA"/>
    <w:rsid w:val="00EB280B"/>
    <w:rsid w:val="00EB2B3E"/>
    <w:rsid w:val="00EB3166"/>
    <w:rsid w:val="00EB367C"/>
    <w:rsid w:val="00EB3E13"/>
    <w:rsid w:val="00EB6117"/>
    <w:rsid w:val="00EC085E"/>
    <w:rsid w:val="00EC14FB"/>
    <w:rsid w:val="00EC2D99"/>
    <w:rsid w:val="00EC3A39"/>
    <w:rsid w:val="00EC407D"/>
    <w:rsid w:val="00EC4A78"/>
    <w:rsid w:val="00EC4C7F"/>
    <w:rsid w:val="00EC5E58"/>
    <w:rsid w:val="00EC6DDA"/>
    <w:rsid w:val="00ED0309"/>
    <w:rsid w:val="00ED27F1"/>
    <w:rsid w:val="00ED2D3D"/>
    <w:rsid w:val="00ED4CF4"/>
    <w:rsid w:val="00ED4DBC"/>
    <w:rsid w:val="00ED50AC"/>
    <w:rsid w:val="00ED6013"/>
    <w:rsid w:val="00ED686E"/>
    <w:rsid w:val="00ED6E89"/>
    <w:rsid w:val="00ED7B47"/>
    <w:rsid w:val="00EE1970"/>
    <w:rsid w:val="00EE1B08"/>
    <w:rsid w:val="00EE2069"/>
    <w:rsid w:val="00EE5138"/>
    <w:rsid w:val="00EE5D79"/>
    <w:rsid w:val="00EE6404"/>
    <w:rsid w:val="00EE6D93"/>
    <w:rsid w:val="00EF00AC"/>
    <w:rsid w:val="00EF0954"/>
    <w:rsid w:val="00EF0F32"/>
    <w:rsid w:val="00EF1561"/>
    <w:rsid w:val="00EF2C4D"/>
    <w:rsid w:val="00EF3B73"/>
    <w:rsid w:val="00EF3DE8"/>
    <w:rsid w:val="00EF44BC"/>
    <w:rsid w:val="00EF4B34"/>
    <w:rsid w:val="00EF4B4D"/>
    <w:rsid w:val="00EF4F0D"/>
    <w:rsid w:val="00EF5147"/>
    <w:rsid w:val="00EF54DC"/>
    <w:rsid w:val="00EF7A18"/>
    <w:rsid w:val="00EF7A35"/>
    <w:rsid w:val="00F01315"/>
    <w:rsid w:val="00F02248"/>
    <w:rsid w:val="00F02592"/>
    <w:rsid w:val="00F02D9D"/>
    <w:rsid w:val="00F04826"/>
    <w:rsid w:val="00F04855"/>
    <w:rsid w:val="00F05295"/>
    <w:rsid w:val="00F052E6"/>
    <w:rsid w:val="00F056DF"/>
    <w:rsid w:val="00F057D8"/>
    <w:rsid w:val="00F07364"/>
    <w:rsid w:val="00F07996"/>
    <w:rsid w:val="00F07CFC"/>
    <w:rsid w:val="00F101A8"/>
    <w:rsid w:val="00F10AE1"/>
    <w:rsid w:val="00F11FDC"/>
    <w:rsid w:val="00F12701"/>
    <w:rsid w:val="00F140E4"/>
    <w:rsid w:val="00F141F7"/>
    <w:rsid w:val="00F15D8B"/>
    <w:rsid w:val="00F176B7"/>
    <w:rsid w:val="00F20A53"/>
    <w:rsid w:val="00F20E64"/>
    <w:rsid w:val="00F21423"/>
    <w:rsid w:val="00F230E2"/>
    <w:rsid w:val="00F25293"/>
    <w:rsid w:val="00F268DF"/>
    <w:rsid w:val="00F272FE"/>
    <w:rsid w:val="00F30139"/>
    <w:rsid w:val="00F30431"/>
    <w:rsid w:val="00F313BC"/>
    <w:rsid w:val="00F325AA"/>
    <w:rsid w:val="00F32864"/>
    <w:rsid w:val="00F32C74"/>
    <w:rsid w:val="00F33205"/>
    <w:rsid w:val="00F33F7E"/>
    <w:rsid w:val="00F34ACF"/>
    <w:rsid w:val="00F35181"/>
    <w:rsid w:val="00F36535"/>
    <w:rsid w:val="00F36E8C"/>
    <w:rsid w:val="00F3701B"/>
    <w:rsid w:val="00F37918"/>
    <w:rsid w:val="00F379A6"/>
    <w:rsid w:val="00F37EC8"/>
    <w:rsid w:val="00F40B33"/>
    <w:rsid w:val="00F41127"/>
    <w:rsid w:val="00F42996"/>
    <w:rsid w:val="00F42A84"/>
    <w:rsid w:val="00F43CE7"/>
    <w:rsid w:val="00F45037"/>
    <w:rsid w:val="00F46C9C"/>
    <w:rsid w:val="00F50F18"/>
    <w:rsid w:val="00F513AA"/>
    <w:rsid w:val="00F51D1B"/>
    <w:rsid w:val="00F52005"/>
    <w:rsid w:val="00F5253C"/>
    <w:rsid w:val="00F52824"/>
    <w:rsid w:val="00F52BF1"/>
    <w:rsid w:val="00F54468"/>
    <w:rsid w:val="00F5471B"/>
    <w:rsid w:val="00F55B92"/>
    <w:rsid w:val="00F57B28"/>
    <w:rsid w:val="00F60DF2"/>
    <w:rsid w:val="00F629C4"/>
    <w:rsid w:val="00F62BEF"/>
    <w:rsid w:val="00F62F99"/>
    <w:rsid w:val="00F63C35"/>
    <w:rsid w:val="00F63C7B"/>
    <w:rsid w:val="00F643F5"/>
    <w:rsid w:val="00F64868"/>
    <w:rsid w:val="00F64B23"/>
    <w:rsid w:val="00F66498"/>
    <w:rsid w:val="00F665E8"/>
    <w:rsid w:val="00F66E8A"/>
    <w:rsid w:val="00F66EB3"/>
    <w:rsid w:val="00F67B4E"/>
    <w:rsid w:val="00F70B04"/>
    <w:rsid w:val="00F70E24"/>
    <w:rsid w:val="00F70EAA"/>
    <w:rsid w:val="00F720EE"/>
    <w:rsid w:val="00F72E51"/>
    <w:rsid w:val="00F73BC3"/>
    <w:rsid w:val="00F7499E"/>
    <w:rsid w:val="00F75D11"/>
    <w:rsid w:val="00F810AD"/>
    <w:rsid w:val="00F82918"/>
    <w:rsid w:val="00F82FE7"/>
    <w:rsid w:val="00F83A9B"/>
    <w:rsid w:val="00F83ED6"/>
    <w:rsid w:val="00F84F60"/>
    <w:rsid w:val="00F85389"/>
    <w:rsid w:val="00F90334"/>
    <w:rsid w:val="00F9095D"/>
    <w:rsid w:val="00F918ED"/>
    <w:rsid w:val="00F928F0"/>
    <w:rsid w:val="00F93D06"/>
    <w:rsid w:val="00F9617B"/>
    <w:rsid w:val="00F96281"/>
    <w:rsid w:val="00F96AD8"/>
    <w:rsid w:val="00F978F5"/>
    <w:rsid w:val="00FA0302"/>
    <w:rsid w:val="00FA0AEA"/>
    <w:rsid w:val="00FA2FFA"/>
    <w:rsid w:val="00FA41DB"/>
    <w:rsid w:val="00FA4B51"/>
    <w:rsid w:val="00FA6E70"/>
    <w:rsid w:val="00FA7107"/>
    <w:rsid w:val="00FB02B6"/>
    <w:rsid w:val="00FB059F"/>
    <w:rsid w:val="00FB083E"/>
    <w:rsid w:val="00FB14CF"/>
    <w:rsid w:val="00FB4888"/>
    <w:rsid w:val="00FB4DB9"/>
    <w:rsid w:val="00FB69D4"/>
    <w:rsid w:val="00FB705E"/>
    <w:rsid w:val="00FB7161"/>
    <w:rsid w:val="00FB742E"/>
    <w:rsid w:val="00FC01D0"/>
    <w:rsid w:val="00FC06F6"/>
    <w:rsid w:val="00FC1177"/>
    <w:rsid w:val="00FC154E"/>
    <w:rsid w:val="00FC23AC"/>
    <w:rsid w:val="00FC337D"/>
    <w:rsid w:val="00FC35B1"/>
    <w:rsid w:val="00FC3C5D"/>
    <w:rsid w:val="00FC3C87"/>
    <w:rsid w:val="00FC4F80"/>
    <w:rsid w:val="00FC51D0"/>
    <w:rsid w:val="00FC564A"/>
    <w:rsid w:val="00FC6855"/>
    <w:rsid w:val="00FC6A7C"/>
    <w:rsid w:val="00FC6E77"/>
    <w:rsid w:val="00FC7007"/>
    <w:rsid w:val="00FC76FF"/>
    <w:rsid w:val="00FD050F"/>
    <w:rsid w:val="00FD06C0"/>
    <w:rsid w:val="00FD0DF8"/>
    <w:rsid w:val="00FD1898"/>
    <w:rsid w:val="00FD280C"/>
    <w:rsid w:val="00FD3DF0"/>
    <w:rsid w:val="00FD45C9"/>
    <w:rsid w:val="00FD4D84"/>
    <w:rsid w:val="00FD6006"/>
    <w:rsid w:val="00FD668F"/>
    <w:rsid w:val="00FD7719"/>
    <w:rsid w:val="00FD7B3F"/>
    <w:rsid w:val="00FE1AD7"/>
    <w:rsid w:val="00FE3719"/>
    <w:rsid w:val="00FE64E9"/>
    <w:rsid w:val="00FE70F8"/>
    <w:rsid w:val="00FE7976"/>
    <w:rsid w:val="00FE7C32"/>
    <w:rsid w:val="00FF00CF"/>
    <w:rsid w:val="00FF0336"/>
    <w:rsid w:val="00FF056B"/>
    <w:rsid w:val="00FF48DF"/>
    <w:rsid w:val="00FF4AD5"/>
    <w:rsid w:val="00FF4B9F"/>
    <w:rsid w:val="00FF4F46"/>
    <w:rsid w:val="00FF65C9"/>
    <w:rsid w:val="00FF6BC9"/>
    <w:rsid w:val="00FF6C7C"/>
    <w:rsid w:val="00FF78D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F0639358-8DC0-4941-BADA-779E0B20E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2E05"/>
    <w:rPr>
      <w:rFonts w:eastAsia="Times New Roman"/>
      <w:sz w:val="24"/>
      <w:szCs w:val="24"/>
    </w:rPr>
  </w:style>
  <w:style w:type="paragraph" w:styleId="Heading1">
    <w:name w:val="heading 1"/>
    <w:basedOn w:val="Normal"/>
    <w:next w:val="Normal"/>
    <w:link w:val="Heading1Char"/>
    <w:uiPriority w:val="9"/>
    <w:qFormat/>
    <w:rsid w:val="004719C1"/>
    <w:pPr>
      <w:keepNext/>
      <w:keepLines/>
      <w:spacing w:before="480"/>
      <w:outlineLvl w:val="0"/>
    </w:pPr>
    <w:rPr>
      <w:rFonts w:asciiTheme="minorHAnsi" w:eastAsiaTheme="majorEastAsia" w:hAnsiTheme="minorHAnsi" w:cstheme="majorBidi"/>
      <w:b/>
      <w:bCs/>
      <w:noProof/>
      <w:color w:val="365F91" w:themeColor="accent1" w:themeShade="BF"/>
      <w:u w:val="single"/>
      <w:lang w:val="sq-AL"/>
    </w:rPr>
  </w:style>
  <w:style w:type="paragraph" w:styleId="Heading2">
    <w:name w:val="heading 2"/>
    <w:basedOn w:val="Normal"/>
    <w:next w:val="Normal"/>
    <w:link w:val="Heading2Char"/>
    <w:uiPriority w:val="9"/>
    <w:unhideWhenUsed/>
    <w:qFormat/>
    <w:rsid w:val="002334F6"/>
    <w:pPr>
      <w:keepNext/>
      <w:keepLines/>
      <w:spacing w:before="200" w:line="276" w:lineRule="auto"/>
      <w:ind w:left="720" w:hanging="720"/>
      <w:outlineLvl w:val="1"/>
    </w:pPr>
    <w:rPr>
      <w:rFonts w:asciiTheme="minorHAnsi" w:eastAsiaTheme="majorEastAsia" w:hAnsiTheme="minorHAnsi" w:cstheme="majorBidi"/>
      <w:b/>
      <w:bCs/>
      <w:noProof/>
      <w:color w:val="4F81BD" w:themeColor="accent1"/>
      <w:sz w:val="28"/>
      <w:lang w:val="sq-AL"/>
    </w:rPr>
  </w:style>
  <w:style w:type="paragraph" w:styleId="Heading3">
    <w:name w:val="heading 3"/>
    <w:basedOn w:val="Normal"/>
    <w:next w:val="Normal"/>
    <w:link w:val="Heading3Char"/>
    <w:autoRedefine/>
    <w:unhideWhenUsed/>
    <w:qFormat/>
    <w:rsid w:val="006F52BB"/>
    <w:pPr>
      <w:keepNext/>
      <w:keepLines/>
      <w:tabs>
        <w:tab w:val="left" w:pos="426"/>
        <w:tab w:val="left" w:pos="540"/>
      </w:tabs>
      <w:spacing w:before="200" w:line="276" w:lineRule="auto"/>
      <w:ind w:left="2700" w:hanging="2700"/>
      <w:jc w:val="both"/>
      <w:outlineLvl w:val="2"/>
    </w:pPr>
    <w:rPr>
      <w:rFonts w:asciiTheme="minorHAnsi" w:eastAsiaTheme="majorEastAsia" w:hAnsiTheme="minorHAnsi" w:cstheme="majorBidi"/>
      <w:bCs/>
      <w:i/>
      <w:u w:val="single"/>
      <w:lang w:val="sq-AL"/>
    </w:rPr>
  </w:style>
  <w:style w:type="paragraph" w:styleId="Heading4">
    <w:name w:val="heading 4"/>
    <w:basedOn w:val="Normal"/>
    <w:next w:val="Normal"/>
    <w:link w:val="Heading4Char"/>
    <w:unhideWhenUsed/>
    <w:qFormat/>
    <w:rsid w:val="00155195"/>
    <w:pPr>
      <w:keepNext/>
      <w:keepLines/>
      <w:spacing w:before="200"/>
      <w:outlineLvl w:val="3"/>
    </w:pPr>
    <w:rPr>
      <w:rFonts w:asciiTheme="majorHAnsi" w:eastAsiaTheme="majorEastAsia" w:hAnsiTheme="majorHAnsi" w:cstheme="majorBidi"/>
      <w:bCs/>
      <w:i/>
      <w:iCs/>
    </w:rPr>
  </w:style>
  <w:style w:type="paragraph" w:styleId="Heading5">
    <w:name w:val="heading 5"/>
    <w:basedOn w:val="Normal"/>
    <w:next w:val="Normal"/>
    <w:link w:val="Heading5Char"/>
    <w:uiPriority w:val="9"/>
    <w:semiHidden/>
    <w:unhideWhenUsed/>
    <w:qFormat/>
    <w:rsid w:val="00527686"/>
    <w:pPr>
      <w:keepNext/>
      <w:keepLines/>
      <w:spacing w:before="40"/>
      <w:outlineLvl w:val="4"/>
    </w:pPr>
    <w:rPr>
      <w:rFonts w:ascii="Calibri" w:eastAsia="MS Gothic" w:hAnsi="Calibri"/>
      <w:color w:val="365F91"/>
      <w:sz w:val="20"/>
      <w:szCs w:val="20"/>
    </w:rPr>
  </w:style>
  <w:style w:type="paragraph" w:styleId="Heading6">
    <w:name w:val="heading 6"/>
    <w:basedOn w:val="Normal"/>
    <w:next w:val="Normal"/>
    <w:link w:val="Heading6Char"/>
    <w:uiPriority w:val="9"/>
    <w:semiHidden/>
    <w:unhideWhenUsed/>
    <w:qFormat/>
    <w:rsid w:val="00527686"/>
    <w:pPr>
      <w:keepNext/>
      <w:keepLines/>
      <w:spacing w:before="40"/>
      <w:outlineLvl w:val="5"/>
    </w:pPr>
    <w:rPr>
      <w:rFonts w:ascii="Calibri" w:eastAsia="MS Gothic" w:hAnsi="Calibri"/>
      <w:color w:val="243F60"/>
      <w:sz w:val="20"/>
      <w:szCs w:val="20"/>
    </w:rPr>
  </w:style>
  <w:style w:type="paragraph" w:styleId="Heading7">
    <w:name w:val="heading 7"/>
    <w:basedOn w:val="Normal"/>
    <w:next w:val="Normal"/>
    <w:link w:val="Heading7Char"/>
    <w:uiPriority w:val="9"/>
    <w:semiHidden/>
    <w:unhideWhenUsed/>
    <w:qFormat/>
    <w:rsid w:val="00527686"/>
    <w:pPr>
      <w:keepNext/>
      <w:keepLines/>
      <w:spacing w:before="40"/>
      <w:outlineLvl w:val="6"/>
    </w:pPr>
    <w:rPr>
      <w:rFonts w:ascii="Calibri" w:eastAsia="MS Gothic" w:hAnsi="Calibri"/>
      <w:i/>
      <w:iCs/>
      <w:color w:val="243F60"/>
      <w:sz w:val="20"/>
      <w:szCs w:val="20"/>
    </w:rPr>
  </w:style>
  <w:style w:type="paragraph" w:styleId="Heading8">
    <w:name w:val="heading 8"/>
    <w:basedOn w:val="Normal"/>
    <w:next w:val="Normal"/>
    <w:link w:val="Heading8Char"/>
    <w:uiPriority w:val="9"/>
    <w:semiHidden/>
    <w:unhideWhenUsed/>
    <w:qFormat/>
    <w:rsid w:val="00527686"/>
    <w:pPr>
      <w:keepNext/>
      <w:keepLines/>
      <w:spacing w:before="40"/>
      <w:outlineLvl w:val="7"/>
    </w:pPr>
    <w:rPr>
      <w:rFonts w:ascii="Calibri" w:eastAsia="MS Gothic" w:hAnsi="Calibri"/>
      <w:color w:val="272727"/>
      <w:sz w:val="21"/>
      <w:szCs w:val="21"/>
    </w:rPr>
  </w:style>
  <w:style w:type="paragraph" w:styleId="Heading9">
    <w:name w:val="heading 9"/>
    <w:basedOn w:val="Normal"/>
    <w:next w:val="Normal"/>
    <w:link w:val="Heading9Char"/>
    <w:uiPriority w:val="9"/>
    <w:semiHidden/>
    <w:unhideWhenUsed/>
    <w:qFormat/>
    <w:rsid w:val="00527686"/>
    <w:pPr>
      <w:keepNext/>
      <w:keepLines/>
      <w:spacing w:before="40"/>
      <w:outlineLvl w:val="8"/>
    </w:pPr>
    <w:rPr>
      <w:rFonts w:ascii="Calibri" w:eastAsia="MS Gothic" w:hAnsi="Calibr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19C1"/>
    <w:rPr>
      <w:rFonts w:asciiTheme="minorHAnsi" w:eastAsiaTheme="majorEastAsia" w:hAnsiTheme="minorHAnsi" w:cstheme="majorBidi"/>
      <w:b/>
      <w:bCs/>
      <w:noProof/>
      <w:color w:val="365F91" w:themeColor="accent1" w:themeShade="BF"/>
      <w:sz w:val="24"/>
      <w:szCs w:val="24"/>
      <w:u w:val="single"/>
      <w:lang w:val="sq-AL"/>
    </w:rPr>
  </w:style>
  <w:style w:type="character" w:customStyle="1" w:styleId="Heading2Char">
    <w:name w:val="Heading 2 Char"/>
    <w:basedOn w:val="DefaultParagraphFont"/>
    <w:link w:val="Heading2"/>
    <w:uiPriority w:val="9"/>
    <w:rsid w:val="002334F6"/>
    <w:rPr>
      <w:rFonts w:asciiTheme="minorHAnsi" w:eastAsiaTheme="majorEastAsia" w:hAnsiTheme="minorHAnsi" w:cstheme="majorBidi"/>
      <w:b/>
      <w:bCs/>
      <w:noProof/>
      <w:color w:val="4F81BD" w:themeColor="accent1"/>
      <w:sz w:val="28"/>
      <w:szCs w:val="24"/>
      <w:lang w:val="sq-AL"/>
    </w:rPr>
  </w:style>
  <w:style w:type="character" w:customStyle="1" w:styleId="Heading3Char">
    <w:name w:val="Heading 3 Char"/>
    <w:basedOn w:val="DefaultParagraphFont"/>
    <w:link w:val="Heading3"/>
    <w:rsid w:val="006F52BB"/>
    <w:rPr>
      <w:rFonts w:asciiTheme="minorHAnsi" w:eastAsiaTheme="majorEastAsia" w:hAnsiTheme="minorHAnsi" w:cstheme="majorBidi"/>
      <w:bCs/>
      <w:i/>
      <w:sz w:val="24"/>
      <w:szCs w:val="24"/>
      <w:u w:val="single"/>
      <w:lang w:val="sq-AL"/>
    </w:rPr>
  </w:style>
  <w:style w:type="character" w:customStyle="1" w:styleId="Heading4Char">
    <w:name w:val="Heading 4 Char"/>
    <w:basedOn w:val="DefaultParagraphFont"/>
    <w:link w:val="Heading4"/>
    <w:rsid w:val="00155195"/>
    <w:rPr>
      <w:rFonts w:asciiTheme="majorHAnsi" w:eastAsiaTheme="majorEastAsia" w:hAnsiTheme="majorHAnsi" w:cstheme="majorBidi"/>
      <w:bCs/>
      <w:i/>
      <w:iCs/>
      <w:sz w:val="24"/>
      <w:szCs w:val="24"/>
    </w:rPr>
  </w:style>
  <w:style w:type="paragraph" w:customStyle="1" w:styleId="Default">
    <w:name w:val="Default"/>
    <w:rsid w:val="00EA2E05"/>
    <w:pPr>
      <w:autoSpaceDE w:val="0"/>
      <w:autoSpaceDN w:val="0"/>
      <w:adjustRightInd w:val="0"/>
    </w:pPr>
    <w:rPr>
      <w:rFonts w:eastAsia="Batang"/>
      <w:color w:val="000000"/>
      <w:sz w:val="24"/>
      <w:szCs w:val="24"/>
      <w:lang w:eastAsia="ko-KR"/>
    </w:rPr>
  </w:style>
  <w:style w:type="paragraph" w:styleId="BalloonText">
    <w:name w:val="Balloon Text"/>
    <w:basedOn w:val="Normal"/>
    <w:link w:val="BalloonTextChar"/>
    <w:uiPriority w:val="99"/>
    <w:rsid w:val="00CA3188"/>
    <w:rPr>
      <w:rFonts w:ascii="Tahoma" w:hAnsi="Tahoma" w:cs="Tahoma"/>
      <w:sz w:val="16"/>
      <w:szCs w:val="16"/>
    </w:rPr>
  </w:style>
  <w:style w:type="character" w:customStyle="1" w:styleId="BalloonTextChar">
    <w:name w:val="Balloon Text Char"/>
    <w:basedOn w:val="DefaultParagraphFont"/>
    <w:link w:val="BalloonText"/>
    <w:uiPriority w:val="99"/>
    <w:rsid w:val="00CA3188"/>
    <w:rPr>
      <w:rFonts w:ascii="Tahoma" w:eastAsia="Times New Roman" w:hAnsi="Tahoma" w:cs="Tahoma"/>
      <w:sz w:val="16"/>
      <w:szCs w:val="16"/>
    </w:rPr>
  </w:style>
  <w:style w:type="paragraph" w:styleId="ListParagraph">
    <w:name w:val="List Paragraph"/>
    <w:aliases w:val="List Paragraph (numbered (a)),Normal 1,List Paragraph 1,Akapit z listą BS,Bullets,List Paragraph1,Bullet1,NumberedParas,Dot pt,F5 List Paragraph,List Paragraph Char Char Char,Indicator Text,Numbered Para 1,Bullet 1,Bullet Points"/>
    <w:basedOn w:val="Normal"/>
    <w:link w:val="ListParagraphChar"/>
    <w:uiPriority w:val="34"/>
    <w:qFormat/>
    <w:rsid w:val="0076649E"/>
    <w:pPr>
      <w:ind w:left="720"/>
      <w:contextualSpacing/>
    </w:pPr>
  </w:style>
  <w:style w:type="character" w:customStyle="1" w:styleId="ListParagraphChar">
    <w:name w:val="List Paragraph Char"/>
    <w:aliases w:val="List Paragraph (numbered (a)) Char,Normal 1 Char,List Paragraph 1 Char,Akapit z listą BS Char,Bullets Char,List Paragraph1 Char,Bullet1 Char,NumberedParas Char,Dot pt Char,F5 List Paragraph Char,List Paragraph Char Char Char Char"/>
    <w:link w:val="ListParagraph"/>
    <w:uiPriority w:val="34"/>
    <w:qFormat/>
    <w:locked/>
    <w:rsid w:val="004C12C9"/>
    <w:rPr>
      <w:rFonts w:eastAsia="Times New Roman"/>
      <w:sz w:val="24"/>
      <w:szCs w:val="24"/>
    </w:rPr>
  </w:style>
  <w:style w:type="paragraph" w:styleId="Subtitle">
    <w:name w:val="Subtitle"/>
    <w:basedOn w:val="Normal"/>
    <w:next w:val="Normal"/>
    <w:link w:val="SubtitleChar"/>
    <w:qFormat/>
    <w:rsid w:val="00476597"/>
    <w:pPr>
      <w:numPr>
        <w:ilvl w:val="1"/>
      </w:numPr>
    </w:pPr>
    <w:rPr>
      <w:rFonts w:eastAsiaTheme="majorEastAsia" w:cstheme="majorBidi"/>
      <w:i/>
      <w:iCs/>
      <w:spacing w:val="15"/>
    </w:rPr>
  </w:style>
  <w:style w:type="character" w:customStyle="1" w:styleId="SubtitleChar">
    <w:name w:val="Subtitle Char"/>
    <w:basedOn w:val="DefaultParagraphFont"/>
    <w:link w:val="Subtitle"/>
    <w:rsid w:val="00476597"/>
    <w:rPr>
      <w:rFonts w:eastAsiaTheme="majorEastAsia" w:cstheme="majorBidi"/>
      <w:i/>
      <w:iCs/>
      <w:spacing w:val="15"/>
      <w:sz w:val="24"/>
      <w:szCs w:val="24"/>
    </w:rPr>
  </w:style>
  <w:style w:type="paragraph" w:styleId="FootnoteText">
    <w:name w:val="footnote text"/>
    <w:aliases w:val="single space,fn,FOOTNOTES,Fußnotentext Char,ADB,Footnote text,ft,Footnote Text Char1,Footnote Text Char2 Char,Footnote Text Char1 Char Char,Footnote Text Char2 Char Char Char,Footnote Text Char1 Char,Footn,footnote text,Fußnote,Geneva 9,f"/>
    <w:basedOn w:val="Normal"/>
    <w:link w:val="FootnoteTextChar"/>
    <w:uiPriority w:val="99"/>
    <w:unhideWhenUsed/>
    <w:rsid w:val="00CD61BB"/>
    <w:pPr>
      <w:spacing w:after="200" w:line="276" w:lineRule="auto"/>
    </w:pPr>
    <w:rPr>
      <w:rFonts w:ascii="Calibri" w:eastAsia="Calibri" w:hAnsi="Calibri"/>
      <w:sz w:val="20"/>
      <w:szCs w:val="20"/>
      <w:lang w:val="sq-AL"/>
    </w:rPr>
  </w:style>
  <w:style w:type="character" w:customStyle="1" w:styleId="FootnoteTextChar">
    <w:name w:val="Footnote Text Char"/>
    <w:aliases w:val="single space Char,fn Char,FOOTNOTES Char,Fußnotentext Char Char,ADB Char,Footnote text Char,ft Char,Footnote Text Char1 Char1,Footnote Text Char2 Char Char,Footnote Text Char1 Char Char Char,Footnote Text Char2 Char Char Char Char"/>
    <w:basedOn w:val="DefaultParagraphFont"/>
    <w:link w:val="FootnoteText"/>
    <w:uiPriority w:val="99"/>
    <w:rsid w:val="00CD61BB"/>
    <w:rPr>
      <w:rFonts w:ascii="Calibri" w:eastAsia="Calibri" w:hAnsi="Calibri"/>
      <w:lang w:val="sq-AL"/>
    </w:rPr>
  </w:style>
  <w:style w:type="character" w:styleId="FootnoteReference">
    <w:name w:val="footnote reference"/>
    <w:aliases w:val="ftref,BVI fnr,16 Point,Superscript 6 Point,fr,Footnote symbol,Footnote Reference Arial,nota pié di pagina,Footnote reference number,Times 10 Point,Exposant 3 Point,EN Footnote Reference,note TESI,Footnote Reference Char Char Char"/>
    <w:uiPriority w:val="99"/>
    <w:unhideWhenUsed/>
    <w:rsid w:val="00CD61BB"/>
    <w:rPr>
      <w:vertAlign w:val="superscript"/>
    </w:rPr>
  </w:style>
  <w:style w:type="paragraph" w:styleId="Header">
    <w:name w:val="header"/>
    <w:basedOn w:val="Normal"/>
    <w:link w:val="HeaderChar"/>
    <w:uiPriority w:val="99"/>
    <w:rsid w:val="00AC402A"/>
    <w:pPr>
      <w:tabs>
        <w:tab w:val="center" w:pos="4680"/>
        <w:tab w:val="right" w:pos="9360"/>
      </w:tabs>
    </w:pPr>
  </w:style>
  <w:style w:type="character" w:customStyle="1" w:styleId="HeaderChar">
    <w:name w:val="Header Char"/>
    <w:basedOn w:val="DefaultParagraphFont"/>
    <w:link w:val="Header"/>
    <w:uiPriority w:val="99"/>
    <w:rsid w:val="00AC402A"/>
    <w:rPr>
      <w:rFonts w:eastAsia="Times New Roman"/>
      <w:sz w:val="24"/>
      <w:szCs w:val="24"/>
    </w:rPr>
  </w:style>
  <w:style w:type="paragraph" w:styleId="Footer">
    <w:name w:val="footer"/>
    <w:basedOn w:val="Normal"/>
    <w:link w:val="FooterChar"/>
    <w:uiPriority w:val="99"/>
    <w:rsid w:val="00AC402A"/>
    <w:pPr>
      <w:tabs>
        <w:tab w:val="center" w:pos="4680"/>
        <w:tab w:val="right" w:pos="9360"/>
      </w:tabs>
    </w:pPr>
  </w:style>
  <w:style w:type="character" w:customStyle="1" w:styleId="FooterChar">
    <w:name w:val="Footer Char"/>
    <w:basedOn w:val="DefaultParagraphFont"/>
    <w:link w:val="Footer"/>
    <w:uiPriority w:val="99"/>
    <w:rsid w:val="00AC402A"/>
    <w:rPr>
      <w:rFonts w:eastAsia="Times New Roman"/>
      <w:sz w:val="24"/>
      <w:szCs w:val="24"/>
    </w:rPr>
  </w:style>
  <w:style w:type="paragraph" w:styleId="EndnoteText">
    <w:name w:val="endnote text"/>
    <w:basedOn w:val="Normal"/>
    <w:link w:val="EndnoteTextChar"/>
    <w:rsid w:val="00AC402A"/>
    <w:rPr>
      <w:sz w:val="20"/>
      <w:szCs w:val="20"/>
    </w:rPr>
  </w:style>
  <w:style w:type="character" w:customStyle="1" w:styleId="EndnoteTextChar">
    <w:name w:val="Endnote Text Char"/>
    <w:basedOn w:val="DefaultParagraphFont"/>
    <w:link w:val="EndnoteText"/>
    <w:rsid w:val="00AC402A"/>
    <w:rPr>
      <w:rFonts w:eastAsia="Times New Roman"/>
    </w:rPr>
  </w:style>
  <w:style w:type="character" w:styleId="EndnoteReference">
    <w:name w:val="endnote reference"/>
    <w:basedOn w:val="DefaultParagraphFont"/>
    <w:rsid w:val="00AC402A"/>
    <w:rPr>
      <w:vertAlign w:val="superscript"/>
    </w:rPr>
  </w:style>
  <w:style w:type="paragraph" w:styleId="TOCHeading">
    <w:name w:val="TOC Heading"/>
    <w:basedOn w:val="Heading1"/>
    <w:next w:val="Normal"/>
    <w:uiPriority w:val="39"/>
    <w:unhideWhenUsed/>
    <w:qFormat/>
    <w:rsid w:val="00887C97"/>
    <w:pPr>
      <w:spacing w:line="276" w:lineRule="auto"/>
      <w:outlineLvl w:val="9"/>
    </w:pPr>
    <w:rPr>
      <w:rFonts w:asciiTheme="majorHAnsi" w:hAnsiTheme="majorHAnsi"/>
      <w:sz w:val="28"/>
    </w:rPr>
  </w:style>
  <w:style w:type="paragraph" w:styleId="TOC1">
    <w:name w:val="toc 1"/>
    <w:basedOn w:val="Normal"/>
    <w:next w:val="Normal"/>
    <w:autoRedefine/>
    <w:uiPriority w:val="39"/>
    <w:qFormat/>
    <w:rsid w:val="0016694D"/>
    <w:pPr>
      <w:tabs>
        <w:tab w:val="left" w:pos="480"/>
        <w:tab w:val="right" w:leader="dot" w:pos="9450"/>
      </w:tabs>
      <w:spacing w:before="240" w:line="360" w:lineRule="auto"/>
    </w:pPr>
    <w:rPr>
      <w:b/>
      <w:noProof/>
      <w:sz w:val="20"/>
      <w:szCs w:val="20"/>
    </w:rPr>
  </w:style>
  <w:style w:type="paragraph" w:styleId="TOC2">
    <w:name w:val="toc 2"/>
    <w:basedOn w:val="Normal"/>
    <w:next w:val="Normal"/>
    <w:autoRedefine/>
    <w:uiPriority w:val="39"/>
    <w:qFormat/>
    <w:rsid w:val="0016694D"/>
    <w:pPr>
      <w:tabs>
        <w:tab w:val="left" w:pos="880"/>
        <w:tab w:val="right" w:leader="dot" w:pos="9450"/>
      </w:tabs>
      <w:spacing w:after="100"/>
      <w:ind w:left="240" w:right="-360"/>
    </w:pPr>
  </w:style>
  <w:style w:type="paragraph" w:styleId="TOC3">
    <w:name w:val="toc 3"/>
    <w:basedOn w:val="Normal"/>
    <w:next w:val="Normal"/>
    <w:autoRedefine/>
    <w:uiPriority w:val="39"/>
    <w:qFormat/>
    <w:rsid w:val="00887C97"/>
    <w:pPr>
      <w:spacing w:after="100"/>
      <w:ind w:left="480"/>
    </w:pPr>
  </w:style>
  <w:style w:type="character" w:styleId="Hyperlink">
    <w:name w:val="Hyperlink"/>
    <w:basedOn w:val="DefaultParagraphFont"/>
    <w:uiPriority w:val="99"/>
    <w:unhideWhenUsed/>
    <w:rsid w:val="00887C97"/>
    <w:rPr>
      <w:color w:val="0000FF" w:themeColor="hyperlink"/>
      <w:u w:val="single"/>
    </w:rPr>
  </w:style>
  <w:style w:type="paragraph" w:styleId="TOC4">
    <w:name w:val="toc 4"/>
    <w:basedOn w:val="Normal"/>
    <w:next w:val="Normal"/>
    <w:autoRedefine/>
    <w:uiPriority w:val="39"/>
    <w:rsid w:val="00236654"/>
    <w:pPr>
      <w:spacing w:after="100"/>
      <w:ind w:left="720"/>
    </w:pPr>
  </w:style>
  <w:style w:type="paragraph" w:styleId="NormalWeb">
    <w:name w:val="Normal (Web)"/>
    <w:basedOn w:val="Normal"/>
    <w:uiPriority w:val="99"/>
    <w:rsid w:val="000F540A"/>
    <w:pPr>
      <w:spacing w:before="100" w:beforeAutospacing="1" w:after="100" w:afterAutospacing="1"/>
    </w:pPr>
  </w:style>
  <w:style w:type="paragraph" w:styleId="NoSpacing">
    <w:name w:val="No Spacing"/>
    <w:uiPriority w:val="1"/>
    <w:qFormat/>
    <w:rsid w:val="000F540A"/>
    <w:rPr>
      <w:rFonts w:asciiTheme="minorHAnsi" w:hAnsiTheme="minorHAnsi" w:cstheme="minorBidi"/>
      <w:sz w:val="22"/>
      <w:szCs w:val="22"/>
    </w:rPr>
  </w:style>
  <w:style w:type="character" w:customStyle="1" w:styleId="MessageHeaderLabel">
    <w:name w:val="Message Header Label"/>
    <w:uiPriority w:val="99"/>
    <w:rsid w:val="004C12C9"/>
    <w:rPr>
      <w:rFonts w:ascii="Arial Black" w:hAnsi="Arial Black" w:cs="Arial Black"/>
      <w:spacing w:val="-10"/>
      <w:sz w:val="18"/>
      <w:szCs w:val="18"/>
    </w:rPr>
  </w:style>
  <w:style w:type="character" w:customStyle="1" w:styleId="hps">
    <w:name w:val="hps"/>
    <w:basedOn w:val="DefaultParagraphFont"/>
    <w:uiPriority w:val="99"/>
    <w:rsid w:val="00CE3733"/>
  </w:style>
  <w:style w:type="table" w:customStyle="1" w:styleId="TableGridLight1">
    <w:name w:val="Table Grid Light1"/>
    <w:basedOn w:val="TableNormal"/>
    <w:uiPriority w:val="40"/>
    <w:rsid w:val="00CE3733"/>
    <w:rPr>
      <w:rFonts w:asciiTheme="minorHAnsi"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TableGrid">
    <w:name w:val="Table Grid"/>
    <w:basedOn w:val="TableNormal"/>
    <w:uiPriority w:val="59"/>
    <w:rsid w:val="00B03E7D"/>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5965FC"/>
    <w:rPr>
      <w:sz w:val="16"/>
      <w:szCs w:val="16"/>
    </w:rPr>
  </w:style>
  <w:style w:type="paragraph" w:styleId="CommentText">
    <w:name w:val="annotation text"/>
    <w:basedOn w:val="Normal"/>
    <w:link w:val="CommentTextChar"/>
    <w:uiPriority w:val="99"/>
    <w:semiHidden/>
    <w:unhideWhenUsed/>
    <w:rsid w:val="005965FC"/>
    <w:rPr>
      <w:sz w:val="20"/>
      <w:szCs w:val="20"/>
    </w:rPr>
  </w:style>
  <w:style w:type="character" w:customStyle="1" w:styleId="CommentTextChar">
    <w:name w:val="Comment Text Char"/>
    <w:basedOn w:val="DefaultParagraphFont"/>
    <w:link w:val="CommentText"/>
    <w:uiPriority w:val="99"/>
    <w:semiHidden/>
    <w:rsid w:val="005965FC"/>
    <w:rPr>
      <w:rFonts w:eastAsia="Times New Roman"/>
    </w:rPr>
  </w:style>
  <w:style w:type="character" w:styleId="Strong">
    <w:name w:val="Strong"/>
    <w:basedOn w:val="DefaultParagraphFont"/>
    <w:uiPriority w:val="22"/>
    <w:qFormat/>
    <w:rsid w:val="00F67B4E"/>
    <w:rPr>
      <w:b/>
      <w:bCs/>
    </w:rPr>
  </w:style>
  <w:style w:type="table" w:customStyle="1" w:styleId="GridTable1Light1">
    <w:name w:val="Grid Table 1 Light1"/>
    <w:basedOn w:val="TableNormal"/>
    <w:uiPriority w:val="46"/>
    <w:rsid w:val="00291EF6"/>
    <w:rPr>
      <w:rFonts w:asciiTheme="minorHAnsi" w:hAnsiTheme="minorHAnsi" w:cstheme="minorBidi"/>
      <w:sz w:val="22"/>
      <w:szCs w:val="22"/>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4719C1"/>
    <w:pPr>
      <w:spacing w:after="200"/>
    </w:pPr>
    <w:rPr>
      <w:b/>
      <w:bCs/>
      <w:color w:val="4F81BD" w:themeColor="accent1"/>
      <w:sz w:val="18"/>
      <w:szCs w:val="18"/>
    </w:rPr>
  </w:style>
  <w:style w:type="paragraph" w:styleId="TableofFigures">
    <w:name w:val="table of figures"/>
    <w:basedOn w:val="Normal"/>
    <w:next w:val="Normal"/>
    <w:uiPriority w:val="99"/>
    <w:unhideWhenUsed/>
    <w:rsid w:val="00070183"/>
  </w:style>
  <w:style w:type="table" w:customStyle="1" w:styleId="GridTable4-Accent11">
    <w:name w:val="Grid Table 4 - Accent 11"/>
    <w:basedOn w:val="TableNormal"/>
    <w:uiPriority w:val="49"/>
    <w:rsid w:val="00562780"/>
    <w:rPr>
      <w:rFonts w:asciiTheme="minorHAnsi" w:eastAsiaTheme="minorEastAsia" w:hAnsiTheme="minorHAnsi" w:cstheme="minorBidi"/>
      <w:sz w:val="24"/>
      <w:szCs w:val="24"/>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51">
    <w:name w:val="List Table 4 - Accent 51"/>
    <w:basedOn w:val="TableNormal"/>
    <w:uiPriority w:val="49"/>
    <w:rsid w:val="001720EB"/>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Heading51">
    <w:name w:val="Heading 51"/>
    <w:basedOn w:val="Normal"/>
    <w:next w:val="Normal"/>
    <w:uiPriority w:val="9"/>
    <w:semiHidden/>
    <w:unhideWhenUsed/>
    <w:qFormat/>
    <w:rsid w:val="00527686"/>
    <w:pPr>
      <w:keepNext/>
      <w:keepLines/>
      <w:spacing w:before="40"/>
      <w:ind w:left="3600" w:hanging="360"/>
      <w:outlineLvl w:val="4"/>
    </w:pPr>
    <w:rPr>
      <w:rFonts w:ascii="Calibri" w:eastAsia="MS Gothic" w:hAnsi="Calibri"/>
      <w:color w:val="365F91"/>
    </w:rPr>
  </w:style>
  <w:style w:type="paragraph" w:customStyle="1" w:styleId="Heading61">
    <w:name w:val="Heading 61"/>
    <w:basedOn w:val="Normal"/>
    <w:next w:val="Normal"/>
    <w:uiPriority w:val="9"/>
    <w:semiHidden/>
    <w:unhideWhenUsed/>
    <w:qFormat/>
    <w:rsid w:val="00527686"/>
    <w:pPr>
      <w:keepNext/>
      <w:keepLines/>
      <w:spacing w:before="40"/>
      <w:ind w:left="4320" w:hanging="360"/>
      <w:outlineLvl w:val="5"/>
    </w:pPr>
    <w:rPr>
      <w:rFonts w:ascii="Calibri" w:eastAsia="MS Gothic" w:hAnsi="Calibri"/>
      <w:color w:val="243F60"/>
    </w:rPr>
  </w:style>
  <w:style w:type="paragraph" w:customStyle="1" w:styleId="Heading71">
    <w:name w:val="Heading 71"/>
    <w:basedOn w:val="Normal"/>
    <w:next w:val="Normal"/>
    <w:uiPriority w:val="9"/>
    <w:semiHidden/>
    <w:unhideWhenUsed/>
    <w:qFormat/>
    <w:rsid w:val="00527686"/>
    <w:pPr>
      <w:keepNext/>
      <w:keepLines/>
      <w:spacing w:before="40"/>
      <w:ind w:left="5040" w:hanging="360"/>
      <w:outlineLvl w:val="6"/>
    </w:pPr>
    <w:rPr>
      <w:rFonts w:ascii="Calibri" w:eastAsia="MS Gothic" w:hAnsi="Calibri"/>
      <w:i/>
      <w:iCs/>
      <w:color w:val="243F60"/>
    </w:rPr>
  </w:style>
  <w:style w:type="paragraph" w:customStyle="1" w:styleId="Heading81">
    <w:name w:val="Heading 81"/>
    <w:basedOn w:val="Normal"/>
    <w:next w:val="Normal"/>
    <w:uiPriority w:val="9"/>
    <w:semiHidden/>
    <w:unhideWhenUsed/>
    <w:qFormat/>
    <w:rsid w:val="00527686"/>
    <w:pPr>
      <w:keepNext/>
      <w:keepLines/>
      <w:spacing w:before="40"/>
      <w:ind w:left="5760" w:hanging="360"/>
      <w:outlineLvl w:val="7"/>
    </w:pPr>
    <w:rPr>
      <w:rFonts w:ascii="Calibri" w:eastAsia="MS Gothic" w:hAnsi="Calibri"/>
      <w:color w:val="272727"/>
      <w:sz w:val="21"/>
      <w:szCs w:val="21"/>
    </w:rPr>
  </w:style>
  <w:style w:type="paragraph" w:customStyle="1" w:styleId="Heading91">
    <w:name w:val="Heading 91"/>
    <w:basedOn w:val="Normal"/>
    <w:next w:val="Normal"/>
    <w:uiPriority w:val="9"/>
    <w:semiHidden/>
    <w:unhideWhenUsed/>
    <w:qFormat/>
    <w:rsid w:val="00527686"/>
    <w:pPr>
      <w:keepNext/>
      <w:keepLines/>
      <w:spacing w:before="40"/>
      <w:ind w:left="6480" w:hanging="360"/>
      <w:outlineLvl w:val="8"/>
    </w:pPr>
    <w:rPr>
      <w:rFonts w:ascii="Calibri" w:eastAsia="MS Gothic" w:hAnsi="Calibri"/>
      <w:i/>
      <w:iCs/>
      <w:color w:val="272727"/>
      <w:sz w:val="21"/>
      <w:szCs w:val="21"/>
    </w:rPr>
  </w:style>
  <w:style w:type="numbering" w:customStyle="1" w:styleId="NoList1">
    <w:name w:val="No List1"/>
    <w:next w:val="NoList"/>
    <w:uiPriority w:val="99"/>
    <w:semiHidden/>
    <w:unhideWhenUsed/>
    <w:rsid w:val="00527686"/>
  </w:style>
  <w:style w:type="character" w:customStyle="1" w:styleId="tlid-translation">
    <w:name w:val="tlid-translation"/>
    <w:basedOn w:val="DefaultParagraphFont"/>
    <w:rsid w:val="00527686"/>
  </w:style>
  <w:style w:type="paragraph" w:customStyle="1" w:styleId="Normal1">
    <w:name w:val="Normal1"/>
    <w:basedOn w:val="Normal"/>
    <w:rsid w:val="00527686"/>
    <w:rPr>
      <w:rFonts w:eastAsia="Cambria"/>
    </w:rPr>
  </w:style>
  <w:style w:type="paragraph" w:customStyle="1" w:styleId="Quote1">
    <w:name w:val="Quote1"/>
    <w:basedOn w:val="Normal"/>
    <w:next w:val="Normal"/>
    <w:uiPriority w:val="29"/>
    <w:qFormat/>
    <w:rsid w:val="00527686"/>
    <w:rPr>
      <w:i/>
      <w:iCs/>
      <w:color w:val="000000"/>
    </w:rPr>
  </w:style>
  <w:style w:type="character" w:customStyle="1" w:styleId="QuoteChar">
    <w:name w:val="Quote Char"/>
    <w:basedOn w:val="DefaultParagraphFont"/>
    <w:link w:val="Quote"/>
    <w:uiPriority w:val="29"/>
    <w:rsid w:val="00527686"/>
    <w:rPr>
      <w:rFonts w:ascii="Times New Roman" w:eastAsia="Times New Roman" w:hAnsi="Times New Roman" w:cs="Times New Roman"/>
      <w:i/>
      <w:iCs/>
      <w:color w:val="000000"/>
    </w:rPr>
  </w:style>
  <w:style w:type="character" w:customStyle="1" w:styleId="Heading5Char">
    <w:name w:val="Heading 5 Char"/>
    <w:basedOn w:val="DefaultParagraphFont"/>
    <w:link w:val="Heading5"/>
    <w:uiPriority w:val="9"/>
    <w:semiHidden/>
    <w:rsid w:val="00527686"/>
    <w:rPr>
      <w:rFonts w:ascii="Calibri" w:eastAsia="MS Gothic" w:hAnsi="Calibri" w:cs="Times New Roman"/>
      <w:color w:val="365F91"/>
    </w:rPr>
  </w:style>
  <w:style w:type="character" w:customStyle="1" w:styleId="Heading6Char">
    <w:name w:val="Heading 6 Char"/>
    <w:basedOn w:val="DefaultParagraphFont"/>
    <w:link w:val="Heading6"/>
    <w:uiPriority w:val="9"/>
    <w:semiHidden/>
    <w:rsid w:val="00527686"/>
    <w:rPr>
      <w:rFonts w:ascii="Calibri" w:eastAsia="MS Gothic" w:hAnsi="Calibri" w:cs="Times New Roman"/>
      <w:color w:val="243F60"/>
    </w:rPr>
  </w:style>
  <w:style w:type="character" w:customStyle="1" w:styleId="Heading7Char">
    <w:name w:val="Heading 7 Char"/>
    <w:basedOn w:val="DefaultParagraphFont"/>
    <w:link w:val="Heading7"/>
    <w:uiPriority w:val="9"/>
    <w:semiHidden/>
    <w:rsid w:val="00527686"/>
    <w:rPr>
      <w:rFonts w:ascii="Calibri" w:eastAsia="MS Gothic" w:hAnsi="Calibri" w:cs="Times New Roman"/>
      <w:i/>
      <w:iCs/>
      <w:color w:val="243F60"/>
    </w:rPr>
  </w:style>
  <w:style w:type="character" w:customStyle="1" w:styleId="Heading8Char">
    <w:name w:val="Heading 8 Char"/>
    <w:basedOn w:val="DefaultParagraphFont"/>
    <w:link w:val="Heading8"/>
    <w:uiPriority w:val="9"/>
    <w:semiHidden/>
    <w:rsid w:val="00527686"/>
    <w:rPr>
      <w:rFonts w:ascii="Calibri" w:eastAsia="MS Gothic" w:hAnsi="Calibri" w:cs="Times New Roman"/>
      <w:color w:val="272727"/>
      <w:sz w:val="21"/>
      <w:szCs w:val="21"/>
    </w:rPr>
  </w:style>
  <w:style w:type="character" w:customStyle="1" w:styleId="Heading9Char">
    <w:name w:val="Heading 9 Char"/>
    <w:basedOn w:val="DefaultParagraphFont"/>
    <w:link w:val="Heading9"/>
    <w:uiPriority w:val="9"/>
    <w:semiHidden/>
    <w:rsid w:val="00527686"/>
    <w:rPr>
      <w:rFonts w:ascii="Calibri" w:eastAsia="MS Gothic" w:hAnsi="Calibri" w:cs="Times New Roman"/>
      <w:i/>
      <w:iCs/>
      <w:color w:val="272727"/>
      <w:sz w:val="21"/>
      <w:szCs w:val="21"/>
    </w:rPr>
  </w:style>
  <w:style w:type="table" w:customStyle="1" w:styleId="TableGrid1">
    <w:name w:val="Table Grid1"/>
    <w:basedOn w:val="TableNormal"/>
    <w:next w:val="TableGrid"/>
    <w:uiPriority w:val="59"/>
    <w:rsid w:val="00527686"/>
    <w:rPr>
      <w:rFonts w:ascii="Cambria" w:eastAsia="MS Mincho" w:hAnsi="Cambr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Subject">
    <w:name w:val="annotation subject"/>
    <w:basedOn w:val="CommentText"/>
    <w:next w:val="CommentText"/>
    <w:link w:val="CommentSubjectChar"/>
    <w:uiPriority w:val="99"/>
    <w:semiHidden/>
    <w:unhideWhenUsed/>
    <w:rsid w:val="00527686"/>
    <w:rPr>
      <w:rFonts w:ascii="Cambria" w:eastAsia="MS Mincho" w:hAnsi="Cambria"/>
      <w:b/>
      <w:bCs/>
    </w:rPr>
  </w:style>
  <w:style w:type="character" w:customStyle="1" w:styleId="CommentSubjectChar">
    <w:name w:val="Comment Subject Char"/>
    <w:basedOn w:val="CommentTextChar"/>
    <w:link w:val="CommentSubject"/>
    <w:uiPriority w:val="99"/>
    <w:semiHidden/>
    <w:rsid w:val="00527686"/>
    <w:rPr>
      <w:rFonts w:ascii="Cambria" w:eastAsia="MS Mincho" w:hAnsi="Cambria"/>
      <w:b/>
      <w:bCs/>
    </w:rPr>
  </w:style>
  <w:style w:type="table" w:customStyle="1" w:styleId="GridTable4-Accent111">
    <w:name w:val="Grid Table 4 - Accent 111"/>
    <w:basedOn w:val="TableNormal"/>
    <w:uiPriority w:val="49"/>
    <w:rsid w:val="00527686"/>
    <w:rPr>
      <w:rFonts w:ascii="Cambria" w:eastAsia="MS Mincho" w:hAnsi="Cambria"/>
      <w:sz w:val="24"/>
      <w:szCs w:val="24"/>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3-Accent51">
    <w:name w:val="List Table 3 - Accent 51"/>
    <w:basedOn w:val="TableNormal"/>
    <w:next w:val="ListTable3-Accent52"/>
    <w:uiPriority w:val="48"/>
    <w:rsid w:val="00527686"/>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
    <w:name w:val="List Table 3 - Accent 52"/>
    <w:basedOn w:val="TableNormal"/>
    <w:uiPriority w:val="48"/>
    <w:rsid w:val="00527686"/>
    <w:rPr>
      <w:rFonts w:ascii="Cambria" w:eastAsia="MS Mincho" w:hAnsi="Cambria"/>
      <w:sz w:val="24"/>
      <w:szCs w:val="24"/>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
    <w:name w:val="Table Grid Light11"/>
    <w:basedOn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Title1">
    <w:name w:val="Title1"/>
    <w:basedOn w:val="Normal"/>
    <w:next w:val="Normal"/>
    <w:uiPriority w:val="10"/>
    <w:qFormat/>
    <w:rsid w:val="00527686"/>
    <w:pPr>
      <w:pBdr>
        <w:top w:val="nil"/>
        <w:left w:val="nil"/>
        <w:bottom w:val="single" w:sz="8" w:space="4" w:color="4F81BD"/>
        <w:right w:val="nil"/>
        <w:between w:val="nil"/>
        <w:bar w:val="nil"/>
      </w:pBdr>
      <w:spacing w:after="300"/>
      <w:contextualSpacing/>
    </w:pPr>
    <w:rPr>
      <w:rFonts w:ascii="Calibri" w:eastAsia="MS Gothic" w:hAnsi="Calibri"/>
      <w:color w:val="17365D"/>
      <w:spacing w:val="5"/>
      <w:kern w:val="28"/>
      <w:sz w:val="52"/>
      <w:szCs w:val="52"/>
      <w:bdr w:val="nil"/>
      <w:lang w:val="hr-HR"/>
    </w:rPr>
  </w:style>
  <w:style w:type="character" w:customStyle="1" w:styleId="TitleChar">
    <w:name w:val="Title Char"/>
    <w:basedOn w:val="DefaultParagraphFont"/>
    <w:link w:val="Title"/>
    <w:uiPriority w:val="10"/>
    <w:rsid w:val="00527686"/>
    <w:rPr>
      <w:rFonts w:ascii="Calibri" w:eastAsia="MS Gothic" w:hAnsi="Calibri" w:cs="Times New Roman"/>
      <w:color w:val="17365D"/>
      <w:spacing w:val="5"/>
      <w:kern w:val="28"/>
      <w:sz w:val="52"/>
      <w:szCs w:val="52"/>
      <w:bdr w:val="nil"/>
      <w:lang w:val="hr-HR"/>
    </w:rPr>
  </w:style>
  <w:style w:type="table" w:customStyle="1" w:styleId="PlainTable11">
    <w:name w:val="Plain Table 11"/>
    <w:basedOn w:val="TableNormal"/>
    <w:uiPriority w:val="41"/>
    <w:rsid w:val="00527686"/>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Revision">
    <w:name w:val="Revision"/>
    <w:hidden/>
    <w:uiPriority w:val="99"/>
    <w:semiHidden/>
    <w:rsid w:val="00527686"/>
    <w:rPr>
      <w:rFonts w:eastAsia="Times New Roman"/>
      <w:sz w:val="24"/>
      <w:szCs w:val="24"/>
    </w:rPr>
  </w:style>
  <w:style w:type="table" w:customStyle="1" w:styleId="ListTable3-Accent11">
    <w:name w:val="List Table 3 - Accent 11"/>
    <w:basedOn w:val="TableNormal"/>
    <w:uiPriority w:val="48"/>
    <w:rsid w:val="00527686"/>
    <w:rPr>
      <w:rFonts w:ascii="Cambria" w:eastAsia="MS Mincho" w:hAnsi="Cambria"/>
      <w:sz w:val="24"/>
      <w:szCs w:val="24"/>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GridTable5Dark-Accent11">
    <w:name w:val="Grid Table 5 Dark - Accent 11"/>
    <w:basedOn w:val="TableNormal"/>
    <w:uiPriority w:val="50"/>
    <w:rsid w:val="00527686"/>
    <w:rPr>
      <w:rFonts w:ascii="Cambria" w:eastAsia="MS Mincho" w:hAnsi="Cambria"/>
      <w:sz w:val="24"/>
      <w:szCs w:val="24"/>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1Light-Accent11">
    <w:name w:val="Grid Table 1 Light - Accent 11"/>
    <w:basedOn w:val="TableNormal"/>
    <w:uiPriority w:val="46"/>
    <w:rsid w:val="00527686"/>
    <w:rPr>
      <w:rFonts w:ascii="Cambria" w:eastAsia="MS Mincho" w:hAnsi="Cambria"/>
      <w:sz w:val="24"/>
      <w:szCs w:val="24"/>
    </w:rPr>
    <w:tblPr>
      <w:tblStyleRowBandSize w:val="1"/>
      <w:tblStyleColBandSize w:val="1"/>
      <w:tblInd w:w="0"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0" w:type="dxa"/>
        <w:left w:w="108" w:type="dxa"/>
        <w:bottom w:w="0" w:type="dxa"/>
        <w:right w:w="108" w:type="dxa"/>
      </w:tblCellMar>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527686"/>
    <w:rPr>
      <w:rFonts w:ascii="Cambria" w:eastAsia="MS Mincho" w:hAnsi="Cambria"/>
      <w:sz w:val="24"/>
      <w:szCs w:val="24"/>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Heading4Char1">
    <w:name w:val="Heading 4 Char1"/>
    <w:basedOn w:val="DefaultParagraphFont"/>
    <w:uiPriority w:val="9"/>
    <w:semiHidden/>
    <w:rsid w:val="00527686"/>
    <w:rPr>
      <w:rFonts w:ascii="Calibri" w:eastAsia="MS Gothic" w:hAnsi="Calibri" w:cs="Times New Roman"/>
      <w:i/>
      <w:iCs/>
      <w:color w:val="365F91"/>
    </w:rPr>
  </w:style>
  <w:style w:type="table" w:customStyle="1" w:styleId="TableGridLight111">
    <w:name w:val="Table Grid Light111"/>
    <w:basedOn w:val="TableNormal"/>
    <w:next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Light12">
    <w:name w:val="Table Grid Light12"/>
    <w:basedOn w:val="TableNormal"/>
    <w:next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Light13">
    <w:name w:val="Table Grid Light13"/>
    <w:basedOn w:val="TableNormal"/>
    <w:next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Light14">
    <w:name w:val="Table Grid Light14"/>
    <w:basedOn w:val="TableNormal"/>
    <w:next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Light15">
    <w:name w:val="Table Grid Light15"/>
    <w:basedOn w:val="TableNormal"/>
    <w:next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Quote">
    <w:name w:val="Quote"/>
    <w:basedOn w:val="Normal"/>
    <w:next w:val="Normal"/>
    <w:link w:val="QuoteChar"/>
    <w:uiPriority w:val="29"/>
    <w:qFormat/>
    <w:rsid w:val="00527686"/>
    <w:pPr>
      <w:spacing w:before="200" w:after="160"/>
      <w:ind w:left="864" w:right="864"/>
      <w:jc w:val="center"/>
    </w:pPr>
    <w:rPr>
      <w:i/>
      <w:iCs/>
      <w:color w:val="000000"/>
      <w:sz w:val="20"/>
      <w:szCs w:val="20"/>
    </w:rPr>
  </w:style>
  <w:style w:type="character" w:customStyle="1" w:styleId="QuoteChar1">
    <w:name w:val="Quote Char1"/>
    <w:basedOn w:val="DefaultParagraphFont"/>
    <w:uiPriority w:val="29"/>
    <w:rsid w:val="00527686"/>
    <w:rPr>
      <w:rFonts w:eastAsia="Times New Roman"/>
      <w:i/>
      <w:iCs/>
      <w:color w:val="404040" w:themeColor="text1" w:themeTint="BF"/>
      <w:sz w:val="24"/>
      <w:szCs w:val="24"/>
    </w:rPr>
  </w:style>
  <w:style w:type="character" w:customStyle="1" w:styleId="Heading5Char1">
    <w:name w:val="Heading 5 Char1"/>
    <w:basedOn w:val="DefaultParagraphFont"/>
    <w:semiHidden/>
    <w:rsid w:val="00527686"/>
    <w:rPr>
      <w:rFonts w:asciiTheme="majorHAnsi" w:eastAsiaTheme="majorEastAsia" w:hAnsiTheme="majorHAnsi" w:cstheme="majorBidi"/>
      <w:color w:val="365F91" w:themeColor="accent1" w:themeShade="BF"/>
      <w:sz w:val="24"/>
      <w:szCs w:val="24"/>
    </w:rPr>
  </w:style>
  <w:style w:type="character" w:customStyle="1" w:styleId="Heading6Char1">
    <w:name w:val="Heading 6 Char1"/>
    <w:basedOn w:val="DefaultParagraphFont"/>
    <w:semiHidden/>
    <w:rsid w:val="00527686"/>
    <w:rPr>
      <w:rFonts w:asciiTheme="majorHAnsi" w:eastAsiaTheme="majorEastAsia" w:hAnsiTheme="majorHAnsi" w:cstheme="majorBidi"/>
      <w:color w:val="243F60" w:themeColor="accent1" w:themeShade="7F"/>
      <w:sz w:val="24"/>
      <w:szCs w:val="24"/>
    </w:rPr>
  </w:style>
  <w:style w:type="character" w:customStyle="1" w:styleId="Heading7Char1">
    <w:name w:val="Heading 7 Char1"/>
    <w:basedOn w:val="DefaultParagraphFont"/>
    <w:semiHidden/>
    <w:rsid w:val="00527686"/>
    <w:rPr>
      <w:rFonts w:asciiTheme="majorHAnsi" w:eastAsiaTheme="majorEastAsia" w:hAnsiTheme="majorHAnsi" w:cstheme="majorBidi"/>
      <w:i/>
      <w:iCs/>
      <w:color w:val="243F60" w:themeColor="accent1" w:themeShade="7F"/>
      <w:sz w:val="24"/>
      <w:szCs w:val="24"/>
    </w:rPr>
  </w:style>
  <w:style w:type="character" w:customStyle="1" w:styleId="Heading8Char1">
    <w:name w:val="Heading 8 Char1"/>
    <w:basedOn w:val="DefaultParagraphFont"/>
    <w:semiHidden/>
    <w:rsid w:val="00527686"/>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semiHidden/>
    <w:rsid w:val="00527686"/>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27686"/>
    <w:pPr>
      <w:contextualSpacing/>
    </w:pPr>
    <w:rPr>
      <w:rFonts w:ascii="Calibri" w:eastAsia="MS Gothic" w:hAnsi="Calibri"/>
      <w:color w:val="17365D"/>
      <w:spacing w:val="5"/>
      <w:kern w:val="28"/>
      <w:sz w:val="52"/>
      <w:szCs w:val="52"/>
      <w:bdr w:val="nil"/>
      <w:lang w:val="hr-HR"/>
    </w:rPr>
  </w:style>
  <w:style w:type="character" w:customStyle="1" w:styleId="TitleChar1">
    <w:name w:val="Title Char1"/>
    <w:basedOn w:val="DefaultParagraphFont"/>
    <w:rsid w:val="00527686"/>
    <w:rPr>
      <w:rFonts w:asciiTheme="majorHAnsi" w:eastAsiaTheme="majorEastAsia" w:hAnsiTheme="majorHAnsi" w:cstheme="majorBidi"/>
      <w:spacing w:val="-10"/>
      <w:kern w:val="28"/>
      <w:sz w:val="56"/>
      <w:szCs w:val="56"/>
    </w:rPr>
  </w:style>
  <w:style w:type="table" w:customStyle="1" w:styleId="GridTable1Light-Accent51">
    <w:name w:val="Grid Table 1 Light - Accent 51"/>
    <w:basedOn w:val="TableNormal"/>
    <w:uiPriority w:val="46"/>
    <w:rsid w:val="00527686"/>
    <w:tblPr>
      <w:tblStyleRowBandSize w:val="1"/>
      <w:tblStyleColBandSize w:val="1"/>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DB4505"/>
    <w:rPr>
      <w:rFonts w:eastAsia="MS Mincho"/>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7Colorful-Accent11">
    <w:name w:val="Grid Table 7 Colorful - Accent 11"/>
    <w:basedOn w:val="TableNormal"/>
    <w:uiPriority w:val="52"/>
    <w:rsid w:val="006D7EC7"/>
    <w:rPr>
      <w:rFonts w:eastAsia="MS Mincho"/>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GridTable4-Accent52">
    <w:name w:val="Grid Table 4 - Accent 52"/>
    <w:basedOn w:val="TableNormal"/>
    <w:uiPriority w:val="49"/>
    <w:rsid w:val="006D7EC7"/>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2">
    <w:name w:val="Grid Table 1 Light2"/>
    <w:basedOn w:val="TableNormal"/>
    <w:uiPriority w:val="46"/>
    <w:rsid w:val="00B13AAA"/>
    <w:rPr>
      <w:rFonts w:asciiTheme="minorHAnsi" w:eastAsia="MS Mincho" w:hAnsiTheme="minorHAnsi" w:cstheme="minorBidi"/>
      <w:sz w:val="22"/>
      <w:szCs w:val="22"/>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6">
    <w:name w:val="Table Grid Light16"/>
    <w:basedOn w:val="TableNormal"/>
    <w:uiPriority w:val="40"/>
    <w:rsid w:val="006308E8"/>
    <w:rPr>
      <w:rFonts w:asciiTheme="minorHAnsi" w:hAnsiTheme="minorHAnsi" w:cstheme="minorBidi"/>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ListTable3-Accent521">
    <w:name w:val="List Table 3 - Accent 521"/>
    <w:basedOn w:val="TableNormal"/>
    <w:uiPriority w:val="48"/>
    <w:rsid w:val="006308E8"/>
    <w:rPr>
      <w:rFonts w:ascii="Cambria" w:eastAsia="MS Mincho" w:hAnsi="Cambria"/>
      <w:sz w:val="24"/>
      <w:szCs w:val="24"/>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2">
    <w:name w:val="List Table 3 - Accent 522"/>
    <w:basedOn w:val="TableNormal"/>
    <w:uiPriority w:val="48"/>
    <w:rsid w:val="006308E8"/>
    <w:rPr>
      <w:rFonts w:ascii="Cambria" w:eastAsia="MS Mincho" w:hAnsi="Cambria"/>
      <w:sz w:val="24"/>
      <w:szCs w:val="24"/>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3">
    <w:name w:val="List Table 3 - Accent 523"/>
    <w:basedOn w:val="TableNormal"/>
    <w:uiPriority w:val="48"/>
    <w:rsid w:val="006308E8"/>
    <w:rPr>
      <w:rFonts w:ascii="Cambria" w:eastAsia="MS Mincho" w:hAnsi="Cambria"/>
      <w:sz w:val="24"/>
      <w:szCs w:val="24"/>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4">
    <w:name w:val="List Table 3 - Accent 524"/>
    <w:basedOn w:val="TableNormal"/>
    <w:uiPriority w:val="48"/>
    <w:rsid w:val="00990CDF"/>
    <w:rPr>
      <w:rFonts w:ascii="Cambria" w:eastAsia="MS Mincho" w:hAnsi="Cambria"/>
      <w:sz w:val="24"/>
      <w:szCs w:val="24"/>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5">
    <w:name w:val="List Table 3 - Accent 525"/>
    <w:basedOn w:val="TableNormal"/>
    <w:uiPriority w:val="48"/>
    <w:rsid w:val="00990CDF"/>
    <w:rPr>
      <w:rFonts w:ascii="Cambria" w:eastAsia="MS Mincho" w:hAnsi="Cambria"/>
      <w:sz w:val="24"/>
      <w:szCs w:val="24"/>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6">
    <w:name w:val="List Table 3 - Accent 526"/>
    <w:basedOn w:val="TableNormal"/>
    <w:uiPriority w:val="48"/>
    <w:rsid w:val="00990CDF"/>
    <w:rPr>
      <w:rFonts w:ascii="Cambria" w:eastAsia="MS Mincho" w:hAnsi="Cambria"/>
      <w:sz w:val="24"/>
      <w:szCs w:val="24"/>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2">
    <w:name w:val="Table Grid Light112"/>
    <w:basedOn w:val="TableNormal"/>
    <w:uiPriority w:val="40"/>
    <w:rsid w:val="00990CDF"/>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53300">
      <w:bodyDiv w:val="1"/>
      <w:marLeft w:val="0"/>
      <w:marRight w:val="0"/>
      <w:marTop w:val="0"/>
      <w:marBottom w:val="0"/>
      <w:divBdr>
        <w:top w:val="none" w:sz="0" w:space="0" w:color="auto"/>
        <w:left w:val="none" w:sz="0" w:space="0" w:color="auto"/>
        <w:bottom w:val="none" w:sz="0" w:space="0" w:color="auto"/>
        <w:right w:val="none" w:sz="0" w:space="0" w:color="auto"/>
      </w:divBdr>
    </w:div>
    <w:div w:id="92478611">
      <w:bodyDiv w:val="1"/>
      <w:marLeft w:val="0"/>
      <w:marRight w:val="0"/>
      <w:marTop w:val="0"/>
      <w:marBottom w:val="0"/>
      <w:divBdr>
        <w:top w:val="none" w:sz="0" w:space="0" w:color="auto"/>
        <w:left w:val="none" w:sz="0" w:space="0" w:color="auto"/>
        <w:bottom w:val="none" w:sz="0" w:space="0" w:color="auto"/>
        <w:right w:val="none" w:sz="0" w:space="0" w:color="auto"/>
      </w:divBdr>
    </w:div>
    <w:div w:id="179397677">
      <w:bodyDiv w:val="1"/>
      <w:marLeft w:val="0"/>
      <w:marRight w:val="0"/>
      <w:marTop w:val="0"/>
      <w:marBottom w:val="0"/>
      <w:divBdr>
        <w:top w:val="none" w:sz="0" w:space="0" w:color="auto"/>
        <w:left w:val="none" w:sz="0" w:space="0" w:color="auto"/>
        <w:bottom w:val="none" w:sz="0" w:space="0" w:color="auto"/>
        <w:right w:val="none" w:sz="0" w:space="0" w:color="auto"/>
      </w:divBdr>
    </w:div>
    <w:div w:id="242960594">
      <w:bodyDiv w:val="1"/>
      <w:marLeft w:val="0"/>
      <w:marRight w:val="0"/>
      <w:marTop w:val="0"/>
      <w:marBottom w:val="0"/>
      <w:divBdr>
        <w:top w:val="none" w:sz="0" w:space="0" w:color="auto"/>
        <w:left w:val="none" w:sz="0" w:space="0" w:color="auto"/>
        <w:bottom w:val="none" w:sz="0" w:space="0" w:color="auto"/>
        <w:right w:val="none" w:sz="0" w:space="0" w:color="auto"/>
      </w:divBdr>
    </w:div>
    <w:div w:id="281302082">
      <w:bodyDiv w:val="1"/>
      <w:marLeft w:val="0"/>
      <w:marRight w:val="0"/>
      <w:marTop w:val="0"/>
      <w:marBottom w:val="0"/>
      <w:divBdr>
        <w:top w:val="none" w:sz="0" w:space="0" w:color="auto"/>
        <w:left w:val="none" w:sz="0" w:space="0" w:color="auto"/>
        <w:bottom w:val="none" w:sz="0" w:space="0" w:color="auto"/>
        <w:right w:val="none" w:sz="0" w:space="0" w:color="auto"/>
      </w:divBdr>
    </w:div>
    <w:div w:id="350648787">
      <w:bodyDiv w:val="1"/>
      <w:marLeft w:val="0"/>
      <w:marRight w:val="0"/>
      <w:marTop w:val="0"/>
      <w:marBottom w:val="0"/>
      <w:divBdr>
        <w:top w:val="none" w:sz="0" w:space="0" w:color="auto"/>
        <w:left w:val="none" w:sz="0" w:space="0" w:color="auto"/>
        <w:bottom w:val="none" w:sz="0" w:space="0" w:color="auto"/>
        <w:right w:val="none" w:sz="0" w:space="0" w:color="auto"/>
      </w:divBdr>
    </w:div>
    <w:div w:id="472870282">
      <w:bodyDiv w:val="1"/>
      <w:marLeft w:val="0"/>
      <w:marRight w:val="0"/>
      <w:marTop w:val="0"/>
      <w:marBottom w:val="0"/>
      <w:divBdr>
        <w:top w:val="none" w:sz="0" w:space="0" w:color="auto"/>
        <w:left w:val="none" w:sz="0" w:space="0" w:color="auto"/>
        <w:bottom w:val="none" w:sz="0" w:space="0" w:color="auto"/>
        <w:right w:val="none" w:sz="0" w:space="0" w:color="auto"/>
      </w:divBdr>
    </w:div>
    <w:div w:id="485627726">
      <w:bodyDiv w:val="1"/>
      <w:marLeft w:val="0"/>
      <w:marRight w:val="0"/>
      <w:marTop w:val="0"/>
      <w:marBottom w:val="0"/>
      <w:divBdr>
        <w:top w:val="none" w:sz="0" w:space="0" w:color="auto"/>
        <w:left w:val="none" w:sz="0" w:space="0" w:color="auto"/>
        <w:bottom w:val="none" w:sz="0" w:space="0" w:color="auto"/>
        <w:right w:val="none" w:sz="0" w:space="0" w:color="auto"/>
      </w:divBdr>
    </w:div>
    <w:div w:id="504365511">
      <w:bodyDiv w:val="1"/>
      <w:marLeft w:val="0"/>
      <w:marRight w:val="0"/>
      <w:marTop w:val="0"/>
      <w:marBottom w:val="0"/>
      <w:divBdr>
        <w:top w:val="none" w:sz="0" w:space="0" w:color="auto"/>
        <w:left w:val="none" w:sz="0" w:space="0" w:color="auto"/>
        <w:bottom w:val="none" w:sz="0" w:space="0" w:color="auto"/>
        <w:right w:val="none" w:sz="0" w:space="0" w:color="auto"/>
      </w:divBdr>
    </w:div>
    <w:div w:id="605620984">
      <w:bodyDiv w:val="1"/>
      <w:marLeft w:val="0"/>
      <w:marRight w:val="0"/>
      <w:marTop w:val="0"/>
      <w:marBottom w:val="0"/>
      <w:divBdr>
        <w:top w:val="none" w:sz="0" w:space="0" w:color="auto"/>
        <w:left w:val="none" w:sz="0" w:space="0" w:color="auto"/>
        <w:bottom w:val="none" w:sz="0" w:space="0" w:color="auto"/>
        <w:right w:val="none" w:sz="0" w:space="0" w:color="auto"/>
      </w:divBdr>
    </w:div>
    <w:div w:id="680546287">
      <w:bodyDiv w:val="1"/>
      <w:marLeft w:val="0"/>
      <w:marRight w:val="0"/>
      <w:marTop w:val="0"/>
      <w:marBottom w:val="0"/>
      <w:divBdr>
        <w:top w:val="none" w:sz="0" w:space="0" w:color="auto"/>
        <w:left w:val="none" w:sz="0" w:space="0" w:color="auto"/>
        <w:bottom w:val="none" w:sz="0" w:space="0" w:color="auto"/>
        <w:right w:val="none" w:sz="0" w:space="0" w:color="auto"/>
      </w:divBdr>
    </w:div>
    <w:div w:id="711541834">
      <w:bodyDiv w:val="1"/>
      <w:marLeft w:val="0"/>
      <w:marRight w:val="0"/>
      <w:marTop w:val="0"/>
      <w:marBottom w:val="0"/>
      <w:divBdr>
        <w:top w:val="none" w:sz="0" w:space="0" w:color="auto"/>
        <w:left w:val="none" w:sz="0" w:space="0" w:color="auto"/>
        <w:bottom w:val="none" w:sz="0" w:space="0" w:color="auto"/>
        <w:right w:val="none" w:sz="0" w:space="0" w:color="auto"/>
      </w:divBdr>
    </w:div>
    <w:div w:id="766313720">
      <w:bodyDiv w:val="1"/>
      <w:marLeft w:val="0"/>
      <w:marRight w:val="0"/>
      <w:marTop w:val="0"/>
      <w:marBottom w:val="0"/>
      <w:divBdr>
        <w:top w:val="none" w:sz="0" w:space="0" w:color="auto"/>
        <w:left w:val="none" w:sz="0" w:space="0" w:color="auto"/>
        <w:bottom w:val="none" w:sz="0" w:space="0" w:color="auto"/>
        <w:right w:val="none" w:sz="0" w:space="0" w:color="auto"/>
      </w:divBdr>
    </w:div>
    <w:div w:id="789740096">
      <w:bodyDiv w:val="1"/>
      <w:marLeft w:val="0"/>
      <w:marRight w:val="0"/>
      <w:marTop w:val="0"/>
      <w:marBottom w:val="0"/>
      <w:divBdr>
        <w:top w:val="none" w:sz="0" w:space="0" w:color="auto"/>
        <w:left w:val="none" w:sz="0" w:space="0" w:color="auto"/>
        <w:bottom w:val="none" w:sz="0" w:space="0" w:color="auto"/>
        <w:right w:val="none" w:sz="0" w:space="0" w:color="auto"/>
      </w:divBdr>
    </w:div>
    <w:div w:id="855584910">
      <w:bodyDiv w:val="1"/>
      <w:marLeft w:val="0"/>
      <w:marRight w:val="0"/>
      <w:marTop w:val="0"/>
      <w:marBottom w:val="0"/>
      <w:divBdr>
        <w:top w:val="none" w:sz="0" w:space="0" w:color="auto"/>
        <w:left w:val="none" w:sz="0" w:space="0" w:color="auto"/>
        <w:bottom w:val="none" w:sz="0" w:space="0" w:color="auto"/>
        <w:right w:val="none" w:sz="0" w:space="0" w:color="auto"/>
      </w:divBdr>
    </w:div>
    <w:div w:id="1033649556">
      <w:bodyDiv w:val="1"/>
      <w:marLeft w:val="0"/>
      <w:marRight w:val="0"/>
      <w:marTop w:val="0"/>
      <w:marBottom w:val="0"/>
      <w:divBdr>
        <w:top w:val="none" w:sz="0" w:space="0" w:color="auto"/>
        <w:left w:val="none" w:sz="0" w:space="0" w:color="auto"/>
        <w:bottom w:val="none" w:sz="0" w:space="0" w:color="auto"/>
        <w:right w:val="none" w:sz="0" w:space="0" w:color="auto"/>
      </w:divBdr>
    </w:div>
    <w:div w:id="1074666893">
      <w:bodyDiv w:val="1"/>
      <w:marLeft w:val="0"/>
      <w:marRight w:val="0"/>
      <w:marTop w:val="0"/>
      <w:marBottom w:val="0"/>
      <w:divBdr>
        <w:top w:val="none" w:sz="0" w:space="0" w:color="auto"/>
        <w:left w:val="none" w:sz="0" w:space="0" w:color="auto"/>
        <w:bottom w:val="none" w:sz="0" w:space="0" w:color="auto"/>
        <w:right w:val="none" w:sz="0" w:space="0" w:color="auto"/>
      </w:divBdr>
    </w:div>
    <w:div w:id="1142236599">
      <w:bodyDiv w:val="1"/>
      <w:marLeft w:val="0"/>
      <w:marRight w:val="0"/>
      <w:marTop w:val="0"/>
      <w:marBottom w:val="0"/>
      <w:divBdr>
        <w:top w:val="none" w:sz="0" w:space="0" w:color="auto"/>
        <w:left w:val="none" w:sz="0" w:space="0" w:color="auto"/>
        <w:bottom w:val="none" w:sz="0" w:space="0" w:color="auto"/>
        <w:right w:val="none" w:sz="0" w:space="0" w:color="auto"/>
      </w:divBdr>
    </w:div>
    <w:div w:id="1225524160">
      <w:bodyDiv w:val="1"/>
      <w:marLeft w:val="0"/>
      <w:marRight w:val="0"/>
      <w:marTop w:val="0"/>
      <w:marBottom w:val="0"/>
      <w:divBdr>
        <w:top w:val="none" w:sz="0" w:space="0" w:color="auto"/>
        <w:left w:val="none" w:sz="0" w:space="0" w:color="auto"/>
        <w:bottom w:val="none" w:sz="0" w:space="0" w:color="auto"/>
        <w:right w:val="none" w:sz="0" w:space="0" w:color="auto"/>
      </w:divBdr>
    </w:div>
    <w:div w:id="1277564277">
      <w:bodyDiv w:val="1"/>
      <w:marLeft w:val="0"/>
      <w:marRight w:val="0"/>
      <w:marTop w:val="0"/>
      <w:marBottom w:val="0"/>
      <w:divBdr>
        <w:top w:val="none" w:sz="0" w:space="0" w:color="auto"/>
        <w:left w:val="none" w:sz="0" w:space="0" w:color="auto"/>
        <w:bottom w:val="none" w:sz="0" w:space="0" w:color="auto"/>
        <w:right w:val="none" w:sz="0" w:space="0" w:color="auto"/>
      </w:divBdr>
    </w:div>
    <w:div w:id="1367873379">
      <w:bodyDiv w:val="1"/>
      <w:marLeft w:val="0"/>
      <w:marRight w:val="0"/>
      <w:marTop w:val="0"/>
      <w:marBottom w:val="0"/>
      <w:divBdr>
        <w:top w:val="none" w:sz="0" w:space="0" w:color="auto"/>
        <w:left w:val="none" w:sz="0" w:space="0" w:color="auto"/>
        <w:bottom w:val="none" w:sz="0" w:space="0" w:color="auto"/>
        <w:right w:val="none" w:sz="0" w:space="0" w:color="auto"/>
      </w:divBdr>
    </w:div>
    <w:div w:id="1429614223">
      <w:bodyDiv w:val="1"/>
      <w:marLeft w:val="0"/>
      <w:marRight w:val="0"/>
      <w:marTop w:val="0"/>
      <w:marBottom w:val="0"/>
      <w:divBdr>
        <w:top w:val="none" w:sz="0" w:space="0" w:color="auto"/>
        <w:left w:val="none" w:sz="0" w:space="0" w:color="auto"/>
        <w:bottom w:val="none" w:sz="0" w:space="0" w:color="auto"/>
        <w:right w:val="none" w:sz="0" w:space="0" w:color="auto"/>
      </w:divBdr>
    </w:div>
    <w:div w:id="1456631641">
      <w:bodyDiv w:val="1"/>
      <w:marLeft w:val="0"/>
      <w:marRight w:val="0"/>
      <w:marTop w:val="0"/>
      <w:marBottom w:val="0"/>
      <w:divBdr>
        <w:top w:val="none" w:sz="0" w:space="0" w:color="auto"/>
        <w:left w:val="none" w:sz="0" w:space="0" w:color="auto"/>
        <w:bottom w:val="none" w:sz="0" w:space="0" w:color="auto"/>
        <w:right w:val="none" w:sz="0" w:space="0" w:color="auto"/>
      </w:divBdr>
    </w:div>
    <w:div w:id="1738631158">
      <w:bodyDiv w:val="1"/>
      <w:marLeft w:val="0"/>
      <w:marRight w:val="0"/>
      <w:marTop w:val="0"/>
      <w:marBottom w:val="0"/>
      <w:divBdr>
        <w:top w:val="none" w:sz="0" w:space="0" w:color="auto"/>
        <w:left w:val="none" w:sz="0" w:space="0" w:color="auto"/>
        <w:bottom w:val="none" w:sz="0" w:space="0" w:color="auto"/>
        <w:right w:val="none" w:sz="0" w:space="0" w:color="auto"/>
      </w:divBdr>
    </w:div>
    <w:div w:id="1743023422">
      <w:bodyDiv w:val="1"/>
      <w:marLeft w:val="0"/>
      <w:marRight w:val="0"/>
      <w:marTop w:val="0"/>
      <w:marBottom w:val="0"/>
      <w:divBdr>
        <w:top w:val="none" w:sz="0" w:space="0" w:color="auto"/>
        <w:left w:val="none" w:sz="0" w:space="0" w:color="auto"/>
        <w:bottom w:val="none" w:sz="0" w:space="0" w:color="auto"/>
        <w:right w:val="none" w:sz="0" w:space="0" w:color="auto"/>
      </w:divBdr>
    </w:div>
    <w:div w:id="1798183540">
      <w:bodyDiv w:val="1"/>
      <w:marLeft w:val="0"/>
      <w:marRight w:val="0"/>
      <w:marTop w:val="0"/>
      <w:marBottom w:val="0"/>
      <w:divBdr>
        <w:top w:val="none" w:sz="0" w:space="0" w:color="auto"/>
        <w:left w:val="none" w:sz="0" w:space="0" w:color="auto"/>
        <w:bottom w:val="none" w:sz="0" w:space="0" w:color="auto"/>
        <w:right w:val="none" w:sz="0" w:space="0" w:color="auto"/>
      </w:divBdr>
      <w:divsChild>
        <w:div w:id="408158981">
          <w:marLeft w:val="0"/>
          <w:marRight w:val="0"/>
          <w:marTop w:val="0"/>
          <w:marBottom w:val="0"/>
          <w:divBdr>
            <w:top w:val="none" w:sz="0" w:space="0" w:color="auto"/>
            <w:left w:val="none" w:sz="0" w:space="0" w:color="auto"/>
            <w:bottom w:val="none" w:sz="0" w:space="0" w:color="auto"/>
            <w:right w:val="none" w:sz="0" w:space="0" w:color="auto"/>
          </w:divBdr>
        </w:div>
        <w:div w:id="1600601018">
          <w:marLeft w:val="0"/>
          <w:marRight w:val="0"/>
          <w:marTop w:val="0"/>
          <w:marBottom w:val="0"/>
          <w:divBdr>
            <w:top w:val="none" w:sz="0" w:space="0" w:color="auto"/>
            <w:left w:val="none" w:sz="0" w:space="0" w:color="auto"/>
            <w:bottom w:val="none" w:sz="0" w:space="0" w:color="auto"/>
            <w:right w:val="none" w:sz="0" w:space="0" w:color="auto"/>
          </w:divBdr>
        </w:div>
        <w:div w:id="1698891052">
          <w:marLeft w:val="0"/>
          <w:marRight w:val="0"/>
          <w:marTop w:val="0"/>
          <w:marBottom w:val="0"/>
          <w:divBdr>
            <w:top w:val="none" w:sz="0" w:space="0" w:color="auto"/>
            <w:left w:val="none" w:sz="0" w:space="0" w:color="auto"/>
            <w:bottom w:val="none" w:sz="0" w:space="0" w:color="auto"/>
            <w:right w:val="none" w:sz="0" w:space="0" w:color="auto"/>
          </w:divBdr>
        </w:div>
        <w:div w:id="2002930170">
          <w:marLeft w:val="0"/>
          <w:marRight w:val="0"/>
          <w:marTop w:val="0"/>
          <w:marBottom w:val="0"/>
          <w:divBdr>
            <w:top w:val="none" w:sz="0" w:space="0" w:color="auto"/>
            <w:left w:val="none" w:sz="0" w:space="0" w:color="auto"/>
            <w:bottom w:val="none" w:sz="0" w:space="0" w:color="auto"/>
            <w:right w:val="none" w:sz="0" w:space="0" w:color="auto"/>
          </w:divBdr>
        </w:div>
      </w:divsChild>
    </w:div>
    <w:div w:id="1932198397">
      <w:bodyDiv w:val="1"/>
      <w:marLeft w:val="0"/>
      <w:marRight w:val="0"/>
      <w:marTop w:val="0"/>
      <w:marBottom w:val="0"/>
      <w:divBdr>
        <w:top w:val="none" w:sz="0" w:space="0" w:color="auto"/>
        <w:left w:val="none" w:sz="0" w:space="0" w:color="auto"/>
        <w:bottom w:val="none" w:sz="0" w:space="0" w:color="auto"/>
        <w:right w:val="none" w:sz="0" w:space="0" w:color="auto"/>
      </w:divBdr>
    </w:div>
    <w:div w:id="1977640142">
      <w:bodyDiv w:val="1"/>
      <w:marLeft w:val="0"/>
      <w:marRight w:val="0"/>
      <w:marTop w:val="0"/>
      <w:marBottom w:val="0"/>
      <w:divBdr>
        <w:top w:val="none" w:sz="0" w:space="0" w:color="auto"/>
        <w:left w:val="none" w:sz="0" w:space="0" w:color="auto"/>
        <w:bottom w:val="none" w:sz="0" w:space="0" w:color="auto"/>
        <w:right w:val="none" w:sz="0" w:space="0" w:color="auto"/>
      </w:divBdr>
      <w:divsChild>
        <w:div w:id="709644162">
          <w:marLeft w:val="0"/>
          <w:marRight w:val="0"/>
          <w:marTop w:val="0"/>
          <w:marBottom w:val="0"/>
          <w:divBdr>
            <w:top w:val="none" w:sz="0" w:space="0" w:color="auto"/>
            <w:left w:val="none" w:sz="0" w:space="0" w:color="auto"/>
            <w:bottom w:val="none" w:sz="0" w:space="0" w:color="auto"/>
            <w:right w:val="none" w:sz="0" w:space="0" w:color="auto"/>
          </w:divBdr>
        </w:div>
        <w:div w:id="1162937723">
          <w:marLeft w:val="0"/>
          <w:marRight w:val="0"/>
          <w:marTop w:val="0"/>
          <w:marBottom w:val="0"/>
          <w:divBdr>
            <w:top w:val="none" w:sz="0" w:space="0" w:color="auto"/>
            <w:left w:val="none" w:sz="0" w:space="0" w:color="auto"/>
            <w:bottom w:val="none" w:sz="0" w:space="0" w:color="auto"/>
            <w:right w:val="none" w:sz="0" w:space="0" w:color="auto"/>
          </w:divBdr>
        </w:div>
        <w:div w:id="1163593441">
          <w:marLeft w:val="0"/>
          <w:marRight w:val="0"/>
          <w:marTop w:val="0"/>
          <w:marBottom w:val="0"/>
          <w:divBdr>
            <w:top w:val="none" w:sz="0" w:space="0" w:color="auto"/>
            <w:left w:val="none" w:sz="0" w:space="0" w:color="auto"/>
            <w:bottom w:val="none" w:sz="0" w:space="0" w:color="auto"/>
            <w:right w:val="none" w:sz="0" w:space="0" w:color="auto"/>
          </w:divBdr>
        </w:div>
        <w:div w:id="1259948859">
          <w:marLeft w:val="0"/>
          <w:marRight w:val="0"/>
          <w:marTop w:val="0"/>
          <w:marBottom w:val="0"/>
          <w:divBdr>
            <w:top w:val="none" w:sz="0" w:space="0" w:color="auto"/>
            <w:left w:val="none" w:sz="0" w:space="0" w:color="auto"/>
            <w:bottom w:val="none" w:sz="0" w:space="0" w:color="auto"/>
            <w:right w:val="none" w:sz="0" w:space="0" w:color="auto"/>
          </w:divBdr>
        </w:div>
      </w:divsChild>
    </w:div>
    <w:div w:id="2119908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chart" Target="charts/chart12.xml"/><Relationship Id="rId42" Type="http://schemas.openxmlformats.org/officeDocument/2006/relationships/chart" Target="charts/chart15.xml"/><Relationship Id="rId47" Type="http://schemas.openxmlformats.org/officeDocument/2006/relationships/chart" Target="charts/chart20.xml"/><Relationship Id="rId63" Type="http://schemas.openxmlformats.org/officeDocument/2006/relationships/image" Target="media/image24.png"/><Relationship Id="rId68" Type="http://schemas.openxmlformats.org/officeDocument/2006/relationships/image" Target="media/image29.png"/><Relationship Id="rId84" Type="http://schemas.openxmlformats.org/officeDocument/2006/relationships/fontTable" Target="fontTable.xml"/><Relationship Id="rId16" Type="http://schemas.openxmlformats.org/officeDocument/2006/relationships/chart" Target="charts/chart7.xml"/><Relationship Id="rId11" Type="http://schemas.openxmlformats.org/officeDocument/2006/relationships/chart" Target="charts/chart2.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chart" Target="charts/chart26.xml"/><Relationship Id="rId58" Type="http://schemas.openxmlformats.org/officeDocument/2006/relationships/chart" Target="charts/chart29.xml"/><Relationship Id="rId74" Type="http://schemas.openxmlformats.org/officeDocument/2006/relationships/image" Target="media/image35.emf"/><Relationship Id="rId79" Type="http://schemas.openxmlformats.org/officeDocument/2006/relationships/image" Target="media/image40.emf"/><Relationship Id="rId5" Type="http://schemas.openxmlformats.org/officeDocument/2006/relationships/webSettings" Target="webSettings.xml"/><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chart" Target="charts/chart16.xml"/><Relationship Id="rId48" Type="http://schemas.openxmlformats.org/officeDocument/2006/relationships/chart" Target="charts/chart21.xml"/><Relationship Id="rId56" Type="http://schemas.openxmlformats.org/officeDocument/2006/relationships/image" Target="media/image21.emf"/><Relationship Id="rId64" Type="http://schemas.openxmlformats.org/officeDocument/2006/relationships/image" Target="media/image25.png"/><Relationship Id="rId69" Type="http://schemas.openxmlformats.org/officeDocument/2006/relationships/image" Target="media/image30.emf"/><Relationship Id="rId77" Type="http://schemas.openxmlformats.org/officeDocument/2006/relationships/image" Target="media/image38.emf"/><Relationship Id="rId8" Type="http://schemas.openxmlformats.org/officeDocument/2006/relationships/image" Target="media/image1.png"/><Relationship Id="rId51" Type="http://schemas.openxmlformats.org/officeDocument/2006/relationships/chart" Target="charts/chart24.xml"/><Relationship Id="rId72" Type="http://schemas.openxmlformats.org/officeDocument/2006/relationships/image" Target="media/image33.emf"/><Relationship Id="rId80" Type="http://schemas.openxmlformats.org/officeDocument/2006/relationships/image" Target="media/image41.emf"/><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chart" Target="charts/chart19.xml"/><Relationship Id="rId59" Type="http://schemas.openxmlformats.org/officeDocument/2006/relationships/image" Target="media/image22.emf"/><Relationship Id="rId67" Type="http://schemas.openxmlformats.org/officeDocument/2006/relationships/image" Target="media/image28.png"/><Relationship Id="rId20" Type="http://schemas.openxmlformats.org/officeDocument/2006/relationships/chart" Target="charts/chart11.xml"/><Relationship Id="rId41" Type="http://schemas.openxmlformats.org/officeDocument/2006/relationships/chart" Target="charts/chart14.xml"/><Relationship Id="rId54" Type="http://schemas.openxmlformats.org/officeDocument/2006/relationships/image" Target="media/image20.emf"/><Relationship Id="rId62" Type="http://schemas.openxmlformats.org/officeDocument/2006/relationships/image" Target="media/image23.png"/><Relationship Id="rId70" Type="http://schemas.openxmlformats.org/officeDocument/2006/relationships/image" Target="media/image31.emf"/><Relationship Id="rId75" Type="http://schemas.openxmlformats.org/officeDocument/2006/relationships/image" Target="media/image36.emf"/><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chart" Target="charts/chart22.xml"/><Relationship Id="rId57" Type="http://schemas.openxmlformats.org/officeDocument/2006/relationships/chart" Target="charts/chart28.xml"/><Relationship Id="rId10" Type="http://schemas.openxmlformats.org/officeDocument/2006/relationships/chart" Target="charts/chart1.xml"/><Relationship Id="rId31" Type="http://schemas.openxmlformats.org/officeDocument/2006/relationships/image" Target="media/image11.png"/><Relationship Id="rId44" Type="http://schemas.openxmlformats.org/officeDocument/2006/relationships/chart" Target="charts/chart17.xml"/><Relationship Id="rId52" Type="http://schemas.openxmlformats.org/officeDocument/2006/relationships/chart" Target="charts/chart25.xml"/><Relationship Id="rId60" Type="http://schemas.openxmlformats.org/officeDocument/2006/relationships/chart" Target="charts/chart30.xml"/><Relationship Id="rId65" Type="http://schemas.openxmlformats.org/officeDocument/2006/relationships/image" Target="media/image26.png"/><Relationship Id="rId73" Type="http://schemas.openxmlformats.org/officeDocument/2006/relationships/image" Target="media/image34.emf"/><Relationship Id="rId78" Type="http://schemas.openxmlformats.org/officeDocument/2006/relationships/image" Target="media/image39.emf"/><Relationship Id="rId81" Type="http://schemas.openxmlformats.org/officeDocument/2006/relationships/image" Target="media/image42.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chart" Target="charts/chart23.xml"/><Relationship Id="rId55" Type="http://schemas.openxmlformats.org/officeDocument/2006/relationships/chart" Target="charts/chart27.xml"/><Relationship Id="rId76"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image" Target="media/image32.emf"/><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png"/><Relationship Id="rId40" Type="http://schemas.openxmlformats.org/officeDocument/2006/relationships/chart" Target="charts/chart13.xml"/><Relationship Id="rId45" Type="http://schemas.openxmlformats.org/officeDocument/2006/relationships/chart" Target="charts/chart18.xml"/><Relationship Id="rId66" Type="http://schemas.openxmlformats.org/officeDocument/2006/relationships/image" Target="media/image27.png"/><Relationship Id="rId61" Type="http://schemas.openxmlformats.org/officeDocument/2006/relationships/chart" Target="charts/chart31.xml"/><Relationship Id="rId82" Type="http://schemas.openxmlformats.org/officeDocument/2006/relationships/header" Target="header2.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rdita.xhyheri.GOV\Desktop\ligjet%20buxh%20vendor\Te%20dhenat%20e%20analizes%205%20mujore%20te%20zbatimit%20te%20buxhetit%20vendor%202021.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rdita.xhyheri.GOV\Desktop\ligjet%20buxh%20vendor\Te%20dhenat%20e%20analizes%205%20mujore%20te%20zbatimit%20te%20buxhetit%20vendor%202021.xlsx" TargetMode="External"/><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ardita.xhyheri.GOV\Desktop\ligjet%20buxh%20vendor\Te%20dhenat%20e%20analizes%205%20mujore%20te%20zbatimit%20te%20buxhetit%20vendor%202021.xlsx" TargetMode="External"/><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ardita.xhyheri.GOV\Desktop\ligjet%20buxh%20vendor\Te%20dhenat%20e%20analizes%205%20mujore%20te%20zbatimit%20te%20buxhetit%20vendor%202021.xlsx" TargetMode="External"/><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ardita.xhyheri.GOV\Desktop\ligjet%20buxh%20vendor\Te%20dhenat%20e%20analizes%205%20mujore%20te%20zbatimit%20te%20buxhetit%20vendor%202021.xlsx" TargetMode="External"/><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ardita.xhyheri.GOV\Desktop\ligjet%20buxh%20vendor\Te%20dhenat%20e%20analizes%205%20mujore%20te%20zbatimit%20te%20buxhetit%20vendor%202021.xlsx" TargetMode="External"/><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rdita.xhyheri.GOV\Desktop\ligjet%20buxh%20vendor\Te%20dhenat%20e%20analizes%205%20mujore%20te%20zbatimit%20te%20buxhetit%20vendor%202021.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brikena.jazxhi\Desktop\Transferimi\DR%20STRATEGJISE%20DHE%20MONITORIMIT%20TE%20BORXHIT\Analiza%20Tremujori%20I%202021\Grafiket%20per%20analizen%20Q1%202021.xlsx" TargetMode="External"/><Relationship Id="rId2" Type="http://schemas.microsoft.com/office/2011/relationships/chartColorStyle" Target="colors1.xml"/><Relationship Id="rId1" Type="http://schemas.microsoft.com/office/2011/relationships/chartStyle" Target="style1.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brikena.jazxhi\Desktop\Transferimi\DR%20STRATEGJISE%20DHE%20MONITORIMIT%20TE%20BORXHIT\Analiza%20Tremujori%20I%202021\Grafiket%20per%20analizen%20Q1%202021.xlsx" TargetMode="External"/><Relationship Id="rId2" Type="http://schemas.microsoft.com/office/2011/relationships/chartColorStyle" Target="colors2.xml"/><Relationship Id="rId1" Type="http://schemas.microsoft.com/office/2011/relationships/chartStyle" Target="style2.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brikena.jazxhi\Desktop\Transferimi\DR%20STRATEGJISE%20DHE%20MONITORIMIT%20TE%20BORXHIT\Analiza%20Tremujori%20I%202021\Grafiket%20per%20analizen%20Q1%202021.xlsx" TargetMode="External"/><Relationship Id="rId2" Type="http://schemas.microsoft.com/office/2011/relationships/chartColorStyle" Target="colors3.xml"/><Relationship Id="rId1" Type="http://schemas.microsoft.com/office/2011/relationships/chartStyle" Target="style3.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4.xml"/><Relationship Id="rId1" Type="http://schemas.microsoft.com/office/2011/relationships/chartStyle" Target="style4.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5.xml"/><Relationship Id="rId1" Type="http://schemas.microsoft.com/office/2011/relationships/chartStyle" Target="style5.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6.xml"/><Relationship Id="rId1" Type="http://schemas.microsoft.com/office/2011/relationships/chartStyle" Target="style6.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7.xml"/><Relationship Id="rId1" Type="http://schemas.microsoft.com/office/2011/relationships/chartStyle" Target="style7.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brikena.jazxhi\Desktop\Transferimi\DR%20STRATEGJISE%20DHE%20MONITORIMIT%20TE%20BORXHIT\Analiza%20Tremujori%20I%202021\Grafiket%20per%20analizen%20Q1%202021.xlsx" TargetMode="External"/><Relationship Id="rId2" Type="http://schemas.microsoft.com/office/2011/relationships/chartColorStyle" Target="colors8.xml"/><Relationship Id="rId1" Type="http://schemas.microsoft.com/office/2011/relationships/chartStyle" Target="style8.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9.xml"/><Relationship Id="rId1" Type="http://schemas.microsoft.com/office/2011/relationships/chartStyle" Target="style9.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0.xml"/><Relationship Id="rId1" Type="http://schemas.microsoft.com/office/2011/relationships/chartStyle" Target="style10.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brikena.jazxhi\Desktop\Transferimi\DR%20STRATEGJISE%20DHE%20MONITORIMIT%20TE%20BORXHIT\Analiza%20Tremujori%20I%202021\Grafiket%20per%20analizen%20Q1%202021.xlsx" TargetMode="External"/><Relationship Id="rId2" Type="http://schemas.microsoft.com/office/2011/relationships/chartColorStyle" Target="colors11.xml"/><Relationship Id="rId1" Type="http://schemas.microsoft.com/office/2011/relationships/chartStyle" Target="style11.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2.xml"/><Relationship Id="rId1" Type="http://schemas.microsoft.com/office/2011/relationships/chartStyle" Target="style1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248686067526227E-2"/>
          <c:y val="0.11408831249035045"/>
          <c:w val="0.87847784994029032"/>
          <c:h val="0.74540553029462886"/>
        </c:manualLayout>
      </c:layout>
      <c:barChart>
        <c:barDir val="col"/>
        <c:grouping val="stacked"/>
        <c:varyColors val="0"/>
        <c:ser>
          <c:idx val="0"/>
          <c:order val="0"/>
          <c:tx>
            <c:strRef>
              <c:f>'Tatimet+Doganat'!$B$3</c:f>
              <c:strCache>
                <c:ptCount val="1"/>
                <c:pt idx="0">
                  <c:v>Realizimi Total</c:v>
                </c:pt>
              </c:strCache>
            </c:strRef>
          </c:tx>
          <c:spPr>
            <a:solidFill>
              <a:schemeClr val="bg1"/>
            </a:solidFill>
            <a:ln>
              <a:noFill/>
            </a:ln>
            <a:effectLst/>
          </c:spPr>
          <c:invertIfNegative val="0"/>
          <c:dPt>
            <c:idx val="0"/>
            <c:invertIfNegative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023F-4CAC-94A4-A1C4E8F501FF}"/>
              </c:ext>
            </c:extLst>
          </c:dPt>
          <c:dPt>
            <c:idx val="10"/>
            <c:invertIfNegative val="0"/>
            <c:bubble3D val="0"/>
            <c:spPr>
              <a:solidFill>
                <a:schemeClr val="accent4">
                  <a:lumMod val="75000"/>
                </a:schemeClr>
              </a:solidFill>
              <a:ln>
                <a:noFill/>
              </a:ln>
              <a:effectLst/>
            </c:spPr>
            <c:extLst xmlns:c16r2="http://schemas.microsoft.com/office/drawing/2015/06/chart">
              <c:ext xmlns:c16="http://schemas.microsoft.com/office/drawing/2014/chart" uri="{C3380CC4-5D6E-409C-BE32-E72D297353CC}">
                <c16:uniqueId val="{00000003-023F-4CAC-94A4-A1C4E8F501FF}"/>
              </c:ext>
            </c:extLst>
          </c:dPt>
          <c:dPt>
            <c:idx val="11"/>
            <c:invertIfNegative val="0"/>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05-023F-4CAC-94A4-A1C4E8F501FF}"/>
              </c:ext>
            </c:extLst>
          </c:dPt>
          <c:dLbls>
            <c:dLbl>
              <c:idx val="0"/>
              <c:layout>
                <c:manualLayout>
                  <c:x val="-1.3284870686629558E-17"/>
                  <c:y val="-0.3621622121178514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23F-4CAC-94A4-A1C4E8F501FF}"/>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6-023F-4CAC-94A4-A1C4E8F501FF}"/>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07-023F-4CAC-94A4-A1C4E8F501FF}"/>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8-023F-4CAC-94A4-A1C4E8F501FF}"/>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9-023F-4CAC-94A4-A1C4E8F501FF}"/>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A-023F-4CAC-94A4-A1C4E8F501FF}"/>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0B-023F-4CAC-94A4-A1C4E8F501FF}"/>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0C-023F-4CAC-94A4-A1C4E8F501FF}"/>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D-023F-4CAC-94A4-A1C4E8F501FF}"/>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E-023F-4CAC-94A4-A1C4E8F501FF}"/>
                </c:ext>
                <c:ext xmlns:c15="http://schemas.microsoft.com/office/drawing/2012/chart" uri="{CE6537A1-D6FC-4f65-9D91-7224C49458BB}"/>
              </c:extLst>
            </c:dLbl>
            <c:dLbl>
              <c:idx val="10"/>
              <c:layout>
                <c:manualLayout>
                  <c:x val="1.3679105329225151E-3"/>
                  <c:y val="-0.35849709807400837"/>
                </c:manualLayout>
              </c:layout>
              <c:tx>
                <c:rich>
                  <a:bodyPr/>
                  <a:lstStyle/>
                  <a:p>
                    <a:r>
                      <a:rPr lang="en-US"/>
                      <a:t> 166,724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23F-4CAC-94A4-A1C4E8F501FF}"/>
                </c:ext>
                <c:ext xmlns:c15="http://schemas.microsoft.com/office/drawing/2012/chart" uri="{CE6537A1-D6FC-4f65-9D91-7224C49458BB}"/>
              </c:extLst>
            </c:dLbl>
            <c:dLbl>
              <c:idx val="11"/>
              <c:layout>
                <c:manualLayout>
                  <c:x val="1.5306401917151661E-3"/>
                  <c:y val="-0.3668927211563343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23F-4CAC-94A4-A1C4E8F501F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'Tatimet+Doganat'!$A$4:$A$15</c:f>
              <c:strCache>
                <c:ptCount val="12"/>
                <c:pt idx="0">
                  <c:v>Fakt 2020</c:v>
                </c:pt>
                <c:pt idx="1">
                  <c:v>TVSH import</c:v>
                </c:pt>
                <c:pt idx="2">
                  <c:v>TVSH Neto</c:v>
                </c:pt>
                <c:pt idx="3">
                  <c:v>Tatim Fitimi</c:v>
                </c:pt>
                <c:pt idx="4">
                  <c:v>Akciza</c:v>
                </c:pt>
                <c:pt idx="5">
                  <c:v>TAP</c:v>
                </c:pt>
                <c:pt idx="6">
                  <c:v>T. Nacionale</c:v>
                </c:pt>
                <c:pt idx="7">
                  <c:v>R. Minerare</c:v>
                </c:pt>
                <c:pt idx="8">
                  <c:v>T. Doganore</c:v>
                </c:pt>
                <c:pt idx="9">
                  <c:v>Kontributet </c:v>
                </c:pt>
                <c:pt idx="10">
                  <c:v>Fakt 2021</c:v>
                </c:pt>
                <c:pt idx="11">
                  <c:v>Plan 2021</c:v>
                </c:pt>
              </c:strCache>
            </c:strRef>
          </c:cat>
          <c:val>
            <c:numRef>
              <c:f>'Tatimet+Doganat'!$B$4:$B$15</c:f>
              <c:numCache>
                <c:formatCode>_(* #,##0_);_(* \(#,##0\);_(* "-"??_);_(@_)</c:formatCode>
                <c:ptCount val="12"/>
                <c:pt idx="0">
                  <c:v>141703</c:v>
                </c:pt>
                <c:pt idx="1">
                  <c:v>151412</c:v>
                </c:pt>
                <c:pt idx="2">
                  <c:v>149047</c:v>
                </c:pt>
                <c:pt idx="3">
                  <c:v>152735</c:v>
                </c:pt>
                <c:pt idx="4">
                  <c:v>155318</c:v>
                </c:pt>
                <c:pt idx="5">
                  <c:v>159377</c:v>
                </c:pt>
                <c:pt idx="6">
                  <c:v>160766</c:v>
                </c:pt>
                <c:pt idx="7">
                  <c:v>161030</c:v>
                </c:pt>
                <c:pt idx="8">
                  <c:v>161458</c:v>
                </c:pt>
                <c:pt idx="9">
                  <c:v>166503</c:v>
                </c:pt>
                <c:pt idx="10">
                  <c:v>166503</c:v>
                </c:pt>
                <c:pt idx="11">
                  <c:v>164304</c:v>
                </c:pt>
              </c:numCache>
            </c:numRef>
          </c:val>
          <c:extLst xmlns:c16r2="http://schemas.microsoft.com/office/drawing/2015/06/chart">
            <c:ext xmlns:c16="http://schemas.microsoft.com/office/drawing/2014/chart" uri="{C3380CC4-5D6E-409C-BE32-E72D297353CC}">
              <c16:uniqueId val="{0000000F-023F-4CAC-94A4-A1C4E8F501FF}"/>
            </c:ext>
          </c:extLst>
        </c:ser>
        <c:ser>
          <c:idx val="1"/>
          <c:order val="1"/>
          <c:tx>
            <c:strRef>
              <c:f>'Tatimet+Doganat'!$C$3</c:f>
              <c:strCache>
                <c:ptCount val="1"/>
                <c:pt idx="0">
                  <c:v>Rënie</c:v>
                </c:pt>
              </c:strCache>
            </c:strRef>
          </c:tx>
          <c:spPr>
            <a:solidFill>
              <a:srgbClr val="C00000"/>
            </a:solidFill>
            <a:ln>
              <a:noFill/>
            </a:ln>
            <a:effectLst/>
          </c:spPr>
          <c:invertIfNegative val="0"/>
          <c:cat>
            <c:strRef>
              <c:f>'Tatimet+Doganat'!$A$4:$A$15</c:f>
              <c:strCache>
                <c:ptCount val="12"/>
                <c:pt idx="0">
                  <c:v>Fakt 2020</c:v>
                </c:pt>
                <c:pt idx="1">
                  <c:v>TVSH import</c:v>
                </c:pt>
                <c:pt idx="2">
                  <c:v>TVSH Neto</c:v>
                </c:pt>
                <c:pt idx="3">
                  <c:v>Tatim Fitimi</c:v>
                </c:pt>
                <c:pt idx="4">
                  <c:v>Akciza</c:v>
                </c:pt>
                <c:pt idx="5">
                  <c:v>TAP</c:v>
                </c:pt>
                <c:pt idx="6">
                  <c:v>T. Nacionale</c:v>
                </c:pt>
                <c:pt idx="7">
                  <c:v>R. Minerare</c:v>
                </c:pt>
                <c:pt idx="8">
                  <c:v>T. Doganore</c:v>
                </c:pt>
                <c:pt idx="9">
                  <c:v>Kontributet </c:v>
                </c:pt>
                <c:pt idx="10">
                  <c:v>Fakt 2021</c:v>
                </c:pt>
                <c:pt idx="11">
                  <c:v>Plan 2021</c:v>
                </c:pt>
              </c:strCache>
            </c:strRef>
          </c:cat>
          <c:val>
            <c:numRef>
              <c:f>'Tatimet+Doganat'!$C$4:$C$15</c:f>
              <c:numCache>
                <c:formatCode>_(* #,##0_);_(* \(#,##0\);_(* "-"??_);_(@_)</c:formatCode>
                <c:ptCount val="12"/>
                <c:pt idx="1">
                  <c:v>0</c:v>
                </c:pt>
                <c:pt idx="2">
                  <c:v>2365</c:v>
                </c:pt>
                <c:pt idx="3">
                  <c:v>0</c:v>
                </c:pt>
                <c:pt idx="4">
                  <c:v>0</c:v>
                </c:pt>
                <c:pt idx="5">
                  <c:v>0</c:v>
                </c:pt>
                <c:pt idx="6">
                  <c:v>0</c:v>
                </c:pt>
                <c:pt idx="7">
                  <c:v>0</c:v>
                </c:pt>
                <c:pt idx="8">
                  <c:v>0</c:v>
                </c:pt>
                <c:pt idx="9">
                  <c:v>0</c:v>
                </c:pt>
              </c:numCache>
            </c:numRef>
          </c:val>
          <c:extLst xmlns:c16r2="http://schemas.microsoft.com/office/drawing/2015/06/chart">
            <c:ext xmlns:c16="http://schemas.microsoft.com/office/drawing/2014/chart" uri="{C3380CC4-5D6E-409C-BE32-E72D297353CC}">
              <c16:uniqueId val="{00000010-023F-4CAC-94A4-A1C4E8F501FF}"/>
            </c:ext>
          </c:extLst>
        </c:ser>
        <c:ser>
          <c:idx val="2"/>
          <c:order val="2"/>
          <c:tx>
            <c:strRef>
              <c:f>'Tatimet+Doganat'!$D$3</c:f>
              <c:strCache>
                <c:ptCount val="1"/>
                <c:pt idx="0">
                  <c:v>Rritje</c:v>
                </c:pt>
              </c:strCache>
            </c:strRef>
          </c:tx>
          <c:spPr>
            <a:solidFill>
              <a:srgbClr val="002060"/>
            </a:solidFill>
            <a:ln>
              <a:noFill/>
            </a:ln>
            <a:effectLst/>
          </c:spPr>
          <c:invertIfNegative val="0"/>
          <c:cat>
            <c:strRef>
              <c:f>'Tatimet+Doganat'!$A$4:$A$15</c:f>
              <c:strCache>
                <c:ptCount val="12"/>
                <c:pt idx="0">
                  <c:v>Fakt 2020</c:v>
                </c:pt>
                <c:pt idx="1">
                  <c:v>TVSH import</c:v>
                </c:pt>
                <c:pt idx="2">
                  <c:v>TVSH Neto</c:v>
                </c:pt>
                <c:pt idx="3">
                  <c:v>Tatim Fitimi</c:v>
                </c:pt>
                <c:pt idx="4">
                  <c:v>Akciza</c:v>
                </c:pt>
                <c:pt idx="5">
                  <c:v>TAP</c:v>
                </c:pt>
                <c:pt idx="6">
                  <c:v>T. Nacionale</c:v>
                </c:pt>
                <c:pt idx="7">
                  <c:v>R. Minerare</c:v>
                </c:pt>
                <c:pt idx="8">
                  <c:v>T. Doganore</c:v>
                </c:pt>
                <c:pt idx="9">
                  <c:v>Kontributet </c:v>
                </c:pt>
                <c:pt idx="10">
                  <c:v>Fakt 2021</c:v>
                </c:pt>
                <c:pt idx="11">
                  <c:v>Plan 2021</c:v>
                </c:pt>
              </c:strCache>
            </c:strRef>
          </c:cat>
          <c:val>
            <c:numRef>
              <c:f>'Tatimet+Doganat'!$D$4:$D$15</c:f>
              <c:numCache>
                <c:formatCode>_(* #,##0_);_(* \(#,##0\);_(* "-"??_);_(@_)</c:formatCode>
                <c:ptCount val="12"/>
                <c:pt idx="1">
                  <c:v>9709</c:v>
                </c:pt>
                <c:pt idx="2">
                  <c:v>0</c:v>
                </c:pt>
                <c:pt idx="3">
                  <c:v>3688</c:v>
                </c:pt>
                <c:pt idx="4">
                  <c:v>2583</c:v>
                </c:pt>
                <c:pt idx="5">
                  <c:v>4059</c:v>
                </c:pt>
                <c:pt idx="6">
                  <c:v>1389</c:v>
                </c:pt>
                <c:pt idx="7">
                  <c:v>264</c:v>
                </c:pt>
                <c:pt idx="8">
                  <c:v>428</c:v>
                </c:pt>
                <c:pt idx="9">
                  <c:v>5045</c:v>
                </c:pt>
              </c:numCache>
            </c:numRef>
          </c:val>
          <c:extLst xmlns:c16r2="http://schemas.microsoft.com/office/drawing/2015/06/chart">
            <c:ext xmlns:c16="http://schemas.microsoft.com/office/drawing/2014/chart" uri="{C3380CC4-5D6E-409C-BE32-E72D297353CC}">
              <c16:uniqueId val="{00000011-023F-4CAC-94A4-A1C4E8F501FF}"/>
            </c:ext>
          </c:extLst>
        </c:ser>
        <c:dLbls>
          <c:showLegendKey val="0"/>
          <c:showVal val="0"/>
          <c:showCatName val="0"/>
          <c:showSerName val="0"/>
          <c:showPercent val="0"/>
          <c:showBubbleSize val="0"/>
        </c:dLbls>
        <c:gapWidth val="50"/>
        <c:overlap val="100"/>
        <c:axId val="1290949536"/>
        <c:axId val="1290944096"/>
      </c:barChart>
      <c:catAx>
        <c:axId val="1290949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290944096"/>
        <c:crosses val="autoZero"/>
        <c:auto val="1"/>
        <c:lblAlgn val="ctr"/>
        <c:lblOffset val="100"/>
        <c:noMultiLvlLbl val="0"/>
      </c:catAx>
      <c:valAx>
        <c:axId val="1290944096"/>
        <c:scaling>
          <c:orientation val="minMax"/>
          <c:min val="10000"/>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9536"/>
        <c:crosses val="autoZero"/>
        <c:crossBetween val="between"/>
      </c:valAx>
      <c:spPr>
        <a:noFill/>
        <a:ln>
          <a:noFill/>
        </a:ln>
        <a:effectLst/>
      </c:spPr>
    </c:plotArea>
    <c:legend>
      <c:legendPos val="b"/>
      <c:legendEntry>
        <c:idx val="0"/>
        <c:delete val="1"/>
      </c:legendEntry>
      <c:layout>
        <c:manualLayout>
          <c:xMode val="edge"/>
          <c:yMode val="edge"/>
          <c:x val="0.38066557049114458"/>
          <c:y val="3.9325434363919713E-2"/>
          <c:w val="0.3672402927543103"/>
          <c:h val="5.834094420133525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858957218700006E-2"/>
          <c:y val="8.6464915197871639E-2"/>
          <c:w val="0.89338185141228355"/>
          <c:h val="0.54332529243093164"/>
        </c:manualLayout>
      </c:layout>
      <c:barChart>
        <c:barDir val="col"/>
        <c:grouping val="clustered"/>
        <c:varyColors val="0"/>
        <c:ser>
          <c:idx val="1"/>
          <c:order val="1"/>
          <c:tx>
            <c:strRef>
              <c:f>Sheet3!$E$38</c:f>
              <c:strCache>
                <c:ptCount val="1"/>
                <c:pt idx="0">
                  <c:v>Plan</c:v>
                </c:pt>
              </c:strCache>
            </c:strRef>
          </c:tx>
          <c:spPr>
            <a:solidFill>
              <a:schemeClr val="accent1">
                <a:lumMod val="20000"/>
                <a:lumOff val="80000"/>
              </a:schemeClr>
            </a:solidFill>
            <a:ln>
              <a:solidFill>
                <a:schemeClr val="accent1">
                  <a:lumMod val="20000"/>
                  <a:lumOff val="8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Sheet3!$E$39:$E$48</c:f>
              <c:numCache>
                <c:formatCode>#,##0</c:formatCode>
                <c:ptCount val="10"/>
                <c:pt idx="0">
                  <c:v>11620</c:v>
                </c:pt>
                <c:pt idx="1">
                  <c:v>11600</c:v>
                </c:pt>
                <c:pt idx="2">
                  <c:v>11200</c:v>
                </c:pt>
                <c:pt idx="3">
                  <c:v>14455</c:v>
                </c:pt>
                <c:pt idx="4">
                  <c:v>13255</c:v>
                </c:pt>
                <c:pt idx="5">
                  <c:v>14141</c:v>
                </c:pt>
                <c:pt idx="6">
                  <c:v>15300</c:v>
                </c:pt>
                <c:pt idx="7">
                  <c:v>16596.890919256079</c:v>
                </c:pt>
                <c:pt idx="8">
                  <c:v>13544.1</c:v>
                </c:pt>
                <c:pt idx="9" formatCode="_(* #,##0_);_(* \(#,##0\);_(* &quot;-&quot;??_);_(@_)">
                  <c:v>16181.041693650412</c:v>
                </c:pt>
              </c:numCache>
            </c:numRef>
          </c:val>
          <c:extLst xmlns:c16r2="http://schemas.microsoft.com/office/drawing/2015/06/chart">
            <c:ext xmlns:c16="http://schemas.microsoft.com/office/drawing/2014/chart" uri="{C3380CC4-5D6E-409C-BE32-E72D297353CC}">
              <c16:uniqueId val="{00000000-1013-4939-99C4-538E7DD4BF40}"/>
            </c:ext>
          </c:extLst>
        </c:ser>
        <c:dLbls>
          <c:showLegendKey val="0"/>
          <c:showVal val="0"/>
          <c:showCatName val="0"/>
          <c:showSerName val="0"/>
          <c:showPercent val="0"/>
          <c:showBubbleSize val="0"/>
        </c:dLbls>
        <c:gapWidth val="150"/>
        <c:axId val="1290929408"/>
        <c:axId val="1290931040"/>
      </c:barChart>
      <c:lineChart>
        <c:grouping val="standard"/>
        <c:varyColors val="0"/>
        <c:ser>
          <c:idx val="0"/>
          <c:order val="0"/>
          <c:tx>
            <c:strRef>
              <c:f>Sheet3!$D$38</c:f>
              <c:strCache>
                <c:ptCount val="1"/>
                <c:pt idx="0">
                  <c:v>Fakt</c:v>
                </c:pt>
              </c:strCache>
            </c:strRef>
          </c:tx>
          <c:spPr>
            <a:ln w="28575" cap="rnd">
              <a:solidFill>
                <a:schemeClr val="accent1"/>
              </a:solidFill>
              <a:round/>
            </a:ln>
            <a:effectLst/>
          </c:spPr>
          <c:marker>
            <c:symbol val="none"/>
          </c:marker>
          <c:dLbls>
            <c:spPr>
              <a:noFill/>
              <a:ln>
                <a:noFill/>
              </a:ln>
              <a:effectLst/>
            </c:spPr>
            <c:txPr>
              <a:bodyPr rot="0" spcFirstLastPara="1" vertOverflow="ellipsis" horzOverflow="clip" vert="horz" wrap="square" lIns="0" tIns="0" rIns="91440" bIns="9144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Sheet3!$D$39:$D$48</c:f>
              <c:numCache>
                <c:formatCode>#,##0</c:formatCode>
                <c:ptCount val="10"/>
                <c:pt idx="0">
                  <c:v>10976</c:v>
                </c:pt>
                <c:pt idx="1">
                  <c:v>11988</c:v>
                </c:pt>
                <c:pt idx="2">
                  <c:v>10902</c:v>
                </c:pt>
                <c:pt idx="3">
                  <c:v>11252</c:v>
                </c:pt>
                <c:pt idx="4">
                  <c:v>13429</c:v>
                </c:pt>
                <c:pt idx="5">
                  <c:v>12914</c:v>
                </c:pt>
                <c:pt idx="6">
                  <c:v>14243.61</c:v>
                </c:pt>
                <c:pt idx="7">
                  <c:v>18440</c:v>
                </c:pt>
                <c:pt idx="8">
                  <c:v>13568.656024000002</c:v>
                </c:pt>
                <c:pt idx="9" formatCode="_(* #,##0_);_(* \(#,##0\);_(* &quot;-&quot;??_);_(@_)">
                  <c:v>17602.604040259997</c:v>
                </c:pt>
              </c:numCache>
            </c:numRef>
          </c:val>
          <c:smooth val="0"/>
          <c:extLst xmlns:c16r2="http://schemas.microsoft.com/office/drawing/2015/06/chart">
            <c:ext xmlns:c16="http://schemas.microsoft.com/office/drawing/2014/chart" uri="{C3380CC4-5D6E-409C-BE32-E72D297353CC}">
              <c16:uniqueId val="{00000001-1013-4939-99C4-538E7DD4BF40}"/>
            </c:ext>
          </c:extLst>
        </c:ser>
        <c:dLbls>
          <c:showLegendKey val="0"/>
          <c:showVal val="0"/>
          <c:showCatName val="0"/>
          <c:showSerName val="0"/>
          <c:showPercent val="0"/>
          <c:showBubbleSize val="0"/>
        </c:dLbls>
        <c:marker val="1"/>
        <c:smooth val="0"/>
        <c:axId val="1290929408"/>
        <c:axId val="1290931040"/>
      </c:lineChart>
      <c:catAx>
        <c:axId val="129092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31040"/>
        <c:crosses val="autoZero"/>
        <c:auto val="1"/>
        <c:lblAlgn val="ctr"/>
        <c:lblOffset val="100"/>
        <c:noMultiLvlLbl val="0"/>
      </c:catAx>
      <c:valAx>
        <c:axId val="1290931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9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1">
          <a:lumMod val="60000"/>
          <a:lumOff val="40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Sheet3!$E$53</c:f>
              <c:strCache>
                <c:ptCount val="1"/>
                <c:pt idx="0">
                  <c:v>Plan</c:v>
                </c:pt>
              </c:strCache>
            </c:strRef>
          </c:tx>
          <c:spPr>
            <a:solidFill>
              <a:schemeClr val="accent1">
                <a:lumMod val="20000"/>
                <a:lumOff val="80000"/>
              </a:schemeClr>
            </a:solidFill>
            <a:ln>
              <a:noFill/>
            </a:ln>
            <a:effectLst/>
          </c:spPr>
          <c:invertIfNegative val="0"/>
          <c:dLbls>
            <c:dLbl>
              <c:idx val="0"/>
              <c:layout>
                <c:manualLayout>
                  <c:x val="-1.8853101351666752E-2"/>
                  <c:y val="-1.8306631757537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8A8-4FCB-87D2-6BD14B95907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Sheet3!$C$54:$C$63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Sheet3!$E$54:$E$63</c:f>
              <c:numCache>
                <c:formatCode>#,##0</c:formatCode>
                <c:ptCount val="10"/>
                <c:pt idx="0">
                  <c:v>7250</c:v>
                </c:pt>
                <c:pt idx="1">
                  <c:v>8950</c:v>
                </c:pt>
                <c:pt idx="2">
                  <c:v>10500</c:v>
                </c:pt>
                <c:pt idx="3">
                  <c:v>12259</c:v>
                </c:pt>
                <c:pt idx="4">
                  <c:v>13405</c:v>
                </c:pt>
                <c:pt idx="5">
                  <c:v>12600</c:v>
                </c:pt>
                <c:pt idx="6">
                  <c:v>13810</c:v>
                </c:pt>
                <c:pt idx="7">
                  <c:v>14876.330361230224</c:v>
                </c:pt>
                <c:pt idx="8">
                  <c:v>13176.759185898176</c:v>
                </c:pt>
                <c:pt idx="9">
                  <c:v>14820</c:v>
                </c:pt>
              </c:numCache>
            </c:numRef>
          </c:val>
          <c:extLst xmlns:c16r2="http://schemas.microsoft.com/office/drawing/2015/06/chart">
            <c:ext xmlns:c16="http://schemas.microsoft.com/office/drawing/2014/chart" uri="{C3380CC4-5D6E-409C-BE32-E72D297353CC}">
              <c16:uniqueId val="{00000001-58A8-4FCB-87D2-6BD14B95907C}"/>
            </c:ext>
          </c:extLst>
        </c:ser>
        <c:dLbls>
          <c:showLegendKey val="0"/>
          <c:showVal val="0"/>
          <c:showCatName val="0"/>
          <c:showSerName val="0"/>
          <c:showPercent val="0"/>
          <c:showBubbleSize val="0"/>
        </c:dLbls>
        <c:gapWidth val="150"/>
        <c:axId val="1290920160"/>
        <c:axId val="1290939744"/>
      </c:barChart>
      <c:lineChart>
        <c:grouping val="standard"/>
        <c:varyColors val="0"/>
        <c:ser>
          <c:idx val="0"/>
          <c:order val="0"/>
          <c:tx>
            <c:strRef>
              <c:f>Sheet3!$D$53</c:f>
              <c:strCache>
                <c:ptCount val="1"/>
                <c:pt idx="0">
                  <c:v>Fakt</c:v>
                </c:pt>
              </c:strCache>
            </c:strRef>
          </c:tx>
          <c:spPr>
            <a:ln w="28575" cap="rnd">
              <a:solidFill>
                <a:schemeClr val="accent1"/>
              </a:solidFill>
              <a:round/>
            </a:ln>
            <a:effectLst/>
          </c:spPr>
          <c:marker>
            <c:symbol val="none"/>
          </c:marker>
          <c:dLbls>
            <c:dLbl>
              <c:idx val="7"/>
              <c:layout>
                <c:manualLayout>
                  <c:x val="-2.9350104821802937E-2"/>
                  <c:y val="7.3394495412844041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1.8867924528301886E-2"/>
                  <c:y val="5.5045871559633031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2.0964360587002098E-3"/>
                  <c:y val="6.116207951070336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Sheet3!$C$54:$C$63</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Sheet3!$D$54:$D$63</c:f>
              <c:numCache>
                <c:formatCode>#,##0</c:formatCode>
                <c:ptCount val="10"/>
                <c:pt idx="0">
                  <c:v>8921</c:v>
                </c:pt>
                <c:pt idx="1">
                  <c:v>7410</c:v>
                </c:pt>
                <c:pt idx="2">
                  <c:v>9419</c:v>
                </c:pt>
                <c:pt idx="3">
                  <c:v>10505</c:v>
                </c:pt>
                <c:pt idx="4">
                  <c:v>12384</c:v>
                </c:pt>
                <c:pt idx="5">
                  <c:v>16407</c:v>
                </c:pt>
                <c:pt idx="6">
                  <c:v>14192.954</c:v>
                </c:pt>
                <c:pt idx="7">
                  <c:v>13059</c:v>
                </c:pt>
                <c:pt idx="8">
                  <c:v>11585.28</c:v>
                </c:pt>
                <c:pt idx="9">
                  <c:v>12974</c:v>
                </c:pt>
              </c:numCache>
            </c:numRef>
          </c:val>
          <c:smooth val="0"/>
          <c:extLst xmlns:c16r2="http://schemas.microsoft.com/office/drawing/2015/06/chart">
            <c:ext xmlns:c16="http://schemas.microsoft.com/office/drawing/2014/chart" uri="{C3380CC4-5D6E-409C-BE32-E72D297353CC}">
              <c16:uniqueId val="{00000002-58A8-4FCB-87D2-6BD14B95907C}"/>
            </c:ext>
          </c:extLst>
        </c:ser>
        <c:dLbls>
          <c:showLegendKey val="0"/>
          <c:showVal val="0"/>
          <c:showCatName val="0"/>
          <c:showSerName val="0"/>
          <c:showPercent val="0"/>
          <c:showBubbleSize val="0"/>
        </c:dLbls>
        <c:marker val="1"/>
        <c:smooth val="0"/>
        <c:axId val="1290920160"/>
        <c:axId val="1290939744"/>
      </c:lineChart>
      <c:catAx>
        <c:axId val="1290920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39744"/>
        <c:crosses val="autoZero"/>
        <c:auto val="1"/>
        <c:lblAlgn val="ctr"/>
        <c:lblOffset val="100"/>
        <c:noMultiLvlLbl val="0"/>
      </c:catAx>
      <c:valAx>
        <c:axId val="12909397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0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Sheet3!$E$69</c:f>
              <c:strCache>
                <c:ptCount val="1"/>
                <c:pt idx="0">
                  <c:v>Plan</c:v>
                </c:pt>
              </c:strCache>
            </c:strRef>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Sheet3!$C$70:$C$79</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Sheet3!$E$70:$E$79</c:f>
              <c:numCache>
                <c:formatCode>#,##0</c:formatCode>
                <c:ptCount val="10"/>
                <c:pt idx="0">
                  <c:v>22680</c:v>
                </c:pt>
                <c:pt idx="1">
                  <c:v>23500</c:v>
                </c:pt>
                <c:pt idx="2">
                  <c:v>24900</c:v>
                </c:pt>
                <c:pt idx="3">
                  <c:v>26628</c:v>
                </c:pt>
                <c:pt idx="4">
                  <c:v>30370</c:v>
                </c:pt>
                <c:pt idx="5">
                  <c:v>32072</c:v>
                </c:pt>
                <c:pt idx="6">
                  <c:v>34000</c:v>
                </c:pt>
                <c:pt idx="7">
                  <c:v>39072.053028849296</c:v>
                </c:pt>
                <c:pt idx="8">
                  <c:v>40892.095326122195</c:v>
                </c:pt>
                <c:pt idx="9">
                  <c:v>41859.943384240374</c:v>
                </c:pt>
              </c:numCache>
            </c:numRef>
          </c:val>
          <c:extLst xmlns:c16r2="http://schemas.microsoft.com/office/drawing/2015/06/chart">
            <c:ext xmlns:c16="http://schemas.microsoft.com/office/drawing/2014/chart" uri="{C3380CC4-5D6E-409C-BE32-E72D297353CC}">
              <c16:uniqueId val="{00000000-4DDE-43C4-A1D5-90005E3F39A4}"/>
            </c:ext>
          </c:extLst>
        </c:ser>
        <c:dLbls>
          <c:showLegendKey val="0"/>
          <c:showVal val="0"/>
          <c:showCatName val="0"/>
          <c:showSerName val="0"/>
          <c:showPercent val="0"/>
          <c:showBubbleSize val="0"/>
        </c:dLbls>
        <c:gapWidth val="219"/>
        <c:axId val="1290929952"/>
        <c:axId val="1290932672"/>
      </c:barChart>
      <c:lineChart>
        <c:grouping val="standard"/>
        <c:varyColors val="0"/>
        <c:ser>
          <c:idx val="0"/>
          <c:order val="0"/>
          <c:tx>
            <c:strRef>
              <c:f>Sheet3!$D$69</c:f>
              <c:strCache>
                <c:ptCount val="1"/>
                <c:pt idx="0">
                  <c:v>Fakt</c:v>
                </c:pt>
              </c:strCache>
            </c:strRef>
          </c:tx>
          <c:spPr>
            <a:ln w="28575" cap="rnd">
              <a:solidFill>
                <a:schemeClr val="accent1"/>
              </a:solidFill>
              <a:round/>
            </a:ln>
            <a:effectLst/>
          </c:spPr>
          <c:marker>
            <c:symbol val="none"/>
          </c:marker>
          <c:dLbls>
            <c:dLbl>
              <c:idx val="9"/>
              <c:layout>
                <c:manualLayout>
                  <c:x val="-1.2478298078047333E-2"/>
                  <c:y val="5.81983857203666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Sheet3!$C$70:$C$79</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Sheet3!$D$70:$D$79</c:f>
              <c:numCache>
                <c:formatCode>#,##0</c:formatCode>
                <c:ptCount val="10"/>
                <c:pt idx="0">
                  <c:v>22395</c:v>
                </c:pt>
                <c:pt idx="1">
                  <c:v>22977</c:v>
                </c:pt>
                <c:pt idx="2">
                  <c:v>25000</c:v>
                </c:pt>
                <c:pt idx="3">
                  <c:v>27398</c:v>
                </c:pt>
                <c:pt idx="4">
                  <c:v>31168</c:v>
                </c:pt>
                <c:pt idx="5">
                  <c:v>33544</c:v>
                </c:pt>
                <c:pt idx="6">
                  <c:v>36840.514990999996</c:v>
                </c:pt>
                <c:pt idx="7">
                  <c:v>39049.779000000002</c:v>
                </c:pt>
                <c:pt idx="8">
                  <c:v>38361.454233999997</c:v>
                </c:pt>
                <c:pt idx="9">
                  <c:v>43406.316959999996</c:v>
                </c:pt>
              </c:numCache>
            </c:numRef>
          </c:val>
          <c:smooth val="0"/>
          <c:extLst xmlns:c16r2="http://schemas.microsoft.com/office/drawing/2015/06/chart">
            <c:ext xmlns:c16="http://schemas.microsoft.com/office/drawing/2014/chart" uri="{C3380CC4-5D6E-409C-BE32-E72D297353CC}">
              <c16:uniqueId val="{00000001-4DDE-43C4-A1D5-90005E3F39A4}"/>
            </c:ext>
          </c:extLst>
        </c:ser>
        <c:dLbls>
          <c:showLegendKey val="0"/>
          <c:showVal val="0"/>
          <c:showCatName val="0"/>
          <c:showSerName val="0"/>
          <c:showPercent val="0"/>
          <c:showBubbleSize val="0"/>
        </c:dLbls>
        <c:marker val="1"/>
        <c:smooth val="0"/>
        <c:axId val="1290929952"/>
        <c:axId val="1290932672"/>
      </c:lineChart>
      <c:catAx>
        <c:axId val="129092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32672"/>
        <c:crosses val="autoZero"/>
        <c:auto val="1"/>
        <c:lblAlgn val="ctr"/>
        <c:lblOffset val="100"/>
        <c:noMultiLvlLbl val="0"/>
      </c:catAx>
      <c:valAx>
        <c:axId val="12909326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9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78595464028535"/>
          <c:y val="3.2882035578885971E-2"/>
          <c:w val="0.89008917154586442"/>
          <c:h val="0.68649516724818926"/>
        </c:manualLayout>
      </c:layout>
      <c:barChart>
        <c:barDir val="col"/>
        <c:grouping val="clustered"/>
        <c:varyColors val="0"/>
        <c:ser>
          <c:idx val="2"/>
          <c:order val="0"/>
          <c:tx>
            <c:strRef>
              <c:f>'Te ardhurat 2021'!$C$6</c:f>
              <c:strCache>
                <c:ptCount val="1"/>
                <c:pt idx="0">
                  <c:v>Taksë mbi Pasurinë (ndërtesat)</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2021'!$D$3:$T$3</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'Te ardhurat 2021'!$D$6:$T$6</c:f>
              <c:numCache>
                <c:formatCode>#,##0</c:formatCode>
                <c:ptCount val="17"/>
                <c:pt idx="0">
                  <c:v>527.68600000000004</c:v>
                </c:pt>
                <c:pt idx="1">
                  <c:v>611.13499999999999</c:v>
                </c:pt>
                <c:pt idx="2">
                  <c:v>405.88806</c:v>
                </c:pt>
                <c:pt idx="3">
                  <c:v>620.31200000000001</c:v>
                </c:pt>
                <c:pt idx="4">
                  <c:v>796.43562000000009</c:v>
                </c:pt>
                <c:pt idx="5">
                  <c:v>985.12200000000007</c:v>
                </c:pt>
                <c:pt idx="6">
                  <c:v>958</c:v>
                </c:pt>
                <c:pt idx="7">
                  <c:v>1418</c:v>
                </c:pt>
                <c:pt idx="8">
                  <c:v>1346</c:v>
                </c:pt>
                <c:pt idx="9">
                  <c:v>1931</c:v>
                </c:pt>
                <c:pt idx="10">
                  <c:v>2101</c:v>
                </c:pt>
                <c:pt idx="11">
                  <c:v>2316</c:v>
                </c:pt>
                <c:pt idx="12">
                  <c:v>2535</c:v>
                </c:pt>
                <c:pt idx="13">
                  <c:v>2197.4</c:v>
                </c:pt>
                <c:pt idx="14">
                  <c:v>2665.3</c:v>
                </c:pt>
                <c:pt idx="15">
                  <c:v>1408.9</c:v>
                </c:pt>
                <c:pt idx="16">
                  <c:v>2788.8</c:v>
                </c:pt>
              </c:numCache>
            </c:numRef>
          </c:val>
        </c:ser>
        <c:ser>
          <c:idx val="0"/>
          <c:order val="1"/>
          <c:tx>
            <c:strRef>
              <c:f>'Te ardhurat 2021'!$C$8</c:f>
              <c:strCache>
                <c:ptCount val="1"/>
                <c:pt idx="0">
                  <c:v>Taksë mbi Biznesin e vogël</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'Te ardhurat 2021'!$D$3:$T$3</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'Te ardhurat 2021'!$D$8:$T$8</c:f>
              <c:numCache>
                <c:formatCode>#,##0</c:formatCode>
                <c:ptCount val="17"/>
                <c:pt idx="0">
                  <c:v>1808.33</c:v>
                </c:pt>
                <c:pt idx="1">
                  <c:v>1348.5329999999999</c:v>
                </c:pt>
                <c:pt idx="2">
                  <c:v>1236.9317900000001</c:v>
                </c:pt>
                <c:pt idx="3">
                  <c:v>1288.5109299999999</c:v>
                </c:pt>
                <c:pt idx="4">
                  <c:v>1421.7955300000001</c:v>
                </c:pt>
                <c:pt idx="5">
                  <c:v>1432.7118500000001</c:v>
                </c:pt>
                <c:pt idx="6">
                  <c:v>1737</c:v>
                </c:pt>
                <c:pt idx="7">
                  <c:v>1103</c:v>
                </c:pt>
                <c:pt idx="8">
                  <c:v>1082</c:v>
                </c:pt>
                <c:pt idx="9">
                  <c:v>612</c:v>
                </c:pt>
                <c:pt idx="10">
                  <c:v>730</c:v>
                </c:pt>
                <c:pt idx="11">
                  <c:v>519</c:v>
                </c:pt>
                <c:pt idx="12">
                  <c:v>220</c:v>
                </c:pt>
                <c:pt idx="13">
                  <c:v>258.36</c:v>
                </c:pt>
                <c:pt idx="14">
                  <c:v>282.3</c:v>
                </c:pt>
                <c:pt idx="15">
                  <c:v>306</c:v>
                </c:pt>
                <c:pt idx="16">
                  <c:v>278.04000000000002</c:v>
                </c:pt>
              </c:numCache>
            </c:numRef>
          </c:val>
        </c:ser>
        <c:ser>
          <c:idx val="1"/>
          <c:order val="2"/>
          <c:tx>
            <c:strRef>
              <c:f>'Te ardhurat 2021'!$C$10</c:f>
              <c:strCache>
                <c:ptCount val="1"/>
                <c:pt idx="0">
                  <c:v>Taksa Lokale</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'Te ardhurat 2021'!$D$3:$T$3</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'Te ardhurat 2021'!$D$10:$T$10</c:f>
              <c:numCache>
                <c:formatCode>#,##0</c:formatCode>
                <c:ptCount val="17"/>
                <c:pt idx="0">
                  <c:v>2574.4749999999995</c:v>
                </c:pt>
                <c:pt idx="1">
                  <c:v>2683.7773100000004</c:v>
                </c:pt>
                <c:pt idx="2">
                  <c:v>3135.2402400000001</c:v>
                </c:pt>
                <c:pt idx="3">
                  <c:v>2949.2167200000004</c:v>
                </c:pt>
                <c:pt idx="4">
                  <c:v>3883.9930899999999</c:v>
                </c:pt>
                <c:pt idx="5">
                  <c:v>3337.3802699999992</c:v>
                </c:pt>
                <c:pt idx="6">
                  <c:v>3576</c:v>
                </c:pt>
                <c:pt idx="7">
                  <c:v>3241</c:v>
                </c:pt>
                <c:pt idx="8">
                  <c:v>2619</c:v>
                </c:pt>
                <c:pt idx="9">
                  <c:v>2905</c:v>
                </c:pt>
                <c:pt idx="10">
                  <c:v>2952</c:v>
                </c:pt>
                <c:pt idx="11">
                  <c:v>3949</c:v>
                </c:pt>
                <c:pt idx="12">
                  <c:v>6586</c:v>
                </c:pt>
                <c:pt idx="13">
                  <c:v>6360.33</c:v>
                </c:pt>
                <c:pt idx="14">
                  <c:v>8401</c:v>
                </c:pt>
                <c:pt idx="15">
                  <c:v>5280</c:v>
                </c:pt>
                <c:pt idx="16">
                  <c:v>7894.2</c:v>
                </c:pt>
              </c:numCache>
            </c:numRef>
          </c:val>
        </c:ser>
        <c:dLbls>
          <c:dLblPos val="outEnd"/>
          <c:showLegendKey val="0"/>
          <c:showVal val="1"/>
          <c:showCatName val="0"/>
          <c:showSerName val="0"/>
          <c:showPercent val="0"/>
          <c:showBubbleSize val="0"/>
        </c:dLbls>
        <c:gapWidth val="150"/>
        <c:axId val="1290943008"/>
        <c:axId val="1290940832"/>
      </c:barChart>
      <c:catAx>
        <c:axId val="1290943008"/>
        <c:scaling>
          <c:orientation val="minMax"/>
        </c:scaling>
        <c:delete val="0"/>
        <c:axPos val="b"/>
        <c:numFmt formatCode="General" sourceLinked="0"/>
        <c:majorTickMark val="out"/>
        <c:minorTickMark val="none"/>
        <c:tickLblPos val="nextTo"/>
        <c:crossAx val="1290940832"/>
        <c:crosses val="autoZero"/>
        <c:auto val="1"/>
        <c:lblAlgn val="ctr"/>
        <c:lblOffset val="100"/>
        <c:noMultiLvlLbl val="0"/>
      </c:catAx>
      <c:valAx>
        <c:axId val="1290940832"/>
        <c:scaling>
          <c:orientation val="minMax"/>
        </c:scaling>
        <c:delete val="0"/>
        <c:axPos val="l"/>
        <c:title>
          <c:tx>
            <c:rich>
              <a:bodyPr rot="-5400000" vert="horz"/>
              <a:lstStyle/>
              <a:p>
                <a:pPr>
                  <a:defRPr/>
                </a:pPr>
                <a:r>
                  <a:rPr lang="en-US"/>
                  <a:t>Në milion leke</a:t>
                </a:r>
              </a:p>
            </c:rich>
          </c:tx>
          <c:layout>
            <c:manualLayout>
              <c:xMode val="edge"/>
              <c:yMode val="edge"/>
              <c:x val="0"/>
              <c:y val="3.6634647375470265E-2"/>
            </c:manualLayout>
          </c:layout>
          <c:overlay val="0"/>
        </c:title>
        <c:numFmt formatCode="#,##0" sourceLinked="1"/>
        <c:majorTickMark val="out"/>
        <c:minorTickMark val="none"/>
        <c:tickLblPos val="nextTo"/>
        <c:crossAx val="1290943008"/>
        <c:crosses val="autoZero"/>
        <c:crossBetween val="between"/>
      </c:valAx>
    </c:plotArea>
    <c:legend>
      <c:legendPos val="r"/>
      <c:layout>
        <c:manualLayout>
          <c:xMode val="edge"/>
          <c:yMode val="edge"/>
          <c:x val="0.13923822902418886"/>
          <c:y val="4.7332394843419154E-2"/>
          <c:w val="0.68684336993087125"/>
          <c:h val="8.8029894568263725E-2"/>
        </c:manualLayout>
      </c:layout>
      <c:overlay val="0"/>
    </c:legend>
    <c:plotVisOnly val="1"/>
    <c:dispBlanksAs val="gap"/>
    <c:showDLblsOverMax val="0"/>
  </c:chart>
  <c:txPr>
    <a:bodyPr/>
    <a:lstStyle/>
    <a:p>
      <a:pPr>
        <a:defRPr sz="800"/>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lgn="l">
              <a:defRPr sz="1050" b="1" i="0" u="none" strike="noStrike" baseline="0">
                <a:solidFill>
                  <a:srgbClr val="000000"/>
                </a:solidFill>
                <a:latin typeface="Calibri"/>
                <a:ea typeface="Calibri"/>
                <a:cs typeface="Calibri"/>
              </a:defRPr>
            </a:pPr>
            <a:r>
              <a:rPr lang="sq-AL" b="1"/>
              <a:t>Të</a:t>
            </a:r>
            <a:r>
              <a:rPr lang="sq-AL" b="1" baseline="0"/>
              <a:t> ardhurat totale nga Pushteti Vendor</a:t>
            </a:r>
            <a:endParaRPr lang="sq-AL" b="1"/>
          </a:p>
        </c:rich>
      </c:tx>
      <c:layout>
        <c:manualLayout>
          <c:xMode val="edge"/>
          <c:yMode val="edge"/>
          <c:x val="0.35344386299538644"/>
          <c:y val="5.5276580993413552E-2"/>
        </c:manualLayout>
      </c:layout>
      <c:overlay val="0"/>
    </c:title>
    <c:autoTitleDeleted val="0"/>
    <c:plotArea>
      <c:layout>
        <c:manualLayout>
          <c:layoutTarget val="inner"/>
          <c:xMode val="edge"/>
          <c:yMode val="edge"/>
          <c:x val="8.6504366119154186E-2"/>
          <c:y val="7.9171474902376859E-2"/>
          <c:w val="0.84970386623962169"/>
          <c:h val="0.58232952013073835"/>
        </c:manualLayout>
      </c:layout>
      <c:barChart>
        <c:barDir val="col"/>
        <c:grouping val="clustered"/>
        <c:varyColors val="0"/>
        <c:ser>
          <c:idx val="1"/>
          <c:order val="0"/>
          <c:tx>
            <c:strRef>
              <c:f>'Te ardhurat 2021'!$C$4</c:f>
              <c:strCache>
                <c:ptCount val="1"/>
                <c:pt idx="0">
                  <c:v>Të ardhurat e Pushtetit Vendor</c:v>
                </c:pt>
              </c:strCache>
            </c:strRef>
          </c:tx>
          <c:spPr>
            <a:solidFill>
              <a:srgbClr val="00B0F0"/>
            </a:solidFill>
            <a:ln>
              <a:solidFill>
                <a:schemeClr val="bg1">
                  <a:lumMod val="65000"/>
                </a:schemeClr>
              </a:solidFill>
            </a:ln>
          </c:spPr>
          <c:invertIfNegative val="0"/>
          <c:dLbls>
            <c:numFmt formatCode="#,##0.0" sourceLinked="0"/>
            <c:spPr>
              <a:noFill/>
              <a:ln>
                <a:noFill/>
              </a:ln>
              <a:effectLst/>
            </c:spPr>
            <c:txPr>
              <a:bodyPr/>
              <a:lstStyle/>
              <a:p>
                <a:pPr>
                  <a:defRPr sz="1000" b="0" i="0" u="none" strike="noStrike" baseline="0">
                    <a:solidFill>
                      <a:srgbClr val="000000"/>
                    </a:solidFill>
                    <a:latin typeface="Calibri"/>
                    <a:ea typeface="Calibri"/>
                    <a:cs typeface="Calibri"/>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2021'!$D$3:$T$3</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'Te ardhurat 2021'!$D$4:$T$4</c:f>
              <c:numCache>
                <c:formatCode>#,##0</c:formatCode>
                <c:ptCount val="17"/>
                <c:pt idx="0">
                  <c:v>4910.491</c:v>
                </c:pt>
                <c:pt idx="1">
                  <c:v>4643.4453100000001</c:v>
                </c:pt>
                <c:pt idx="2">
                  <c:v>4778.0600899999999</c:v>
                </c:pt>
                <c:pt idx="3">
                  <c:v>4858.0396500000006</c:v>
                </c:pt>
                <c:pt idx="4">
                  <c:v>6102.2242399999996</c:v>
                </c:pt>
                <c:pt idx="5">
                  <c:v>5755.2141199999987</c:v>
                </c:pt>
                <c:pt idx="6">
                  <c:v>6271</c:v>
                </c:pt>
                <c:pt idx="7">
                  <c:v>5762</c:v>
                </c:pt>
                <c:pt idx="8">
                  <c:v>5047</c:v>
                </c:pt>
                <c:pt idx="9">
                  <c:v>5448</c:v>
                </c:pt>
                <c:pt idx="10">
                  <c:v>5783</c:v>
                </c:pt>
                <c:pt idx="11">
                  <c:v>6784</c:v>
                </c:pt>
                <c:pt idx="12">
                  <c:v>9341</c:v>
                </c:pt>
                <c:pt idx="13">
                  <c:v>8816.09</c:v>
                </c:pt>
                <c:pt idx="14">
                  <c:v>11348.6</c:v>
                </c:pt>
                <c:pt idx="15">
                  <c:v>6994.9</c:v>
                </c:pt>
                <c:pt idx="16">
                  <c:v>10961.04</c:v>
                </c:pt>
              </c:numCache>
            </c:numRef>
          </c:val>
        </c:ser>
        <c:dLbls>
          <c:showLegendKey val="0"/>
          <c:showVal val="0"/>
          <c:showCatName val="0"/>
          <c:showSerName val="0"/>
          <c:showPercent val="0"/>
          <c:showBubbleSize val="0"/>
        </c:dLbls>
        <c:gapWidth val="40"/>
        <c:axId val="1290943552"/>
        <c:axId val="1182671984"/>
      </c:barChart>
      <c:lineChart>
        <c:grouping val="standard"/>
        <c:varyColors val="0"/>
        <c:ser>
          <c:idx val="0"/>
          <c:order val="1"/>
          <c:tx>
            <c:strRef>
              <c:f>'Te ardhurat 2021'!$C$5</c:f>
              <c:strCache>
                <c:ptCount val="1"/>
                <c:pt idx="0">
                  <c:v>Ritmi i rritjes</c:v>
                </c:pt>
              </c:strCache>
            </c:strRef>
          </c:tx>
          <c:marker>
            <c:symbol val="none"/>
          </c:marker>
          <c:dLbls>
            <c:dLbl>
              <c:idx val="1"/>
              <c:layout>
                <c:manualLayout>
                  <c:x val="-6.1617012159194386E-2"/>
                  <c:y val="-7.749250444817992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0" i="0" u="none" strike="noStrike" baseline="0">
                    <a:solidFill>
                      <a:srgbClr val="000000"/>
                    </a:solidFill>
                    <a:latin typeface="Calibri"/>
                    <a:ea typeface="Calibri"/>
                    <a:cs typeface="Calibri"/>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2021'!$D$3:$T$3</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'Te ardhurat 2021'!$D$5:$T$5</c:f>
              <c:numCache>
                <c:formatCode>0%</c:formatCode>
                <c:ptCount val="17"/>
                <c:pt idx="0">
                  <c:v>9.4E-2</c:v>
                </c:pt>
                <c:pt idx="1">
                  <c:v>-5.4382685967655761E-2</c:v>
                </c:pt>
                <c:pt idx="2">
                  <c:v>2.8990280064265444E-2</c:v>
                </c:pt>
                <c:pt idx="3">
                  <c:v>1.6738918827619992E-2</c:v>
                </c:pt>
                <c:pt idx="4">
                  <c:v>0.25610836461575581</c:v>
                </c:pt>
                <c:pt idx="5">
                  <c:v>-5.6866169834493142E-2</c:v>
                </c:pt>
                <c:pt idx="6">
                  <c:v>8.9620623880454581E-2</c:v>
                </c:pt>
                <c:pt idx="7">
                  <c:v>-8.1167277946101096E-2</c:v>
                </c:pt>
                <c:pt idx="8">
                  <c:v>-0.12408885803540437</c:v>
                </c:pt>
                <c:pt idx="9">
                  <c:v>7.945314047949277E-2</c:v>
                </c:pt>
                <c:pt idx="10">
                  <c:v>6.1490455212922172E-2</c:v>
                </c:pt>
                <c:pt idx="11">
                  <c:v>0.17309355006052221</c:v>
                </c:pt>
                <c:pt idx="12">
                  <c:v>0.37691627358490565</c:v>
                </c:pt>
                <c:pt idx="13">
                  <c:v>-5.6194197623380779E-2</c:v>
                </c:pt>
                <c:pt idx="14">
                  <c:v>0.28725999848005185</c:v>
                </c:pt>
                <c:pt idx="15">
                  <c:v>-0.38363322348131051</c:v>
                </c:pt>
                <c:pt idx="16">
                  <c:v>0.56700453187322208</c:v>
                </c:pt>
              </c:numCache>
            </c:numRef>
          </c:val>
          <c:smooth val="1"/>
        </c:ser>
        <c:dLbls>
          <c:showLegendKey val="0"/>
          <c:showVal val="0"/>
          <c:showCatName val="0"/>
          <c:showSerName val="0"/>
          <c:showPercent val="0"/>
          <c:showBubbleSize val="0"/>
        </c:dLbls>
        <c:marker val="1"/>
        <c:smooth val="0"/>
        <c:axId val="1182672528"/>
        <c:axId val="1182674160"/>
      </c:lineChart>
      <c:catAx>
        <c:axId val="1290943552"/>
        <c:scaling>
          <c:orientation val="minMax"/>
        </c:scaling>
        <c:delete val="0"/>
        <c:axPos val="b"/>
        <c:numFmt formatCode="General" sourceLinked="1"/>
        <c:majorTickMark val="cross"/>
        <c:minorTickMark val="none"/>
        <c:tickLblPos val="nextTo"/>
        <c:txPr>
          <a:bodyPr rot="-2700000" vert="horz"/>
          <a:lstStyle/>
          <a:p>
            <a:pPr>
              <a:defRPr sz="800" b="0" i="0" u="none" strike="noStrike" baseline="0">
                <a:solidFill>
                  <a:sysClr val="windowText" lastClr="000000"/>
                </a:solidFill>
                <a:latin typeface="Calibri"/>
                <a:ea typeface="Calibri"/>
                <a:cs typeface="Calibri"/>
              </a:defRPr>
            </a:pPr>
            <a:endParaRPr lang="en-US"/>
          </a:p>
        </c:txPr>
        <c:crossAx val="1182671984"/>
        <c:crosses val="autoZero"/>
        <c:auto val="0"/>
        <c:lblAlgn val="ctr"/>
        <c:lblOffset val="100"/>
        <c:tickLblSkip val="1"/>
        <c:tickMarkSkip val="1"/>
        <c:noMultiLvlLbl val="0"/>
      </c:catAx>
      <c:valAx>
        <c:axId val="1182671984"/>
        <c:scaling>
          <c:orientation val="minMax"/>
        </c:scaling>
        <c:delete val="0"/>
        <c:axPos val="l"/>
        <c:title>
          <c:tx>
            <c:rich>
              <a:bodyPr/>
              <a:lstStyle/>
              <a:p>
                <a:pPr>
                  <a:defRPr sz="1000" b="0" i="0" u="none" strike="noStrike" baseline="0">
                    <a:solidFill>
                      <a:srgbClr val="000000"/>
                    </a:solidFill>
                    <a:latin typeface="Calibri"/>
                    <a:ea typeface="Calibri"/>
                    <a:cs typeface="Calibri"/>
                  </a:defRPr>
                </a:pPr>
                <a:r>
                  <a:rPr lang="sq-AL" b="0"/>
                  <a:t>Në miliardë</a:t>
                </a:r>
              </a:p>
            </c:rich>
          </c:tx>
          <c:layout>
            <c:manualLayout>
              <c:xMode val="edge"/>
              <c:yMode val="edge"/>
              <c:x val="1.7895028848451903E-3"/>
              <c:y val="4.6417135184800326E-2"/>
            </c:manualLayout>
          </c:layout>
          <c:overlay val="0"/>
        </c:title>
        <c:numFmt formatCode="#,##0.0" sourceLinked="0"/>
        <c:majorTickMark val="cross"/>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290943552"/>
        <c:crosses val="autoZero"/>
        <c:crossBetween val="between"/>
        <c:dispUnits>
          <c:builtInUnit val="thousands"/>
        </c:dispUnits>
      </c:valAx>
      <c:catAx>
        <c:axId val="1182672528"/>
        <c:scaling>
          <c:orientation val="minMax"/>
        </c:scaling>
        <c:delete val="1"/>
        <c:axPos val="b"/>
        <c:numFmt formatCode="General" sourceLinked="1"/>
        <c:majorTickMark val="out"/>
        <c:minorTickMark val="none"/>
        <c:tickLblPos val="nextTo"/>
        <c:crossAx val="1182674160"/>
        <c:crosses val="autoZero"/>
        <c:auto val="0"/>
        <c:lblAlgn val="ctr"/>
        <c:lblOffset val="100"/>
        <c:noMultiLvlLbl val="0"/>
      </c:catAx>
      <c:valAx>
        <c:axId val="1182674160"/>
        <c:scaling>
          <c:orientation val="minMax"/>
        </c:scaling>
        <c:delete val="0"/>
        <c:axPos val="r"/>
        <c:numFmt formatCode="0%" sourceLinked="0"/>
        <c:majorTickMark val="cross"/>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182672528"/>
        <c:crosses val="max"/>
        <c:crossBetween val="between"/>
      </c:valAx>
      <c:spPr>
        <a:solidFill>
          <a:sysClr val="window" lastClr="FFFFFF"/>
        </a:solidFill>
      </c:spPr>
    </c:plotArea>
    <c:legend>
      <c:legendPos val="b"/>
      <c:layout>
        <c:manualLayout>
          <c:xMode val="edge"/>
          <c:yMode val="edge"/>
          <c:x val="0.13011542035506432"/>
          <c:y val="0.8858366760758678"/>
          <c:w val="0.70631528201831917"/>
          <c:h val="9.0301689816862818E-2"/>
        </c:manualLayout>
      </c:layout>
      <c:overlay val="0"/>
      <c:txPr>
        <a:bodyPr/>
        <a:lstStyle/>
        <a:p>
          <a:pPr>
            <a:defRPr sz="920" b="1"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lgn="l">
              <a:defRPr/>
            </a:pPr>
            <a:r>
              <a:rPr lang="sq-AL"/>
              <a:t>Të ardhurat nga taksa mbi pasurinë</a:t>
            </a:r>
          </a:p>
        </c:rich>
      </c:tx>
      <c:layout>
        <c:manualLayout>
          <c:xMode val="edge"/>
          <c:yMode val="edge"/>
          <c:x val="0.29588904647788594"/>
          <c:y val="3.7083649062695616E-2"/>
        </c:manualLayout>
      </c:layout>
      <c:overlay val="0"/>
    </c:title>
    <c:autoTitleDeleted val="0"/>
    <c:plotArea>
      <c:layout>
        <c:manualLayout>
          <c:layoutTarget val="inner"/>
          <c:xMode val="edge"/>
          <c:yMode val="edge"/>
          <c:x val="7.2240589491530935E-2"/>
          <c:y val="9.8178498438683315E-2"/>
          <c:w val="0.85281981806860807"/>
          <c:h val="0.62810826512298612"/>
        </c:manualLayout>
      </c:layout>
      <c:barChart>
        <c:barDir val="col"/>
        <c:grouping val="clustered"/>
        <c:varyColors val="0"/>
        <c:ser>
          <c:idx val="1"/>
          <c:order val="0"/>
          <c:tx>
            <c:strRef>
              <c:f>'Te ardhurat 2021'!$C$6</c:f>
              <c:strCache>
                <c:ptCount val="1"/>
                <c:pt idx="0">
                  <c:v>Taksë mbi Pasurinë (ndërtesat)</c:v>
                </c:pt>
              </c:strCache>
            </c:strRef>
          </c:tx>
          <c:spPr>
            <a:solidFill>
              <a:srgbClr val="00B0F0"/>
            </a:solidFill>
            <a:ln>
              <a:solidFill>
                <a:schemeClr val="bg1">
                  <a:lumMod val="65000"/>
                </a:schemeClr>
              </a:solid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2021'!$D$3:$T$3</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'Te ardhurat 2021'!$D$6:$T$6</c:f>
              <c:numCache>
                <c:formatCode>#,##0</c:formatCode>
                <c:ptCount val="17"/>
                <c:pt idx="0">
                  <c:v>527.68600000000004</c:v>
                </c:pt>
                <c:pt idx="1">
                  <c:v>611.13499999999999</c:v>
                </c:pt>
                <c:pt idx="2">
                  <c:v>405.88806</c:v>
                </c:pt>
                <c:pt idx="3">
                  <c:v>620.31200000000001</c:v>
                </c:pt>
                <c:pt idx="4">
                  <c:v>796.43562000000009</c:v>
                </c:pt>
                <c:pt idx="5">
                  <c:v>985.12200000000007</c:v>
                </c:pt>
                <c:pt idx="6">
                  <c:v>958</c:v>
                </c:pt>
                <c:pt idx="7">
                  <c:v>1418</c:v>
                </c:pt>
                <c:pt idx="8">
                  <c:v>1346</c:v>
                </c:pt>
                <c:pt idx="9">
                  <c:v>1931</c:v>
                </c:pt>
                <c:pt idx="10">
                  <c:v>2101</c:v>
                </c:pt>
                <c:pt idx="11">
                  <c:v>2316</c:v>
                </c:pt>
                <c:pt idx="12">
                  <c:v>2535</c:v>
                </c:pt>
                <c:pt idx="13">
                  <c:v>2197.4</c:v>
                </c:pt>
                <c:pt idx="14">
                  <c:v>2665.3</c:v>
                </c:pt>
                <c:pt idx="15">
                  <c:v>1408.9</c:v>
                </c:pt>
                <c:pt idx="16">
                  <c:v>2788.8</c:v>
                </c:pt>
              </c:numCache>
            </c:numRef>
          </c:val>
        </c:ser>
        <c:dLbls>
          <c:showLegendKey val="0"/>
          <c:showVal val="0"/>
          <c:showCatName val="0"/>
          <c:showSerName val="0"/>
          <c:showPercent val="0"/>
          <c:showBubbleSize val="0"/>
        </c:dLbls>
        <c:gapWidth val="40"/>
        <c:axId val="1278319648"/>
        <c:axId val="1278322368"/>
      </c:barChart>
      <c:lineChart>
        <c:grouping val="standard"/>
        <c:varyColors val="0"/>
        <c:ser>
          <c:idx val="0"/>
          <c:order val="1"/>
          <c:tx>
            <c:strRef>
              <c:f>'Te ardhurat 2021'!$C$7</c:f>
              <c:strCache>
                <c:ptCount val="1"/>
                <c:pt idx="0">
                  <c:v>Ritmi i rritjes</c:v>
                </c:pt>
              </c:strCache>
            </c:strRef>
          </c:tx>
          <c:marker>
            <c:symbol val="none"/>
          </c:marker>
          <c:dLbls>
            <c:dLbl>
              <c:idx val="0"/>
              <c:layout>
                <c:manualLayout>
                  <c:x val="-3.3047726177085006E-2"/>
                  <c:y val="-6.087117159135595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delete val="1"/>
              <c:extLst>
                <c:ext xmlns:c15="http://schemas.microsoft.com/office/drawing/2012/chart" uri="{CE6537A1-D6FC-4f65-9D91-7224C49458BB}"/>
              </c:extLst>
            </c:dLbl>
            <c:dLbl>
              <c:idx val="5"/>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2021'!$D$3:$T$3</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'Te ardhurat 2021'!$D$7:$T$7</c:f>
              <c:numCache>
                <c:formatCode>0%</c:formatCode>
                <c:ptCount val="17"/>
                <c:pt idx="0">
                  <c:v>9.9000000000000005E-2</c:v>
                </c:pt>
                <c:pt idx="1">
                  <c:v>0.15814139469305599</c:v>
                </c:pt>
                <c:pt idx="2">
                  <c:v>-0.33584550058497714</c:v>
                </c:pt>
                <c:pt idx="3">
                  <c:v>0.52828343854214388</c:v>
                </c:pt>
                <c:pt idx="4">
                  <c:v>0.28392747520602546</c:v>
                </c:pt>
                <c:pt idx="5">
                  <c:v>0.23691353734279233</c:v>
                </c:pt>
                <c:pt idx="6">
                  <c:v>-2.7531615373527409E-2</c:v>
                </c:pt>
                <c:pt idx="7">
                  <c:v>0.4801670146137787</c:v>
                </c:pt>
                <c:pt idx="8">
                  <c:v>-5.0775740479548657E-2</c:v>
                </c:pt>
                <c:pt idx="9">
                  <c:v>0.43462109955423478</c:v>
                </c:pt>
                <c:pt idx="10">
                  <c:v>8.8037286380113933E-2</c:v>
                </c:pt>
                <c:pt idx="11">
                  <c:v>0.10233222275107091</c:v>
                </c:pt>
                <c:pt idx="12">
                  <c:v>9.4559585492227982E-2</c:v>
                </c:pt>
                <c:pt idx="13">
                  <c:v>-0.1331755424063116</c:v>
                </c:pt>
                <c:pt idx="14">
                  <c:v>0.2129334668244289</c:v>
                </c:pt>
                <c:pt idx="15">
                  <c:v>-0.47139158818894683</c:v>
                </c:pt>
                <c:pt idx="16">
                  <c:v>0.97941656611540917</c:v>
                </c:pt>
              </c:numCache>
            </c:numRef>
          </c:val>
          <c:smooth val="1"/>
        </c:ser>
        <c:dLbls>
          <c:showLegendKey val="0"/>
          <c:showVal val="0"/>
          <c:showCatName val="0"/>
          <c:showSerName val="0"/>
          <c:showPercent val="0"/>
          <c:showBubbleSize val="0"/>
        </c:dLbls>
        <c:marker val="1"/>
        <c:smooth val="0"/>
        <c:axId val="1278322912"/>
        <c:axId val="1278321280"/>
      </c:lineChart>
      <c:catAx>
        <c:axId val="1278319648"/>
        <c:scaling>
          <c:orientation val="minMax"/>
        </c:scaling>
        <c:delete val="0"/>
        <c:axPos val="b"/>
        <c:numFmt formatCode="General" sourceLinked="1"/>
        <c:majorTickMark val="cross"/>
        <c:minorTickMark val="none"/>
        <c:tickLblPos val="nextTo"/>
        <c:txPr>
          <a:bodyPr rot="-2700000" vert="horz"/>
          <a:lstStyle/>
          <a:p>
            <a:pPr>
              <a:defRPr/>
            </a:pPr>
            <a:endParaRPr lang="en-US"/>
          </a:p>
        </c:txPr>
        <c:crossAx val="1278322368"/>
        <c:crosses val="autoZero"/>
        <c:auto val="0"/>
        <c:lblAlgn val="ctr"/>
        <c:lblOffset val="100"/>
        <c:tickLblSkip val="1"/>
        <c:tickMarkSkip val="1"/>
        <c:noMultiLvlLbl val="0"/>
      </c:catAx>
      <c:valAx>
        <c:axId val="1278322368"/>
        <c:scaling>
          <c:orientation val="minMax"/>
        </c:scaling>
        <c:delete val="0"/>
        <c:axPos val="l"/>
        <c:title>
          <c:tx>
            <c:rich>
              <a:bodyPr/>
              <a:lstStyle/>
              <a:p>
                <a:pPr>
                  <a:defRPr/>
                </a:pPr>
                <a:r>
                  <a:rPr lang="sq-AL"/>
                  <a:t>Në miliardë</a:t>
                </a:r>
              </a:p>
            </c:rich>
          </c:tx>
          <c:layout>
            <c:manualLayout>
              <c:xMode val="edge"/>
              <c:yMode val="edge"/>
              <c:x val="1.6537063301869876E-3"/>
              <c:y val="0.11229686247378075"/>
            </c:manualLayout>
          </c:layout>
          <c:overlay val="0"/>
        </c:title>
        <c:numFmt formatCode="#,##0.0" sourceLinked="0"/>
        <c:majorTickMark val="cross"/>
        <c:minorTickMark val="none"/>
        <c:tickLblPos val="nextTo"/>
        <c:txPr>
          <a:bodyPr rot="0" vert="horz"/>
          <a:lstStyle/>
          <a:p>
            <a:pPr>
              <a:defRPr/>
            </a:pPr>
            <a:endParaRPr lang="en-US"/>
          </a:p>
        </c:txPr>
        <c:crossAx val="1278319648"/>
        <c:crosses val="autoZero"/>
        <c:crossBetween val="between"/>
        <c:dispUnits>
          <c:builtInUnit val="thousands"/>
        </c:dispUnits>
      </c:valAx>
      <c:valAx>
        <c:axId val="1278321280"/>
        <c:scaling>
          <c:orientation val="minMax"/>
        </c:scaling>
        <c:delete val="0"/>
        <c:axPos val="r"/>
        <c:numFmt formatCode="0%" sourceLinked="1"/>
        <c:majorTickMark val="out"/>
        <c:minorTickMark val="none"/>
        <c:tickLblPos val="nextTo"/>
        <c:crossAx val="1278322912"/>
        <c:crosses val="max"/>
        <c:crossBetween val="between"/>
      </c:valAx>
      <c:catAx>
        <c:axId val="1278322912"/>
        <c:scaling>
          <c:orientation val="minMax"/>
        </c:scaling>
        <c:delete val="1"/>
        <c:axPos val="b"/>
        <c:numFmt formatCode="General" sourceLinked="1"/>
        <c:majorTickMark val="out"/>
        <c:minorTickMark val="none"/>
        <c:tickLblPos val="nextTo"/>
        <c:crossAx val="1278321280"/>
        <c:crosses val="autoZero"/>
        <c:auto val="0"/>
        <c:lblAlgn val="ctr"/>
        <c:lblOffset val="100"/>
        <c:noMultiLvlLbl val="0"/>
      </c:catAx>
      <c:spPr>
        <a:solidFill>
          <a:sysClr val="window" lastClr="FFFFFF"/>
        </a:solidFill>
      </c:spPr>
    </c:plotArea>
    <c:legend>
      <c:legendPos val="b"/>
      <c:layout>
        <c:manualLayout>
          <c:xMode val="edge"/>
          <c:yMode val="edge"/>
          <c:x val="0.10257511289349701"/>
          <c:y val="0.90918721225420596"/>
          <c:w val="0.79066902351491775"/>
          <c:h val="9.0301689816862818E-2"/>
        </c:manualLayout>
      </c:layout>
      <c:overlay val="0"/>
    </c:legend>
    <c:plotVisOnly val="1"/>
    <c:dispBlanksAs val="gap"/>
    <c:showDLblsOverMax val="0"/>
  </c:chart>
  <c:txPr>
    <a:bodyPr/>
    <a:lstStyle/>
    <a:p>
      <a:pPr>
        <a:defRPr sz="8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lgn="l">
              <a:defRPr/>
            </a:pPr>
            <a:r>
              <a:rPr lang="sq-AL"/>
              <a:t>Të ardhurat nga taksa mbi Biznesin e Vogël</a:t>
            </a:r>
          </a:p>
        </c:rich>
      </c:tx>
      <c:layout>
        <c:manualLayout>
          <c:xMode val="edge"/>
          <c:yMode val="edge"/>
          <c:x val="0.31971970793370458"/>
          <c:y val="5.3663419191245162E-3"/>
        </c:manualLayout>
      </c:layout>
      <c:overlay val="0"/>
    </c:title>
    <c:autoTitleDeleted val="0"/>
    <c:plotArea>
      <c:layout>
        <c:manualLayout>
          <c:layoutTarget val="inner"/>
          <c:xMode val="edge"/>
          <c:yMode val="edge"/>
          <c:x val="7.2945110833108479E-2"/>
          <c:y val="7.9720628141821251E-2"/>
          <c:w val="0.85944785265581092"/>
          <c:h val="0.61769607696376372"/>
        </c:manualLayout>
      </c:layout>
      <c:barChart>
        <c:barDir val="col"/>
        <c:grouping val="clustered"/>
        <c:varyColors val="0"/>
        <c:ser>
          <c:idx val="1"/>
          <c:order val="0"/>
          <c:tx>
            <c:strRef>
              <c:f>'Te ardhurat 2021'!$C$8</c:f>
              <c:strCache>
                <c:ptCount val="1"/>
                <c:pt idx="0">
                  <c:v>Taksë mbi Biznesin e vogël</c:v>
                </c:pt>
              </c:strCache>
            </c:strRef>
          </c:tx>
          <c:spPr>
            <a:solidFill>
              <a:srgbClr val="00B0F0"/>
            </a:solidFill>
            <a:ln>
              <a:solidFill>
                <a:schemeClr val="bg1">
                  <a:lumMod val="65000"/>
                </a:schemeClr>
              </a:solid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2021'!$D$3:$T$3</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'Te ardhurat 2021'!$D$8:$T$8</c:f>
              <c:numCache>
                <c:formatCode>#,##0</c:formatCode>
                <c:ptCount val="17"/>
                <c:pt idx="0">
                  <c:v>1808.33</c:v>
                </c:pt>
                <c:pt idx="1">
                  <c:v>1348.5329999999999</c:v>
                </c:pt>
                <c:pt idx="2">
                  <c:v>1236.9317900000001</c:v>
                </c:pt>
                <c:pt idx="3">
                  <c:v>1288.5109299999999</c:v>
                </c:pt>
                <c:pt idx="4">
                  <c:v>1421.7955300000001</c:v>
                </c:pt>
                <c:pt idx="5">
                  <c:v>1432.7118500000001</c:v>
                </c:pt>
                <c:pt idx="6">
                  <c:v>1737</c:v>
                </c:pt>
                <c:pt idx="7">
                  <c:v>1103</c:v>
                </c:pt>
                <c:pt idx="8">
                  <c:v>1082</c:v>
                </c:pt>
                <c:pt idx="9">
                  <c:v>612</c:v>
                </c:pt>
                <c:pt idx="10">
                  <c:v>730</c:v>
                </c:pt>
                <c:pt idx="11">
                  <c:v>519</c:v>
                </c:pt>
                <c:pt idx="12">
                  <c:v>220</c:v>
                </c:pt>
                <c:pt idx="13">
                  <c:v>258.36</c:v>
                </c:pt>
                <c:pt idx="14">
                  <c:v>282.3</c:v>
                </c:pt>
                <c:pt idx="15">
                  <c:v>306</c:v>
                </c:pt>
                <c:pt idx="16">
                  <c:v>278.04000000000002</c:v>
                </c:pt>
              </c:numCache>
            </c:numRef>
          </c:val>
        </c:ser>
        <c:dLbls>
          <c:showLegendKey val="0"/>
          <c:showVal val="0"/>
          <c:showCatName val="0"/>
          <c:showSerName val="0"/>
          <c:showPercent val="0"/>
          <c:showBubbleSize val="0"/>
        </c:dLbls>
        <c:gapWidth val="40"/>
        <c:axId val="1278309312"/>
        <c:axId val="1278312032"/>
      </c:barChart>
      <c:lineChart>
        <c:grouping val="standard"/>
        <c:varyColors val="0"/>
        <c:ser>
          <c:idx val="0"/>
          <c:order val="1"/>
          <c:tx>
            <c:strRef>
              <c:f>'Te ardhurat 2021'!$C$9</c:f>
              <c:strCache>
                <c:ptCount val="1"/>
                <c:pt idx="0">
                  <c:v>Ritmi i rritjes</c:v>
                </c:pt>
              </c:strCache>
            </c:strRef>
          </c:tx>
          <c:marker>
            <c:symbol val="none"/>
          </c:marker>
          <c:dLbls>
            <c:dLbl>
              <c:idx val="1"/>
              <c:layout>
                <c:manualLayout>
                  <c:x val="-6.5482538981692706E-2"/>
                  <c:y val="-0.17984340940433291"/>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2021'!$D$3:$T$3</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'Te ardhurat 2021'!$D$9:$T$9</c:f>
              <c:numCache>
                <c:formatCode>0%</c:formatCode>
                <c:ptCount val="17"/>
                <c:pt idx="0">
                  <c:v>-0.28000000000000003</c:v>
                </c:pt>
                <c:pt idx="1">
                  <c:v>-0.25426609081307067</c:v>
                </c:pt>
                <c:pt idx="2">
                  <c:v>-8.2757492771774827E-2</c:v>
                </c:pt>
                <c:pt idx="3">
                  <c:v>4.1699259746570037E-2</c:v>
                </c:pt>
                <c:pt idx="4">
                  <c:v>0.10344079890730938</c:v>
                </c:pt>
                <c:pt idx="5">
                  <c:v>7.6778409902583111E-3</c:v>
                </c:pt>
                <c:pt idx="6">
                  <c:v>0.21238614729123642</c:v>
                </c:pt>
                <c:pt idx="7">
                  <c:v>-0.36499712147380542</c:v>
                </c:pt>
                <c:pt idx="8">
                  <c:v>-1.9038984587488667E-2</c:v>
                </c:pt>
                <c:pt idx="9">
                  <c:v>-0.43438077634011091</c:v>
                </c:pt>
                <c:pt idx="10">
                  <c:v>0.19281045751633988</c:v>
                </c:pt>
                <c:pt idx="11">
                  <c:v>-0.28904109589041094</c:v>
                </c:pt>
                <c:pt idx="12">
                  <c:v>-0.5761078998073218</c:v>
                </c:pt>
                <c:pt idx="13">
                  <c:v>0.17436363636363642</c:v>
                </c:pt>
                <c:pt idx="14">
                  <c:v>9.2661402693915457E-2</c:v>
                </c:pt>
                <c:pt idx="15">
                  <c:v>8.3953241232731096E-2</c:v>
                </c:pt>
                <c:pt idx="16">
                  <c:v>-9.1372549019607771E-2</c:v>
                </c:pt>
              </c:numCache>
            </c:numRef>
          </c:val>
          <c:smooth val="1"/>
        </c:ser>
        <c:dLbls>
          <c:showLegendKey val="0"/>
          <c:showVal val="0"/>
          <c:showCatName val="0"/>
          <c:showSerName val="0"/>
          <c:showPercent val="0"/>
          <c:showBubbleSize val="0"/>
        </c:dLbls>
        <c:marker val="1"/>
        <c:smooth val="0"/>
        <c:axId val="1278329984"/>
        <c:axId val="1278330528"/>
      </c:lineChart>
      <c:catAx>
        <c:axId val="1278309312"/>
        <c:scaling>
          <c:orientation val="minMax"/>
        </c:scaling>
        <c:delete val="0"/>
        <c:axPos val="b"/>
        <c:numFmt formatCode="General" sourceLinked="1"/>
        <c:majorTickMark val="cross"/>
        <c:minorTickMark val="none"/>
        <c:tickLblPos val="nextTo"/>
        <c:txPr>
          <a:bodyPr rot="-2700000" vert="horz"/>
          <a:lstStyle/>
          <a:p>
            <a:pPr>
              <a:defRPr/>
            </a:pPr>
            <a:endParaRPr lang="en-US"/>
          </a:p>
        </c:txPr>
        <c:crossAx val="1278312032"/>
        <c:crosses val="autoZero"/>
        <c:auto val="0"/>
        <c:lblAlgn val="ctr"/>
        <c:lblOffset val="100"/>
        <c:tickLblSkip val="1"/>
        <c:tickMarkSkip val="1"/>
        <c:noMultiLvlLbl val="0"/>
      </c:catAx>
      <c:valAx>
        <c:axId val="1278312032"/>
        <c:scaling>
          <c:orientation val="minMax"/>
        </c:scaling>
        <c:delete val="0"/>
        <c:axPos val="l"/>
        <c:title>
          <c:tx>
            <c:rich>
              <a:bodyPr/>
              <a:lstStyle/>
              <a:p>
                <a:pPr>
                  <a:defRPr/>
                </a:pPr>
                <a:r>
                  <a:rPr lang="sq-AL"/>
                  <a:t>Në miliardë</a:t>
                </a:r>
              </a:p>
            </c:rich>
          </c:tx>
          <c:layout>
            <c:manualLayout>
              <c:xMode val="edge"/>
              <c:yMode val="edge"/>
              <c:x val="1.5351757500900623E-3"/>
              <c:y val="7.6179971885536782E-2"/>
            </c:manualLayout>
          </c:layout>
          <c:overlay val="0"/>
        </c:title>
        <c:numFmt formatCode="#,##0.0" sourceLinked="0"/>
        <c:majorTickMark val="cross"/>
        <c:minorTickMark val="none"/>
        <c:tickLblPos val="nextTo"/>
        <c:txPr>
          <a:bodyPr rot="0" vert="horz"/>
          <a:lstStyle/>
          <a:p>
            <a:pPr>
              <a:defRPr/>
            </a:pPr>
            <a:endParaRPr lang="en-US"/>
          </a:p>
        </c:txPr>
        <c:crossAx val="1278309312"/>
        <c:crosses val="autoZero"/>
        <c:crossBetween val="between"/>
        <c:dispUnits>
          <c:builtInUnit val="thousands"/>
        </c:dispUnits>
      </c:valAx>
      <c:catAx>
        <c:axId val="1278329984"/>
        <c:scaling>
          <c:orientation val="minMax"/>
        </c:scaling>
        <c:delete val="1"/>
        <c:axPos val="b"/>
        <c:numFmt formatCode="General" sourceLinked="1"/>
        <c:majorTickMark val="out"/>
        <c:minorTickMark val="none"/>
        <c:tickLblPos val="nextTo"/>
        <c:crossAx val="1278330528"/>
        <c:crosses val="autoZero"/>
        <c:auto val="0"/>
        <c:lblAlgn val="ctr"/>
        <c:lblOffset val="100"/>
        <c:noMultiLvlLbl val="0"/>
      </c:catAx>
      <c:valAx>
        <c:axId val="1278330528"/>
        <c:scaling>
          <c:orientation val="minMax"/>
        </c:scaling>
        <c:delete val="0"/>
        <c:axPos val="r"/>
        <c:numFmt formatCode="0%" sourceLinked="0"/>
        <c:majorTickMark val="cross"/>
        <c:minorTickMark val="none"/>
        <c:tickLblPos val="nextTo"/>
        <c:txPr>
          <a:bodyPr rot="0" vert="horz"/>
          <a:lstStyle/>
          <a:p>
            <a:pPr>
              <a:defRPr/>
            </a:pPr>
            <a:endParaRPr lang="en-US"/>
          </a:p>
        </c:txPr>
        <c:crossAx val="1278329984"/>
        <c:crosses val="max"/>
        <c:crossBetween val="between"/>
      </c:valAx>
      <c:spPr>
        <a:solidFill>
          <a:sysClr val="window" lastClr="FFFFFF"/>
        </a:solidFill>
      </c:spPr>
    </c:plotArea>
    <c:legend>
      <c:legendPos val="b"/>
      <c:layout>
        <c:manualLayout>
          <c:xMode val="edge"/>
          <c:yMode val="edge"/>
          <c:x val="0.21293118867273128"/>
          <c:y val="0.90969831018313718"/>
          <c:w val="0.54032888746049612"/>
          <c:h val="9.0301689816862818E-2"/>
        </c:manualLayout>
      </c:layout>
      <c:overlay val="0"/>
    </c:legend>
    <c:plotVisOnly val="1"/>
    <c:dispBlanksAs val="gap"/>
    <c:showDLblsOverMax val="0"/>
  </c:chart>
  <c:txPr>
    <a:bodyPr/>
    <a:lstStyle/>
    <a:p>
      <a:pPr>
        <a:defRPr sz="8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title>
      <c:tx>
        <c:rich>
          <a:bodyPr/>
          <a:lstStyle/>
          <a:p>
            <a:pPr algn="l">
              <a:defRPr/>
            </a:pPr>
            <a:r>
              <a:rPr lang="sq-AL"/>
              <a:t>Të ardhurat nga Taksa Lokale</a:t>
            </a:r>
          </a:p>
        </c:rich>
      </c:tx>
      <c:layout>
        <c:manualLayout>
          <c:xMode val="edge"/>
          <c:yMode val="edge"/>
          <c:x val="0.31401716890651826"/>
          <c:y val="1.3867931780493965E-3"/>
        </c:manualLayout>
      </c:layout>
      <c:overlay val="0"/>
    </c:title>
    <c:autoTitleDeleted val="0"/>
    <c:plotArea>
      <c:layout>
        <c:manualLayout>
          <c:layoutTarget val="inner"/>
          <c:xMode val="edge"/>
          <c:yMode val="edge"/>
          <c:x val="8.6952657233635267E-2"/>
          <c:y val="9.115891894266355E-2"/>
          <c:w val="0.84919941032899826"/>
          <c:h val="0.61774629635730682"/>
        </c:manualLayout>
      </c:layout>
      <c:barChart>
        <c:barDir val="col"/>
        <c:grouping val="clustered"/>
        <c:varyColors val="0"/>
        <c:ser>
          <c:idx val="1"/>
          <c:order val="0"/>
          <c:tx>
            <c:strRef>
              <c:f>'Te ardhurat 2021'!$C$10</c:f>
              <c:strCache>
                <c:ptCount val="1"/>
                <c:pt idx="0">
                  <c:v>Taksa Lokale</c:v>
                </c:pt>
              </c:strCache>
            </c:strRef>
          </c:tx>
          <c:spPr>
            <a:solidFill>
              <a:srgbClr val="00B0F0"/>
            </a:solidFill>
            <a:ln>
              <a:solidFill>
                <a:schemeClr val="bg1">
                  <a:lumMod val="65000"/>
                </a:schemeClr>
              </a:solid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2021'!$D$3:$T$3</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'Te ardhurat 2021'!$D$10:$T$10</c:f>
              <c:numCache>
                <c:formatCode>#,##0</c:formatCode>
                <c:ptCount val="17"/>
                <c:pt idx="0">
                  <c:v>2574.4749999999995</c:v>
                </c:pt>
                <c:pt idx="1">
                  <c:v>2683.7773100000004</c:v>
                </c:pt>
                <c:pt idx="2">
                  <c:v>3135.2402400000001</c:v>
                </c:pt>
                <c:pt idx="3">
                  <c:v>2949.2167200000004</c:v>
                </c:pt>
                <c:pt idx="4">
                  <c:v>3883.9930899999999</c:v>
                </c:pt>
                <c:pt idx="5">
                  <c:v>3337.3802699999992</c:v>
                </c:pt>
                <c:pt idx="6">
                  <c:v>3576</c:v>
                </c:pt>
                <c:pt idx="7">
                  <c:v>3241</c:v>
                </c:pt>
                <c:pt idx="8">
                  <c:v>2619</c:v>
                </c:pt>
                <c:pt idx="9">
                  <c:v>2905</c:v>
                </c:pt>
                <c:pt idx="10">
                  <c:v>2952</c:v>
                </c:pt>
                <c:pt idx="11">
                  <c:v>3949</c:v>
                </c:pt>
                <c:pt idx="12">
                  <c:v>6586</c:v>
                </c:pt>
                <c:pt idx="13">
                  <c:v>6360.33</c:v>
                </c:pt>
                <c:pt idx="14">
                  <c:v>8401</c:v>
                </c:pt>
                <c:pt idx="15">
                  <c:v>5280</c:v>
                </c:pt>
                <c:pt idx="16">
                  <c:v>7894.2</c:v>
                </c:pt>
              </c:numCache>
            </c:numRef>
          </c:val>
        </c:ser>
        <c:dLbls>
          <c:showLegendKey val="0"/>
          <c:showVal val="0"/>
          <c:showCatName val="0"/>
          <c:showSerName val="0"/>
          <c:showPercent val="0"/>
          <c:showBubbleSize val="0"/>
        </c:dLbls>
        <c:gapWidth val="40"/>
        <c:axId val="1278312576"/>
        <c:axId val="1278313120"/>
      </c:barChart>
      <c:lineChart>
        <c:grouping val="standard"/>
        <c:varyColors val="0"/>
        <c:ser>
          <c:idx val="0"/>
          <c:order val="1"/>
          <c:tx>
            <c:strRef>
              <c:f>'Te ardhurat 2021'!$C$11</c:f>
              <c:strCache>
                <c:ptCount val="1"/>
                <c:pt idx="0">
                  <c:v>Ritmi i rritjes</c:v>
                </c:pt>
              </c:strCache>
            </c:strRef>
          </c:tx>
          <c:marker>
            <c:symbol val="none"/>
          </c:marker>
          <c:dLbls>
            <c:dLbl>
              <c:idx val="1"/>
              <c:layout>
                <c:manualLayout>
                  <c:x val="-7.794355366438345E-2"/>
                  <c:y val="-7.24989416645499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2021'!$D$3:$T$3</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'Te ardhurat 2021'!$D$11:$T$11</c:f>
              <c:numCache>
                <c:formatCode>0%</c:formatCode>
                <c:ptCount val="17"/>
                <c:pt idx="0">
                  <c:v>0.57199999999999995</c:v>
                </c:pt>
                <c:pt idx="1">
                  <c:v>4.2456155138426654E-2</c:v>
                </c:pt>
                <c:pt idx="2">
                  <c:v>0.16821922158660757</c:v>
                </c:pt>
                <c:pt idx="3">
                  <c:v>-5.9333099143943024E-2</c:v>
                </c:pt>
                <c:pt idx="4">
                  <c:v>0.31695750388937149</c:v>
                </c:pt>
                <c:pt idx="5">
                  <c:v>-0.14073475604458419</c:v>
                </c:pt>
                <c:pt idx="6">
                  <c:v>7.1499113285044033E-2</c:v>
                </c:pt>
                <c:pt idx="7">
                  <c:v>-9.3680089485458612E-2</c:v>
                </c:pt>
                <c:pt idx="8">
                  <c:v>-0.19191607528540575</c:v>
                </c:pt>
                <c:pt idx="9">
                  <c:v>0.10920198549064529</c:v>
                </c:pt>
                <c:pt idx="10">
                  <c:v>1.6179001721170396E-2</c:v>
                </c:pt>
                <c:pt idx="11">
                  <c:v>0.3377371273712737</c:v>
                </c:pt>
                <c:pt idx="12">
                  <c:v>0.66776399088376803</c:v>
                </c:pt>
                <c:pt idx="13">
                  <c:v>-3.4265107804433662E-2</c:v>
                </c:pt>
                <c:pt idx="14">
                  <c:v>0.32084341535737926</c:v>
                </c:pt>
                <c:pt idx="15">
                  <c:v>-0.37150339245327935</c:v>
                </c:pt>
                <c:pt idx="16">
                  <c:v>0.49511363636363631</c:v>
                </c:pt>
              </c:numCache>
            </c:numRef>
          </c:val>
          <c:smooth val="1"/>
        </c:ser>
        <c:dLbls>
          <c:showLegendKey val="0"/>
          <c:showVal val="0"/>
          <c:showCatName val="0"/>
          <c:showSerName val="0"/>
          <c:showPercent val="0"/>
          <c:showBubbleSize val="0"/>
        </c:dLbls>
        <c:marker val="1"/>
        <c:smooth val="0"/>
        <c:axId val="1278324000"/>
        <c:axId val="1278305504"/>
      </c:lineChart>
      <c:catAx>
        <c:axId val="1278312576"/>
        <c:scaling>
          <c:orientation val="minMax"/>
        </c:scaling>
        <c:delete val="0"/>
        <c:axPos val="b"/>
        <c:numFmt formatCode="General" sourceLinked="1"/>
        <c:majorTickMark val="cross"/>
        <c:minorTickMark val="none"/>
        <c:tickLblPos val="nextTo"/>
        <c:txPr>
          <a:bodyPr rot="-2700000" vert="horz"/>
          <a:lstStyle/>
          <a:p>
            <a:pPr>
              <a:defRPr/>
            </a:pPr>
            <a:endParaRPr lang="en-US"/>
          </a:p>
        </c:txPr>
        <c:crossAx val="1278313120"/>
        <c:crosses val="autoZero"/>
        <c:auto val="0"/>
        <c:lblAlgn val="ctr"/>
        <c:lblOffset val="100"/>
        <c:tickLblSkip val="1"/>
        <c:tickMarkSkip val="1"/>
        <c:noMultiLvlLbl val="0"/>
      </c:catAx>
      <c:valAx>
        <c:axId val="1278313120"/>
        <c:scaling>
          <c:orientation val="minMax"/>
        </c:scaling>
        <c:delete val="0"/>
        <c:axPos val="l"/>
        <c:title>
          <c:tx>
            <c:rich>
              <a:bodyPr/>
              <a:lstStyle/>
              <a:p>
                <a:pPr>
                  <a:defRPr/>
                </a:pPr>
                <a:r>
                  <a:rPr lang="sq-AL"/>
                  <a:t>Në miliardë</a:t>
                </a:r>
              </a:p>
            </c:rich>
          </c:tx>
          <c:layout>
            <c:manualLayout>
              <c:xMode val="edge"/>
              <c:yMode val="edge"/>
              <c:x val="8.5139845800524944E-3"/>
              <c:y val="0.11113627650476272"/>
            </c:manualLayout>
          </c:layout>
          <c:overlay val="0"/>
        </c:title>
        <c:numFmt formatCode="#,##0.0" sourceLinked="0"/>
        <c:majorTickMark val="cross"/>
        <c:minorTickMark val="none"/>
        <c:tickLblPos val="nextTo"/>
        <c:txPr>
          <a:bodyPr rot="0" vert="horz"/>
          <a:lstStyle/>
          <a:p>
            <a:pPr>
              <a:defRPr/>
            </a:pPr>
            <a:endParaRPr lang="en-US"/>
          </a:p>
        </c:txPr>
        <c:crossAx val="1278312576"/>
        <c:crosses val="autoZero"/>
        <c:crossBetween val="between"/>
        <c:dispUnits>
          <c:builtInUnit val="thousands"/>
        </c:dispUnits>
      </c:valAx>
      <c:catAx>
        <c:axId val="1278324000"/>
        <c:scaling>
          <c:orientation val="minMax"/>
        </c:scaling>
        <c:delete val="1"/>
        <c:axPos val="b"/>
        <c:numFmt formatCode="General" sourceLinked="1"/>
        <c:majorTickMark val="out"/>
        <c:minorTickMark val="none"/>
        <c:tickLblPos val="nextTo"/>
        <c:crossAx val="1278305504"/>
        <c:crosses val="autoZero"/>
        <c:auto val="0"/>
        <c:lblAlgn val="ctr"/>
        <c:lblOffset val="100"/>
        <c:noMultiLvlLbl val="0"/>
      </c:catAx>
      <c:valAx>
        <c:axId val="1278305504"/>
        <c:scaling>
          <c:orientation val="minMax"/>
        </c:scaling>
        <c:delete val="0"/>
        <c:axPos val="r"/>
        <c:numFmt formatCode="0%" sourceLinked="0"/>
        <c:majorTickMark val="cross"/>
        <c:minorTickMark val="none"/>
        <c:tickLblPos val="nextTo"/>
        <c:txPr>
          <a:bodyPr rot="0" vert="horz"/>
          <a:lstStyle/>
          <a:p>
            <a:pPr>
              <a:defRPr/>
            </a:pPr>
            <a:endParaRPr lang="en-US"/>
          </a:p>
        </c:txPr>
        <c:crossAx val="1278324000"/>
        <c:crosses val="max"/>
        <c:crossBetween val="between"/>
      </c:valAx>
      <c:spPr>
        <a:solidFill>
          <a:sysClr val="window" lastClr="FFFFFF"/>
        </a:solidFill>
      </c:spPr>
    </c:plotArea>
    <c:legend>
      <c:legendPos val="b"/>
      <c:layout>
        <c:manualLayout>
          <c:xMode val="edge"/>
          <c:yMode val="edge"/>
          <c:x val="0.21576518536491149"/>
          <c:y val="0.90868401035216628"/>
          <c:w val="0.54032888746049612"/>
          <c:h val="9.0301689816862818E-2"/>
        </c:manualLayout>
      </c:layout>
      <c:overlay val="0"/>
    </c:legend>
    <c:plotVisOnly val="1"/>
    <c:dispBlanksAs val="gap"/>
    <c:showDLblsOverMax val="0"/>
  </c:chart>
  <c:txPr>
    <a:bodyPr/>
    <a:lstStyle/>
    <a:p>
      <a:pPr>
        <a:defRPr sz="7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587312898104933E-2"/>
          <c:y val="2.7156011799801913E-2"/>
          <c:w val="0.85581675593718209"/>
          <c:h val="0.63574158493346222"/>
        </c:manualLayout>
      </c:layout>
      <c:barChart>
        <c:barDir val="col"/>
        <c:grouping val="clustered"/>
        <c:varyColors val="0"/>
        <c:ser>
          <c:idx val="1"/>
          <c:order val="0"/>
          <c:tx>
            <c:strRef>
              <c:f>'Shpenzimet 2021'!$B$5</c:f>
              <c:strCache>
                <c:ptCount val="1"/>
                <c:pt idx="0">
                  <c:v>Buxheti lokal </c:v>
                </c:pt>
              </c:strCache>
            </c:strRef>
          </c:tx>
          <c:spPr>
            <a:solidFill>
              <a:srgbClr val="00B0F0"/>
            </a:solidFill>
            <a:ln>
              <a:solidFill>
                <a:schemeClr val="bg1">
                  <a:lumMod val="65000"/>
                </a:schemeClr>
              </a:solid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2021'!$D$4:$T$4</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'Shpenzimet 2021'!$D$5:$T$5</c:f>
              <c:numCache>
                <c:formatCode>#,##0</c:formatCode>
                <c:ptCount val="17"/>
                <c:pt idx="0">
                  <c:v>6435.933</c:v>
                </c:pt>
                <c:pt idx="1">
                  <c:v>5360.7579999999998</c:v>
                </c:pt>
                <c:pt idx="2">
                  <c:v>6252.7970400000022</c:v>
                </c:pt>
                <c:pt idx="3">
                  <c:v>8221.728439999999</c:v>
                </c:pt>
                <c:pt idx="4">
                  <c:v>11402.47322</c:v>
                </c:pt>
                <c:pt idx="5">
                  <c:v>10959.422039000001</c:v>
                </c:pt>
                <c:pt idx="6">
                  <c:v>12302</c:v>
                </c:pt>
                <c:pt idx="7">
                  <c:v>10948</c:v>
                </c:pt>
                <c:pt idx="8">
                  <c:v>12437</c:v>
                </c:pt>
                <c:pt idx="9">
                  <c:v>9927</c:v>
                </c:pt>
                <c:pt idx="10">
                  <c:v>12467</c:v>
                </c:pt>
                <c:pt idx="11">
                  <c:v>11761</c:v>
                </c:pt>
                <c:pt idx="12">
                  <c:v>18816</c:v>
                </c:pt>
                <c:pt idx="13">
                  <c:v>21813.61</c:v>
                </c:pt>
                <c:pt idx="14">
                  <c:v>23652</c:v>
                </c:pt>
                <c:pt idx="15">
                  <c:v>17202</c:v>
                </c:pt>
                <c:pt idx="16">
                  <c:v>19809</c:v>
                </c:pt>
              </c:numCache>
            </c:numRef>
          </c:val>
        </c:ser>
        <c:dLbls>
          <c:showLegendKey val="0"/>
          <c:showVal val="0"/>
          <c:showCatName val="0"/>
          <c:showSerName val="0"/>
          <c:showPercent val="0"/>
          <c:showBubbleSize val="0"/>
        </c:dLbls>
        <c:gapWidth val="40"/>
        <c:axId val="1278314208"/>
        <c:axId val="1278323456"/>
      </c:barChart>
      <c:lineChart>
        <c:grouping val="standard"/>
        <c:varyColors val="0"/>
        <c:ser>
          <c:idx val="0"/>
          <c:order val="1"/>
          <c:tx>
            <c:strRef>
              <c:f>'Shpenzimet 2021'!$B$6</c:f>
              <c:strCache>
                <c:ptCount val="1"/>
                <c:pt idx="0">
                  <c:v>Ritmi i rritjes</c:v>
                </c:pt>
              </c:strCache>
            </c:strRef>
          </c:tx>
          <c:marker>
            <c:symbol val="none"/>
          </c:marker>
          <c:dLbls>
            <c:dLbl>
              <c:idx val="1"/>
              <c:layout>
                <c:manualLayout>
                  <c:x val="-7.794355366438345E-2"/>
                  <c:y val="-7.24989416645499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2021'!$D$4:$T$4</c:f>
              <c:strCache>
                <c:ptCount val="17"/>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pt idx="15">
                  <c:v>5M-2020</c:v>
                </c:pt>
                <c:pt idx="16">
                  <c:v>5M-2021</c:v>
                </c:pt>
              </c:strCache>
            </c:strRef>
          </c:cat>
          <c:val>
            <c:numRef>
              <c:f>'Shpenzimet 2021'!$D$6:$T$6</c:f>
              <c:numCache>
                <c:formatCode>0%</c:formatCode>
                <c:ptCount val="17"/>
                <c:pt idx="0">
                  <c:v>0.24</c:v>
                </c:pt>
                <c:pt idx="1">
                  <c:v>-0.16705814059903984</c:v>
                </c:pt>
                <c:pt idx="2">
                  <c:v>0.1664016618545367</c:v>
                </c:pt>
                <c:pt idx="3">
                  <c:v>0.31488810326074423</c:v>
                </c:pt>
                <c:pt idx="4">
                  <c:v>0.38687057146343806</c:v>
                </c:pt>
                <c:pt idx="5">
                  <c:v>-3.8855708972232859E-2</c:v>
                </c:pt>
                <c:pt idx="6">
                  <c:v>0.1225044492512767</c:v>
                </c:pt>
                <c:pt idx="7">
                  <c:v>-0.11006340432450008</c:v>
                </c:pt>
                <c:pt idx="8">
                  <c:v>0.13600657654366094</c:v>
                </c:pt>
                <c:pt idx="9">
                  <c:v>-0.2018171584787328</c:v>
                </c:pt>
                <c:pt idx="10">
                  <c:v>0.25586783519693762</c:v>
                </c:pt>
                <c:pt idx="11">
                  <c:v>-5.6629501884976341E-2</c:v>
                </c:pt>
                <c:pt idx="12">
                  <c:v>0.5998639571465012</c:v>
                </c:pt>
                <c:pt idx="13">
                  <c:v>0.15931175595238098</c:v>
                </c:pt>
                <c:pt idx="14">
                  <c:v>8.4277201251878958E-2</c:v>
                </c:pt>
                <c:pt idx="15">
                  <c:v>-0.27270421106037546</c:v>
                </c:pt>
                <c:pt idx="16">
                  <c:v>0.15155214509940704</c:v>
                </c:pt>
              </c:numCache>
            </c:numRef>
          </c:val>
          <c:smooth val="1"/>
        </c:ser>
        <c:dLbls>
          <c:showLegendKey val="0"/>
          <c:showVal val="0"/>
          <c:showCatName val="0"/>
          <c:showSerName val="0"/>
          <c:showPercent val="0"/>
          <c:showBubbleSize val="0"/>
        </c:dLbls>
        <c:marker val="1"/>
        <c:smooth val="0"/>
        <c:axId val="1278307680"/>
        <c:axId val="1278308768"/>
      </c:lineChart>
      <c:catAx>
        <c:axId val="1278314208"/>
        <c:scaling>
          <c:orientation val="minMax"/>
        </c:scaling>
        <c:delete val="0"/>
        <c:axPos val="b"/>
        <c:numFmt formatCode="General" sourceLinked="1"/>
        <c:majorTickMark val="cross"/>
        <c:minorTickMark val="none"/>
        <c:tickLblPos val="nextTo"/>
        <c:txPr>
          <a:bodyPr rot="-2700000" vert="horz"/>
          <a:lstStyle/>
          <a:p>
            <a:pPr>
              <a:defRPr/>
            </a:pPr>
            <a:endParaRPr lang="en-US"/>
          </a:p>
        </c:txPr>
        <c:crossAx val="1278323456"/>
        <c:crosses val="autoZero"/>
        <c:auto val="0"/>
        <c:lblAlgn val="ctr"/>
        <c:lblOffset val="100"/>
        <c:tickLblSkip val="1"/>
        <c:tickMarkSkip val="1"/>
        <c:noMultiLvlLbl val="0"/>
      </c:catAx>
      <c:valAx>
        <c:axId val="1278323456"/>
        <c:scaling>
          <c:orientation val="minMax"/>
        </c:scaling>
        <c:delete val="0"/>
        <c:axPos val="l"/>
        <c:title>
          <c:tx>
            <c:rich>
              <a:bodyPr/>
              <a:lstStyle/>
              <a:p>
                <a:pPr>
                  <a:defRPr/>
                </a:pPr>
                <a:r>
                  <a:rPr lang="sq-AL"/>
                  <a:t>Në miliardë</a:t>
                </a:r>
              </a:p>
            </c:rich>
          </c:tx>
          <c:layout>
            <c:manualLayout>
              <c:xMode val="edge"/>
              <c:yMode val="edge"/>
              <c:x val="2.7267198132115291E-4"/>
              <c:y val="5.0643274853801171E-2"/>
            </c:manualLayout>
          </c:layout>
          <c:overlay val="0"/>
        </c:title>
        <c:numFmt formatCode="#,##0.0" sourceLinked="0"/>
        <c:majorTickMark val="cross"/>
        <c:minorTickMark val="none"/>
        <c:tickLblPos val="nextTo"/>
        <c:txPr>
          <a:bodyPr rot="0" vert="horz"/>
          <a:lstStyle/>
          <a:p>
            <a:pPr>
              <a:defRPr/>
            </a:pPr>
            <a:endParaRPr lang="en-US"/>
          </a:p>
        </c:txPr>
        <c:crossAx val="1278314208"/>
        <c:crosses val="autoZero"/>
        <c:crossBetween val="between"/>
        <c:dispUnits>
          <c:builtInUnit val="thousands"/>
        </c:dispUnits>
      </c:valAx>
      <c:catAx>
        <c:axId val="1278307680"/>
        <c:scaling>
          <c:orientation val="minMax"/>
        </c:scaling>
        <c:delete val="1"/>
        <c:axPos val="b"/>
        <c:numFmt formatCode="General" sourceLinked="1"/>
        <c:majorTickMark val="out"/>
        <c:minorTickMark val="none"/>
        <c:tickLblPos val="nextTo"/>
        <c:crossAx val="1278308768"/>
        <c:crosses val="autoZero"/>
        <c:auto val="0"/>
        <c:lblAlgn val="ctr"/>
        <c:lblOffset val="100"/>
        <c:noMultiLvlLbl val="0"/>
      </c:catAx>
      <c:valAx>
        <c:axId val="1278308768"/>
        <c:scaling>
          <c:orientation val="minMax"/>
        </c:scaling>
        <c:delete val="0"/>
        <c:axPos val="r"/>
        <c:numFmt formatCode="0%" sourceLinked="0"/>
        <c:majorTickMark val="cross"/>
        <c:minorTickMark val="none"/>
        <c:tickLblPos val="nextTo"/>
        <c:txPr>
          <a:bodyPr rot="0" vert="horz"/>
          <a:lstStyle/>
          <a:p>
            <a:pPr>
              <a:defRPr/>
            </a:pPr>
            <a:endParaRPr lang="en-US"/>
          </a:p>
        </c:txPr>
        <c:crossAx val="1278307680"/>
        <c:crosses val="max"/>
        <c:crossBetween val="between"/>
      </c:valAx>
      <c:spPr>
        <a:solidFill>
          <a:sysClr val="window" lastClr="FFFFFF"/>
        </a:solidFill>
      </c:spPr>
    </c:plotArea>
    <c:legend>
      <c:legendPos val="b"/>
      <c:layout>
        <c:manualLayout>
          <c:xMode val="edge"/>
          <c:yMode val="edge"/>
          <c:x val="0.1852472910159973"/>
          <c:y val="0.90908113446894179"/>
          <c:w val="0.61611846940185111"/>
          <c:h val="9.0301689816862818E-2"/>
        </c:manualLayout>
      </c:layout>
      <c:overlay val="0"/>
    </c:legend>
    <c:plotVisOnly val="1"/>
    <c:dispBlanksAs val="gap"/>
    <c:showDLblsOverMax val="0"/>
  </c:chart>
  <c:txPr>
    <a:bodyPr/>
    <a:lstStyle/>
    <a:p>
      <a:pPr>
        <a:defRPr sz="8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365132243085"/>
          <c:y val="0.10597704147186178"/>
          <c:w val="0.82104297059021469"/>
          <c:h val="0.62401242701805126"/>
        </c:manualLayout>
      </c:layout>
      <c:barChart>
        <c:barDir val="col"/>
        <c:grouping val="clustered"/>
        <c:varyColors val="0"/>
        <c:ser>
          <c:idx val="0"/>
          <c:order val="0"/>
          <c:tx>
            <c:strRef>
              <c:f>'Shpenzimet 2021'!$C$26</c:f>
              <c:strCache>
                <c:ptCount val="1"/>
                <c:pt idx="0">
                  <c:v> 5 mujori 2021</c:v>
                </c:pt>
              </c:strCache>
            </c:strRef>
          </c:tx>
          <c:spPr>
            <a:solidFill>
              <a:schemeClr val="bg2">
                <a:lumMod val="90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2021'!$D$25:$I$25</c:f>
              <c:strCache>
                <c:ptCount val="6"/>
                <c:pt idx="0">
                  <c:v>Paga</c:v>
                </c:pt>
                <c:pt idx="1">
                  <c:v>Sigurime</c:v>
                </c:pt>
                <c:pt idx="2">
                  <c:v>Operative</c:v>
                </c:pt>
                <c:pt idx="3">
                  <c:v>Subvencione</c:v>
                </c:pt>
                <c:pt idx="4">
                  <c:v>Te tjera</c:v>
                </c:pt>
                <c:pt idx="5">
                  <c:v>Shpenzime Kapitale</c:v>
                </c:pt>
              </c:strCache>
            </c:strRef>
          </c:cat>
          <c:val>
            <c:numRef>
              <c:f>'Shpenzimet 2021'!$D$26:$I$26</c:f>
              <c:numCache>
                <c:formatCode>#,##0</c:formatCode>
                <c:ptCount val="6"/>
                <c:pt idx="0">
                  <c:v>8466</c:v>
                </c:pt>
                <c:pt idx="1">
                  <c:v>1406</c:v>
                </c:pt>
                <c:pt idx="2">
                  <c:v>5257</c:v>
                </c:pt>
                <c:pt idx="3">
                  <c:v>58</c:v>
                </c:pt>
                <c:pt idx="4">
                  <c:v>572</c:v>
                </c:pt>
                <c:pt idx="5">
                  <c:v>4050</c:v>
                </c:pt>
              </c:numCache>
            </c:numRef>
          </c:val>
        </c:ser>
        <c:ser>
          <c:idx val="1"/>
          <c:order val="1"/>
          <c:tx>
            <c:strRef>
              <c:f>'Shpenzimet 2021'!$C$27</c:f>
              <c:strCache>
                <c:ptCount val="1"/>
                <c:pt idx="0">
                  <c:v> 5 mujori 2020</c:v>
                </c:pt>
              </c:strCache>
            </c:strRef>
          </c:tx>
          <c:spPr>
            <a:solidFill>
              <a:schemeClr val="tx2">
                <a:lumMod val="60000"/>
                <a:lumOff val="40000"/>
              </a:schemeClr>
            </a:solidFill>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2021'!$D$25:$I$25</c:f>
              <c:strCache>
                <c:ptCount val="6"/>
                <c:pt idx="0">
                  <c:v>Paga</c:v>
                </c:pt>
                <c:pt idx="1">
                  <c:v>Sigurime</c:v>
                </c:pt>
                <c:pt idx="2">
                  <c:v>Operative</c:v>
                </c:pt>
                <c:pt idx="3">
                  <c:v>Subvencione</c:v>
                </c:pt>
                <c:pt idx="4">
                  <c:v>Te tjera</c:v>
                </c:pt>
                <c:pt idx="5">
                  <c:v>Shpenzime Kapitale</c:v>
                </c:pt>
              </c:strCache>
            </c:strRef>
          </c:cat>
          <c:val>
            <c:numRef>
              <c:f>'Shpenzimet 2021'!$D$27:$I$27</c:f>
              <c:numCache>
                <c:formatCode>#,##0</c:formatCode>
                <c:ptCount val="6"/>
                <c:pt idx="0">
                  <c:v>7922</c:v>
                </c:pt>
                <c:pt idx="1">
                  <c:v>1317</c:v>
                </c:pt>
                <c:pt idx="2">
                  <c:v>4464</c:v>
                </c:pt>
                <c:pt idx="3">
                  <c:v>57</c:v>
                </c:pt>
                <c:pt idx="4">
                  <c:v>398</c:v>
                </c:pt>
                <c:pt idx="5">
                  <c:v>3044</c:v>
                </c:pt>
              </c:numCache>
            </c:numRef>
          </c:val>
        </c:ser>
        <c:dLbls>
          <c:showLegendKey val="0"/>
          <c:showVal val="0"/>
          <c:showCatName val="0"/>
          <c:showSerName val="0"/>
          <c:showPercent val="0"/>
          <c:showBubbleSize val="0"/>
        </c:dLbls>
        <c:gapWidth val="48"/>
        <c:overlap val="-3"/>
        <c:axId val="1278299520"/>
        <c:axId val="1278303872"/>
      </c:barChart>
      <c:catAx>
        <c:axId val="1278299520"/>
        <c:scaling>
          <c:orientation val="minMax"/>
        </c:scaling>
        <c:delete val="0"/>
        <c:axPos val="b"/>
        <c:numFmt formatCode="General" sourceLinked="0"/>
        <c:majorTickMark val="none"/>
        <c:minorTickMark val="none"/>
        <c:tickLblPos val="nextTo"/>
        <c:crossAx val="1278303872"/>
        <c:crosses val="autoZero"/>
        <c:auto val="1"/>
        <c:lblAlgn val="ctr"/>
        <c:lblOffset val="100"/>
        <c:noMultiLvlLbl val="0"/>
      </c:catAx>
      <c:valAx>
        <c:axId val="1278303872"/>
        <c:scaling>
          <c:orientation val="minMax"/>
        </c:scaling>
        <c:delete val="0"/>
        <c:axPos val="l"/>
        <c:majorGridlines>
          <c:spPr>
            <a:ln>
              <a:noFill/>
            </a:ln>
          </c:spPr>
        </c:majorGridlines>
        <c:title>
          <c:tx>
            <c:rich>
              <a:bodyPr rot="-5400000" vert="horz"/>
              <a:lstStyle/>
              <a:p>
                <a:pPr>
                  <a:defRPr/>
                </a:pPr>
                <a:r>
                  <a:rPr lang="sq-AL"/>
                  <a:t>Në milion leke</a:t>
                </a:r>
              </a:p>
            </c:rich>
          </c:tx>
          <c:layout>
            <c:manualLayout>
              <c:xMode val="edge"/>
              <c:yMode val="edge"/>
              <c:x val="1.1500227037165647E-3"/>
              <c:y val="3.1090995692765605E-2"/>
            </c:manualLayout>
          </c:layout>
          <c:overlay val="0"/>
        </c:title>
        <c:numFmt formatCode="#,##0" sourceLinked="1"/>
        <c:majorTickMark val="none"/>
        <c:minorTickMark val="none"/>
        <c:tickLblPos val="nextTo"/>
        <c:crossAx val="1278299520"/>
        <c:crosses val="autoZero"/>
        <c:crossBetween val="between"/>
      </c:valAx>
      <c:spPr>
        <a:noFill/>
        <a:effectLst>
          <a:glow rad="127000">
            <a:schemeClr val="bg1"/>
          </a:glow>
          <a:outerShdw blurRad="50800" dist="50800" dir="5400000" algn="ctr" rotWithShape="0">
            <a:schemeClr val="bg1"/>
          </a:outerShdw>
        </a:effectLst>
      </c:spPr>
    </c:plotArea>
    <c:legend>
      <c:legendPos val="r"/>
      <c:layout>
        <c:manualLayout>
          <c:xMode val="edge"/>
          <c:yMode val="edge"/>
          <c:x val="0.25658893599838484"/>
          <c:y val="0.8863399442337121"/>
          <c:w val="0.53915703394218584"/>
          <c:h val="9.2075406632565096E-2"/>
        </c:manualLayout>
      </c:layout>
      <c:overlay val="0"/>
    </c:legend>
    <c:plotVisOnly val="1"/>
    <c:dispBlanksAs val="gap"/>
    <c:showDLblsOverMax val="0"/>
  </c:chart>
  <c:txPr>
    <a:bodyPr/>
    <a:lstStyle/>
    <a:p>
      <a:pPr>
        <a:defRPr sz="90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Sheet1!$C$66</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Sheet1!$C$67:$C$68</c:f>
              <c:numCache>
                <c:formatCode>_-* #,##0_-;\-* #,##0_-;_-* "-"??_-;_-@_-</c:formatCode>
                <c:ptCount val="2"/>
                <c:pt idx="0">
                  <c:v>102.16568213429998</c:v>
                </c:pt>
                <c:pt idx="1">
                  <c:v>172.39661912699998</c:v>
                </c:pt>
              </c:numCache>
            </c:numRef>
          </c:val>
          <c:extLst xmlns:c16r2="http://schemas.microsoft.com/office/drawing/2015/06/chart">
            <c:ext xmlns:c16="http://schemas.microsoft.com/office/drawing/2014/chart" uri="{C3380CC4-5D6E-409C-BE32-E72D297353CC}">
              <c16:uniqueId val="{00000000-DF86-42B4-9E89-ABA35E77FB13}"/>
            </c:ext>
          </c:extLst>
        </c:ser>
        <c:ser>
          <c:idx val="1"/>
          <c:order val="1"/>
          <c:tx>
            <c:strRef>
              <c:f>Sheet1!$D$66</c:f>
              <c:strCache>
                <c:ptCount val="1"/>
                <c:pt idx="0">
                  <c:v>2021</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Sheet1!$D$67:$D$68</c:f>
              <c:numCache>
                <c:formatCode>_-* #,##0_-;\-* #,##0_-;_-* "-"??_-;_-@_-</c:formatCode>
                <c:ptCount val="2"/>
                <c:pt idx="0">
                  <c:v>142.2018419195</c:v>
                </c:pt>
                <c:pt idx="1">
                  <c:v>225.59941565499997</c:v>
                </c:pt>
              </c:numCache>
            </c:numRef>
          </c:val>
          <c:extLst xmlns:c16r2="http://schemas.microsoft.com/office/drawing/2015/06/chart">
            <c:ext xmlns:c16="http://schemas.microsoft.com/office/drawing/2014/chart" uri="{C3380CC4-5D6E-409C-BE32-E72D297353CC}">
              <c16:uniqueId val="{00000001-DF86-42B4-9E89-ABA35E77FB13}"/>
            </c:ext>
          </c:extLst>
        </c:ser>
        <c:dLbls>
          <c:showLegendKey val="0"/>
          <c:showVal val="0"/>
          <c:showCatName val="0"/>
          <c:showSerName val="0"/>
          <c:showPercent val="0"/>
          <c:showBubbleSize val="0"/>
        </c:dLbls>
        <c:gapWidth val="182"/>
        <c:axId val="1290945728"/>
        <c:axId val="1290921248"/>
      </c:barChart>
      <c:catAx>
        <c:axId val="1290945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1248"/>
        <c:crosses val="autoZero"/>
        <c:auto val="1"/>
        <c:lblAlgn val="ctr"/>
        <c:lblOffset val="100"/>
        <c:noMultiLvlLbl val="0"/>
      </c:catAx>
      <c:valAx>
        <c:axId val="1290921248"/>
        <c:scaling>
          <c:orientation val="minMax"/>
        </c:scaling>
        <c:delete val="0"/>
        <c:axPos val="b"/>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5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694778190514842E-2"/>
          <c:y val="4.8198956119078276E-2"/>
          <c:w val="0.8432626409572398"/>
          <c:h val="0.69056201105929715"/>
        </c:manualLayout>
      </c:layout>
      <c:barChart>
        <c:barDir val="col"/>
        <c:grouping val="clustered"/>
        <c:varyColors val="0"/>
        <c:ser>
          <c:idx val="0"/>
          <c:order val="0"/>
          <c:tx>
            <c:strRef>
              <c:f>'Stoku i Borxhit'!$A$26</c:f>
              <c:strCache>
                <c:ptCount val="1"/>
                <c:pt idx="0">
                  <c:v>Borxhi Shtetëror</c:v>
                </c:pt>
              </c:strCache>
            </c:strRef>
          </c:tx>
          <c:spPr>
            <a:solidFill>
              <a:srgbClr val="C00000"/>
            </a:solidFill>
            <a:ln>
              <a:noFill/>
            </a:ln>
            <a:effectLst/>
          </c:spPr>
          <c:invertIfNegative val="0"/>
          <c:dLbls>
            <c:dLbl>
              <c:idx val="0"/>
              <c:layout>
                <c:manualLayout>
                  <c:x val="-1.6339680523662022E-17"/>
                  <c:y val="0.4310078540562656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DF3-4C4B-9F95-E56CF7F22321}"/>
                </c:ext>
                <c:ext xmlns:c15="http://schemas.microsoft.com/office/drawing/2012/chart" uri="{CE6537A1-D6FC-4f65-9D91-7224C49458BB}"/>
              </c:extLst>
            </c:dLbl>
            <c:dLbl>
              <c:idx val="1"/>
              <c:layout>
                <c:manualLayout>
                  <c:x val="-3.5650623885918001E-3"/>
                  <c:y val="0.40584174126523159"/>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DF3-4C4B-9F95-E56CF7F22321}"/>
                </c:ext>
                <c:ext xmlns:c15="http://schemas.microsoft.com/office/drawing/2012/chart" uri="{CE6537A1-D6FC-4f65-9D91-7224C49458BB}"/>
              </c:extLst>
            </c:dLbl>
            <c:dLbl>
              <c:idx val="2"/>
              <c:layout>
                <c:manualLayout>
                  <c:x val="0"/>
                  <c:y val="0.4250355777771124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DF3-4C4B-9F95-E56CF7F22321}"/>
                </c:ext>
                <c:ext xmlns:c15="http://schemas.microsoft.com/office/drawing/2012/chart" uri="{CE6537A1-D6FC-4f65-9D91-7224C49458BB}"/>
              </c:extLst>
            </c:dLbl>
            <c:dLbl>
              <c:idx val="3"/>
              <c:layout>
                <c:manualLayout>
                  <c:x val="-1.7825311942959001E-3"/>
                  <c:y val="0.433486023372553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DF3-4C4B-9F95-E56CF7F22321}"/>
                </c:ext>
                <c:ext xmlns:c15="http://schemas.microsoft.com/office/drawing/2012/chart" uri="{CE6537A1-D6FC-4f65-9D91-7224C49458BB}"/>
              </c:extLst>
            </c:dLbl>
            <c:dLbl>
              <c:idx val="4"/>
              <c:layout>
                <c:manualLayout>
                  <c:x val="-1.7825311942959001E-3"/>
                  <c:y val="0.4075602526870452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DF3-4C4B-9F95-E56CF7F22321}"/>
                </c:ext>
                <c:ext xmlns:c15="http://schemas.microsoft.com/office/drawing/2012/chart" uri="{CE6537A1-D6FC-4f65-9D91-7224C49458BB}"/>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Borxhit'!$B$25:$G$25</c:f>
              <c:strCache>
                <c:ptCount val="6"/>
                <c:pt idx="0">
                  <c:v>2016</c:v>
                </c:pt>
                <c:pt idx="1">
                  <c:v>2017</c:v>
                </c:pt>
                <c:pt idx="2">
                  <c:v>2018</c:v>
                </c:pt>
                <c:pt idx="3">
                  <c:v>2019</c:v>
                </c:pt>
                <c:pt idx="4">
                  <c:v>2020</c:v>
                </c:pt>
                <c:pt idx="5">
                  <c:v>Mar-21</c:v>
                </c:pt>
              </c:strCache>
            </c:strRef>
          </c:cat>
          <c:val>
            <c:numRef>
              <c:f>'Stoku i Borxhit'!$B$26:$G$26</c:f>
              <c:numCache>
                <c:formatCode>_(* #,##0.0_);_(* \(#,##0.0\);_(* "-"??_);_(@_)</c:formatCode>
                <c:ptCount val="6"/>
                <c:pt idx="0">
                  <c:v>1012.241</c:v>
                </c:pt>
                <c:pt idx="1">
                  <c:v>1037.4566964684852</c:v>
                </c:pt>
                <c:pt idx="2">
                  <c:v>1061.8967513634955</c:v>
                </c:pt>
                <c:pt idx="3">
                  <c:v>1070.1914054458098</c:v>
                </c:pt>
                <c:pt idx="4">
                  <c:v>1175.225527028218</c:v>
                </c:pt>
                <c:pt idx="5">
                  <c:v>1220.9222143074981</c:v>
                </c:pt>
              </c:numCache>
            </c:numRef>
          </c:val>
          <c:extLst xmlns:c16r2="http://schemas.microsoft.com/office/drawing/2015/06/chart">
            <c:ext xmlns:c16="http://schemas.microsoft.com/office/drawing/2014/chart" uri="{C3380CC4-5D6E-409C-BE32-E72D297353CC}">
              <c16:uniqueId val="{00000005-FDF3-4C4B-9F95-E56CF7F22321}"/>
            </c:ext>
          </c:extLst>
        </c:ser>
        <c:ser>
          <c:idx val="1"/>
          <c:order val="1"/>
          <c:tx>
            <c:strRef>
              <c:f>'Stoku i Borxhit'!$A$27</c:f>
              <c:strCache>
                <c:ptCount val="1"/>
                <c:pt idx="0">
                  <c:v>Borxhi i Garantuar</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Borxhit'!$B$25:$G$25</c:f>
              <c:strCache>
                <c:ptCount val="6"/>
                <c:pt idx="0">
                  <c:v>2016</c:v>
                </c:pt>
                <c:pt idx="1">
                  <c:v>2017</c:v>
                </c:pt>
                <c:pt idx="2">
                  <c:v>2018</c:v>
                </c:pt>
                <c:pt idx="3">
                  <c:v>2019</c:v>
                </c:pt>
                <c:pt idx="4">
                  <c:v>2020</c:v>
                </c:pt>
                <c:pt idx="5">
                  <c:v>Mar-21</c:v>
                </c:pt>
              </c:strCache>
            </c:strRef>
          </c:cat>
          <c:val>
            <c:numRef>
              <c:f>'Stoku i Borxhit'!$B$27:$G$27</c:f>
              <c:numCache>
                <c:formatCode>_(* #,##0.0_);_(* \(#,##0.0\);_(* "-"??_);_(@_)</c:formatCode>
                <c:ptCount val="6"/>
                <c:pt idx="0">
                  <c:v>53.468000000000004</c:v>
                </c:pt>
                <c:pt idx="1">
                  <c:v>49.885175518906451</c:v>
                </c:pt>
                <c:pt idx="2">
                  <c:v>44.672074609123086</c:v>
                </c:pt>
                <c:pt idx="3">
                  <c:v>41.852794389665405</c:v>
                </c:pt>
                <c:pt idx="4">
                  <c:v>48.812704815169255</c:v>
                </c:pt>
                <c:pt idx="5">
                  <c:v>48.902009487570723</c:v>
                </c:pt>
              </c:numCache>
            </c:numRef>
          </c:val>
          <c:extLst xmlns:c16r2="http://schemas.microsoft.com/office/drawing/2015/06/chart">
            <c:ext xmlns:c16="http://schemas.microsoft.com/office/drawing/2014/chart" uri="{C3380CC4-5D6E-409C-BE32-E72D297353CC}">
              <c16:uniqueId val="{00000006-FDF3-4C4B-9F95-E56CF7F22321}"/>
            </c:ext>
          </c:extLst>
        </c:ser>
        <c:ser>
          <c:idx val="2"/>
          <c:order val="2"/>
          <c:tx>
            <c:strRef>
              <c:f>'Stoku i Borxhit'!$A$28</c:f>
              <c:strCache>
                <c:ptCount val="1"/>
                <c:pt idx="0">
                  <c:v>Borxhi i Pushtetit Lokal</c:v>
                </c:pt>
              </c:strCache>
            </c:strRef>
          </c:tx>
          <c:spPr>
            <a:solidFill>
              <a:srgbClr val="7030A0"/>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Borxhit'!$B$25:$G$25</c:f>
              <c:strCache>
                <c:ptCount val="6"/>
                <c:pt idx="0">
                  <c:v>2016</c:v>
                </c:pt>
                <c:pt idx="1">
                  <c:v>2017</c:v>
                </c:pt>
                <c:pt idx="2">
                  <c:v>2018</c:v>
                </c:pt>
                <c:pt idx="3">
                  <c:v>2019</c:v>
                </c:pt>
                <c:pt idx="4">
                  <c:v>2020</c:v>
                </c:pt>
                <c:pt idx="5">
                  <c:v>Mar-21</c:v>
                </c:pt>
              </c:strCache>
            </c:strRef>
          </c:cat>
          <c:val>
            <c:numRef>
              <c:f>'Stoku i Borxhit'!$B$28:$G$28</c:f>
              <c:numCache>
                <c:formatCode>_(* #,##0.0_);_(* \(#,##0.0\);_(* "-"??_);_(@_)</c:formatCode>
                <c:ptCount val="6"/>
                <c:pt idx="0">
                  <c:v>0.90134000000000003</c:v>
                </c:pt>
                <c:pt idx="1">
                  <c:v>0.82746000000000008</c:v>
                </c:pt>
                <c:pt idx="2">
                  <c:v>0.71565968409814007</c:v>
                </c:pt>
                <c:pt idx="3">
                  <c:v>0.58171127166869285</c:v>
                </c:pt>
                <c:pt idx="4">
                  <c:v>0.43212510779567692</c:v>
                </c:pt>
                <c:pt idx="5">
                  <c:v>0.40061949808567693</c:v>
                </c:pt>
              </c:numCache>
            </c:numRef>
          </c:val>
          <c:extLst xmlns:c16r2="http://schemas.microsoft.com/office/drawing/2015/06/chart">
            <c:ext xmlns:c16="http://schemas.microsoft.com/office/drawing/2014/chart" uri="{C3380CC4-5D6E-409C-BE32-E72D297353CC}">
              <c16:uniqueId val="{00000007-FDF3-4C4B-9F95-E56CF7F22321}"/>
            </c:ext>
          </c:extLst>
        </c:ser>
        <c:dLbls>
          <c:showLegendKey val="0"/>
          <c:showVal val="0"/>
          <c:showCatName val="0"/>
          <c:showSerName val="0"/>
          <c:showPercent val="0"/>
          <c:showBubbleSize val="0"/>
        </c:dLbls>
        <c:gapWidth val="148"/>
        <c:axId val="1278306048"/>
        <c:axId val="1278321824"/>
      </c:barChart>
      <c:lineChart>
        <c:grouping val="standard"/>
        <c:varyColors val="0"/>
        <c:ser>
          <c:idx val="3"/>
          <c:order val="3"/>
          <c:tx>
            <c:strRef>
              <c:f>'Stoku i Borxhit'!$A$29</c:f>
              <c:strCache>
                <c:ptCount val="1"/>
                <c:pt idx="0">
                  <c:v>Borxhi Publik/PBB</c:v>
                </c:pt>
              </c:strCache>
            </c:strRef>
          </c:tx>
          <c:spPr>
            <a:ln w="22225"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2.7063599458728042E-2"/>
                  <c:y val="-6.14657210401891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DF3-4C4B-9F95-E56CF7F22321}"/>
                </c:ext>
                <c:ext xmlns:c15="http://schemas.microsoft.com/office/drawing/2012/chart" uri="{CE6537A1-D6FC-4f65-9D91-7224C49458BB}"/>
              </c:extLst>
            </c:dLbl>
            <c:dLbl>
              <c:idx val="1"/>
              <c:layout>
                <c:manualLayout>
                  <c:x val="-2.532443471304055E-2"/>
                  <c:y val="-5.1326207798169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DF3-4C4B-9F95-E56CF7F22321}"/>
                </c:ext>
                <c:ext xmlns:c15="http://schemas.microsoft.com/office/drawing/2012/chart" uri="{CE6537A1-D6FC-4f65-9D91-7224C49458BB}"/>
              </c:extLst>
            </c:dLbl>
            <c:dLbl>
              <c:idx val="2"/>
              <c:layout>
                <c:manualLayout>
                  <c:x val="-3.7079546382818587E-2"/>
                  <c:y val="-5.179501498482904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DF3-4C4B-9F95-E56CF7F22321}"/>
                </c:ext>
                <c:ext xmlns:c15="http://schemas.microsoft.com/office/drawing/2012/chart" uri="{CE6537A1-D6FC-4f65-9D91-7224C49458BB}"/>
              </c:extLst>
            </c:dLbl>
            <c:dLbl>
              <c:idx val="3"/>
              <c:layout>
                <c:manualLayout>
                  <c:x val="-2.271665974094253E-2"/>
                  <c:y val="-4.39861506673367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DF3-4C4B-9F95-E56CF7F22321}"/>
                </c:ext>
                <c:ext xmlns:c15="http://schemas.microsoft.com/office/drawing/2012/chart" uri="{CE6537A1-D6FC-4f65-9D91-7224C49458BB}"/>
              </c:extLst>
            </c:dLbl>
            <c:dLbl>
              <c:idx val="4"/>
              <c:layout>
                <c:manualLayout>
                  <c:x val="-1.8824090838912514E-2"/>
                  <c:y val="-4.03700488009341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DF3-4C4B-9F95-E56CF7F22321}"/>
                </c:ext>
                <c:ext xmlns:c15="http://schemas.microsoft.com/office/drawing/2012/chart" uri="{CE6537A1-D6FC-4f65-9D91-7224C49458BB}"/>
              </c:extLst>
            </c:dLbl>
            <c:dLbl>
              <c:idx val="140"/>
              <c:layout>
                <c:manualLayout>
                  <c:x val="-7.5011720581340839E-3"/>
                  <c:y val="-4.94845467942845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DF3-4C4B-9F95-E56CF7F22321}"/>
                </c:ext>
                <c:ext xmlns:c15="http://schemas.microsoft.com/office/drawing/2012/chart" uri="{CE6537A1-D6FC-4f65-9D91-7224C49458BB}"/>
              </c:extLst>
            </c:dLbl>
            <c:dLbl>
              <c:idx val="142"/>
              <c:layout>
                <c:manualLayout>
                  <c:x val="-1.6877637130801686E-2"/>
                  <c:y val="-7.14776787028555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DF3-4C4B-9F95-E56CF7F2232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'Stoku i Borxhit'!$B$25:$F$25</c:f>
              <c:strCache>
                <c:ptCount val="5"/>
                <c:pt idx="0">
                  <c:v>2016</c:v>
                </c:pt>
                <c:pt idx="1">
                  <c:v>2017</c:v>
                </c:pt>
                <c:pt idx="2">
                  <c:v>2018</c:v>
                </c:pt>
                <c:pt idx="3">
                  <c:v>2019</c:v>
                </c:pt>
                <c:pt idx="4">
                  <c:v>2020</c:v>
                </c:pt>
              </c:strCache>
            </c:strRef>
          </c:cat>
          <c:val>
            <c:numRef>
              <c:f>'Stoku i Borxhit'!$B$29:$G$29</c:f>
              <c:numCache>
                <c:formatCode>0.0%</c:formatCode>
                <c:ptCount val="6"/>
                <c:pt idx="0">
                  <c:v>0.72436340713990199</c:v>
                </c:pt>
                <c:pt idx="1">
                  <c:v>0.7017531631937387</c:v>
                </c:pt>
                <c:pt idx="2">
                  <c:v>0.67694218470620904</c:v>
                </c:pt>
                <c:pt idx="3">
                  <c:v>0.66255960882359066</c:v>
                </c:pt>
                <c:pt idx="4">
                  <c:v>0.77879167874506794</c:v>
                </c:pt>
                <c:pt idx="5">
                  <c:v>0.75490135574823813</c:v>
                </c:pt>
              </c:numCache>
            </c:numRef>
          </c:val>
          <c:smooth val="1"/>
          <c:extLst xmlns:c16r2="http://schemas.microsoft.com/office/drawing/2015/06/chart">
            <c:ext xmlns:c16="http://schemas.microsoft.com/office/drawing/2014/chart" uri="{C3380CC4-5D6E-409C-BE32-E72D297353CC}">
              <c16:uniqueId val="{0000000F-FDF3-4C4B-9F95-E56CF7F22321}"/>
            </c:ext>
          </c:extLst>
        </c:ser>
        <c:dLbls>
          <c:showLegendKey val="0"/>
          <c:showVal val="0"/>
          <c:showCatName val="0"/>
          <c:showSerName val="0"/>
          <c:showPercent val="0"/>
          <c:showBubbleSize val="0"/>
        </c:dLbls>
        <c:marker val="1"/>
        <c:smooth val="0"/>
        <c:axId val="1278308224"/>
        <c:axId val="1278315840"/>
      </c:lineChart>
      <c:catAx>
        <c:axId val="12783060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21824"/>
        <c:crosses val="autoZero"/>
        <c:auto val="1"/>
        <c:lblAlgn val="ctr"/>
        <c:lblOffset val="100"/>
        <c:noMultiLvlLbl val="0"/>
      </c:catAx>
      <c:valAx>
        <c:axId val="1278321824"/>
        <c:scaling>
          <c:orientation val="minMax"/>
          <c:max val="12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1.4580415442271117E-2"/>
              <c:y val="0.2168791050056251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06048"/>
        <c:crosses val="autoZero"/>
        <c:crossBetween val="between"/>
        <c:majorUnit val="200"/>
      </c:valAx>
      <c:valAx>
        <c:axId val="1278315840"/>
        <c:scaling>
          <c:orientation val="minMax"/>
          <c:max val="0.85000000000000009"/>
          <c:min val="0.5"/>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08224"/>
        <c:crosses val="max"/>
        <c:crossBetween val="between"/>
        <c:majorUnit val="5.000000000000001E-2"/>
      </c:valAx>
      <c:catAx>
        <c:axId val="1278308224"/>
        <c:scaling>
          <c:orientation val="minMax"/>
        </c:scaling>
        <c:delete val="1"/>
        <c:axPos val="b"/>
        <c:numFmt formatCode="General" sourceLinked="1"/>
        <c:majorTickMark val="none"/>
        <c:minorTickMark val="none"/>
        <c:tickLblPos val="nextTo"/>
        <c:crossAx val="1278315840"/>
        <c:crosses val="autoZero"/>
        <c:auto val="1"/>
        <c:lblAlgn val="ctr"/>
        <c:lblOffset val="100"/>
        <c:noMultiLvlLbl val="0"/>
      </c:catAx>
      <c:spPr>
        <a:noFill/>
        <a:ln>
          <a:noFill/>
        </a:ln>
        <a:effectLst/>
      </c:spPr>
    </c:plotArea>
    <c:legend>
      <c:legendPos val="b"/>
      <c:layout>
        <c:manualLayout>
          <c:xMode val="edge"/>
          <c:yMode val="edge"/>
          <c:x val="8.4927786433112953E-2"/>
          <c:y val="0.89923894494176826"/>
          <c:w val="0.87502990278707826"/>
          <c:h val="8.55519295829466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no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782713415803E-2"/>
          <c:y val="6.4081028337287113E-2"/>
          <c:w val="0.93283994610162779"/>
          <c:h val="0.67944446944131998"/>
        </c:manualLayout>
      </c:layout>
      <c:barChart>
        <c:barDir val="col"/>
        <c:grouping val="clustered"/>
        <c:varyColors val="0"/>
        <c:ser>
          <c:idx val="0"/>
          <c:order val="0"/>
          <c:tx>
            <c:strRef>
              <c:f>'Kompozimi '!$A$15</c:f>
              <c:strCache>
                <c:ptCount val="1"/>
                <c:pt idx="0">
                  <c:v>Instrumente të tregtueshme</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'!$B$14:$G$14</c:f>
              <c:strCache>
                <c:ptCount val="6"/>
                <c:pt idx="0">
                  <c:v>2016</c:v>
                </c:pt>
                <c:pt idx="1">
                  <c:v>2017</c:v>
                </c:pt>
                <c:pt idx="2">
                  <c:v>2018</c:v>
                </c:pt>
                <c:pt idx="3">
                  <c:v>2019</c:v>
                </c:pt>
                <c:pt idx="4">
                  <c:v>2020</c:v>
                </c:pt>
                <c:pt idx="5">
                  <c:v>Mar-21</c:v>
                </c:pt>
              </c:strCache>
            </c:strRef>
          </c:cat>
          <c:val>
            <c:numRef>
              <c:f>'Kompozimi '!$B$15:$G$15</c:f>
              <c:numCache>
                <c:formatCode>0.0%</c:formatCode>
                <c:ptCount val="6"/>
                <c:pt idx="0">
                  <c:v>0.5547363819572344</c:v>
                </c:pt>
                <c:pt idx="1">
                  <c:v>0.55760278269323005</c:v>
                </c:pt>
                <c:pt idx="2">
                  <c:v>0.59393726202654296</c:v>
                </c:pt>
                <c:pt idx="3">
                  <c:v>0.60529156436625553</c:v>
                </c:pt>
                <c:pt idx="4">
                  <c:v>0.63133104435117737</c:v>
                </c:pt>
                <c:pt idx="5">
                  <c:v>0.62665882605212053</c:v>
                </c:pt>
              </c:numCache>
            </c:numRef>
          </c:val>
          <c:extLst xmlns:c16r2="http://schemas.microsoft.com/office/drawing/2015/06/chart">
            <c:ext xmlns:c16="http://schemas.microsoft.com/office/drawing/2014/chart" uri="{C3380CC4-5D6E-409C-BE32-E72D297353CC}">
              <c16:uniqueId val="{00000000-FCF0-4C62-87B5-6EDA0D3CB8A5}"/>
            </c:ext>
          </c:extLst>
        </c:ser>
        <c:ser>
          <c:idx val="1"/>
          <c:order val="1"/>
          <c:tx>
            <c:strRef>
              <c:f>'Kompozimi '!$A$16</c:f>
              <c:strCache>
                <c:ptCount val="1"/>
                <c:pt idx="0">
                  <c:v>Hua për financim projektesh</c:v>
                </c:pt>
              </c:strCache>
            </c:strRef>
          </c:tx>
          <c:spPr>
            <a:solidFill>
              <a:srgbClr val="7030A0"/>
            </a:solidFill>
            <a:ln>
              <a:noFill/>
            </a:ln>
            <a:effectLst/>
          </c:spPr>
          <c:invertIfNegative val="0"/>
          <c:dLbls>
            <c:dLbl>
              <c:idx val="0"/>
              <c:layout>
                <c:manualLayout>
                  <c:x val="1.4288983107880746E-3"/>
                  <c:y val="1.5180262630496471E-2"/>
                </c:manualLayout>
              </c:layout>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1-FCF0-4C62-87B5-6EDA0D3CB8A5}"/>
                </c:ext>
                <c:ext xmlns:c15="http://schemas.microsoft.com/office/drawing/2012/chart" uri="{CE6537A1-D6FC-4f65-9D91-7224C49458BB}"/>
              </c:extLst>
            </c:dLbl>
            <c:dLbl>
              <c:idx val="1"/>
              <c:layout>
                <c:manualLayout>
                  <c:x val="-3.2074836799252516E-4"/>
                  <c:y val="1.60966564375868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CF0-4C62-87B5-6EDA0D3CB8A5}"/>
                </c:ext>
                <c:ext xmlns:c15="http://schemas.microsoft.com/office/drawing/2012/chart" uri="{CE6537A1-D6FC-4f65-9D91-7224C49458BB}"/>
              </c:extLst>
            </c:dLbl>
            <c:dLbl>
              <c:idx val="2"/>
              <c:layout>
                <c:manualLayout>
                  <c:x val="8.0838500765100104E-4"/>
                  <c:y val="1.60966564375867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CF0-4C62-87B5-6EDA0D3CB8A5}"/>
                </c:ext>
                <c:ext xmlns:c15="http://schemas.microsoft.com/office/drawing/2012/chart" uri="{CE6537A1-D6FC-4f65-9D91-7224C49458BB}"/>
              </c:extLst>
            </c:dLbl>
            <c:dLbl>
              <c:idx val="3"/>
              <c:layout>
                <c:manualLayout>
                  <c:x val="1.6103059581320451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CF0-4C62-87B5-6EDA0D3CB8A5}"/>
                </c:ext>
                <c:ext xmlns:c15="http://schemas.microsoft.com/office/drawing/2012/chart" uri="{CE6537A1-D6FC-4f65-9D91-7224C49458BB}"/>
              </c:extLst>
            </c:dLbl>
            <c:dLbl>
              <c:idx val="4"/>
              <c:layout>
                <c:manualLayout>
                  <c:x val="-9.6230999013569517E-4"/>
                  <c:y val="5.36568495655894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rgbClr val="7030A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'!$B$14:$G$14</c:f>
              <c:strCache>
                <c:ptCount val="6"/>
                <c:pt idx="0">
                  <c:v>2016</c:v>
                </c:pt>
                <c:pt idx="1">
                  <c:v>2017</c:v>
                </c:pt>
                <c:pt idx="2">
                  <c:v>2018</c:v>
                </c:pt>
                <c:pt idx="3">
                  <c:v>2019</c:v>
                </c:pt>
                <c:pt idx="4">
                  <c:v>2020</c:v>
                </c:pt>
                <c:pt idx="5">
                  <c:v>Mar-21</c:v>
                </c:pt>
              </c:strCache>
            </c:strRef>
          </c:cat>
          <c:val>
            <c:numRef>
              <c:f>'Kompozimi '!$B$16:$G$16</c:f>
              <c:numCache>
                <c:formatCode>0.0%</c:formatCode>
                <c:ptCount val="6"/>
                <c:pt idx="0">
                  <c:v>0.27457813143227411</c:v>
                </c:pt>
                <c:pt idx="1">
                  <c:v>0.25970334956782659</c:v>
                </c:pt>
                <c:pt idx="2">
                  <c:v>0.24189824736914217</c:v>
                </c:pt>
                <c:pt idx="3">
                  <c:v>0.23866664262345219</c:v>
                </c:pt>
                <c:pt idx="4">
                  <c:v>0.20956487629772291</c:v>
                </c:pt>
                <c:pt idx="5">
                  <c:v>0.20491330050684028</c:v>
                </c:pt>
              </c:numCache>
            </c:numRef>
          </c:val>
          <c:extLst xmlns:c16r2="http://schemas.microsoft.com/office/drawing/2015/06/chart">
            <c:ext xmlns:c16="http://schemas.microsoft.com/office/drawing/2014/chart" uri="{C3380CC4-5D6E-409C-BE32-E72D297353CC}">
              <c16:uniqueId val="{00000006-FCF0-4C62-87B5-6EDA0D3CB8A5}"/>
            </c:ext>
          </c:extLst>
        </c:ser>
        <c:ser>
          <c:idx val="2"/>
          <c:order val="2"/>
          <c:tx>
            <c:strRef>
              <c:f>'Kompozimi '!$A$17</c:f>
              <c:strCache>
                <c:ptCount val="1"/>
                <c:pt idx="0">
                  <c:v>Mbështetje Buxhetore</c:v>
                </c:pt>
              </c:strCache>
            </c:strRef>
          </c:tx>
          <c:spPr>
            <a:solidFill>
              <a:srgbClr val="C00000"/>
            </a:solidFill>
            <a:ln>
              <a:noFill/>
            </a:ln>
            <a:effectLst/>
          </c:spPr>
          <c:invertIfNegative val="0"/>
          <c:dLbls>
            <c:dLbl>
              <c:idx val="0"/>
              <c:layout>
                <c:manualLayout>
                  <c:x val="-2.0915114694328709E-3"/>
                  <c:y val="0"/>
                </c:manualLayout>
              </c:layout>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7-FCF0-4C62-87B5-6EDA0D3CB8A5}"/>
                </c:ext>
                <c:ext xmlns:c15="http://schemas.microsoft.com/office/drawing/2012/chart" uri="{CE6537A1-D6FC-4f65-9D91-7224C49458BB}"/>
              </c:extLst>
            </c:dLbl>
            <c:dLbl>
              <c:idx val="1"/>
              <c:layout>
                <c:manualLayout>
                  <c:x val="-5.7932399884277411E-3"/>
                  <c:y val="-4.6383599988100755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CF0-4C62-87B5-6EDA0D3CB8A5}"/>
                </c:ext>
                <c:ext xmlns:c15="http://schemas.microsoft.com/office/drawing/2012/chart" uri="{CE6537A1-D6FC-4f65-9D91-7224C49458BB}"/>
              </c:extLst>
            </c:dLbl>
            <c:dLbl>
              <c:idx val="2"/>
              <c:layout>
                <c:manualLayout>
                  <c:x val="-3.7017285189949517E-3"/>
                  <c:y val="1.60966564375867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CF0-4C62-87B5-6EDA0D3CB8A5}"/>
                </c:ext>
                <c:ext xmlns:c15="http://schemas.microsoft.com/office/drawing/2012/chart" uri="{CE6537A1-D6FC-4f65-9D91-7224C49458BB}"/>
              </c:extLst>
            </c:dLbl>
            <c:dLbl>
              <c:idx val="3"/>
              <c:layout>
                <c:manualLayout>
                  <c:x val="-2.0915114694328549E-3"/>
                  <c:y val="1.51802626304964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CF0-4C62-87B5-6EDA0D3CB8A5}"/>
                </c:ext>
                <c:ext xmlns:c15="http://schemas.microsoft.com/office/drawing/2012/chart" uri="{CE6537A1-D6FC-4f65-9D91-7224C49458BB}"/>
              </c:extLst>
            </c:dLbl>
            <c:dLbl>
              <c:idx val="4"/>
              <c:layout>
                <c:manualLayout>
                  <c:x val="-3.5413899955732625E-3"/>
                  <c:y val="1.51802626304964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'!$B$14:$G$14</c:f>
              <c:strCache>
                <c:ptCount val="6"/>
                <c:pt idx="0">
                  <c:v>2016</c:v>
                </c:pt>
                <c:pt idx="1">
                  <c:v>2017</c:v>
                </c:pt>
                <c:pt idx="2">
                  <c:v>2018</c:v>
                </c:pt>
                <c:pt idx="3">
                  <c:v>2019</c:v>
                </c:pt>
                <c:pt idx="4">
                  <c:v>2020</c:v>
                </c:pt>
                <c:pt idx="5">
                  <c:v>Mar-21</c:v>
                </c:pt>
              </c:strCache>
            </c:strRef>
          </c:cat>
          <c:val>
            <c:numRef>
              <c:f>'Kompozimi '!$B$17:$G$17</c:f>
              <c:numCache>
                <c:formatCode>0.0%</c:formatCode>
                <c:ptCount val="6"/>
                <c:pt idx="0">
                  <c:v>0.11971156343127334</c:v>
                </c:pt>
                <c:pt idx="1">
                  <c:v>0.136090242664443</c:v>
                </c:pt>
                <c:pt idx="2">
                  <c:v>0.12317436165022319</c:v>
                </c:pt>
                <c:pt idx="3">
                  <c:v>0.11790273355684378</c:v>
                </c:pt>
                <c:pt idx="4">
                  <c:v>0.11888682981028298</c:v>
                </c:pt>
                <c:pt idx="5">
                  <c:v>0.12961473314859606</c:v>
                </c:pt>
              </c:numCache>
            </c:numRef>
          </c:val>
          <c:extLst xmlns:c16r2="http://schemas.microsoft.com/office/drawing/2015/06/chart">
            <c:ext xmlns:c16="http://schemas.microsoft.com/office/drawing/2014/chart" uri="{C3380CC4-5D6E-409C-BE32-E72D297353CC}">
              <c16:uniqueId val="{0000000C-FCF0-4C62-87B5-6EDA0D3CB8A5}"/>
            </c:ext>
          </c:extLst>
        </c:ser>
        <c:ser>
          <c:idx val="3"/>
          <c:order val="3"/>
          <c:tx>
            <c:strRef>
              <c:f>'Kompozimi '!$A$18</c:f>
              <c:strCache>
                <c:ptCount val="1"/>
                <c:pt idx="0">
                  <c:v>Garanci</c:v>
                </c:pt>
              </c:strCache>
            </c:strRef>
          </c:tx>
          <c:spPr>
            <a:solidFill>
              <a:schemeClr val="bg1">
                <a:lumMod val="50000"/>
              </a:schemeClr>
            </a:solidFill>
            <a:ln>
              <a:noFill/>
            </a:ln>
            <a:effectLst/>
          </c:spPr>
          <c:invertIfNegative val="0"/>
          <c:dLbls>
            <c:dLbl>
              <c:idx val="0"/>
              <c:layout>
                <c:manualLayout>
                  <c:x val="-3.2081647164625599E-4"/>
                  <c:y val="5.3656849565589491E-3"/>
                </c:manualLayout>
              </c:layout>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D-FCF0-4C62-87B5-6EDA0D3CB8A5}"/>
                </c:ext>
                <c:ext xmlns:c15="http://schemas.microsoft.com/office/drawing/2012/chart" uri="{CE6537A1-D6FC-4f65-9D91-7224C49458BB}"/>
              </c:extLst>
            </c:dLbl>
            <c:dLbl>
              <c:idx val="1"/>
              <c:layout>
                <c:manualLayout>
                  <c:x val="0"/>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CF0-4C62-87B5-6EDA0D3CB8A5}"/>
                </c:ext>
                <c:ext xmlns:c15="http://schemas.microsoft.com/office/drawing/2012/chart" uri="{CE6537A1-D6FC-4f65-9D91-7224C49458BB}"/>
              </c:extLst>
            </c:dLbl>
            <c:dLbl>
              <c:idx val="2"/>
              <c:layout>
                <c:manualLayout>
                  <c:x val="-2.251849992854479E-3"/>
                  <c:y val="1.51802626304964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FCF0-4C62-87B5-6EDA0D3CB8A5}"/>
                </c:ext>
                <c:ext xmlns:c15="http://schemas.microsoft.com/office/drawing/2012/chart" uri="{CE6537A1-D6FC-4f65-9D91-7224C49458BB}"/>
              </c:extLst>
            </c:dLbl>
            <c:dLbl>
              <c:idx val="3"/>
              <c:layout>
                <c:manualLayout>
                  <c:x val="-3.2081647164622351E-4"/>
                  <c:y val="5.36568495655894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FCF0-4C62-87B5-6EDA0D3CB8A5}"/>
                </c:ext>
                <c:ext xmlns:c15="http://schemas.microsoft.com/office/drawing/2012/chart" uri="{CE6537A1-D6FC-4f65-9D91-7224C49458BB}"/>
              </c:extLst>
            </c:dLbl>
            <c:dLbl>
              <c:idx val="4"/>
              <c:layout>
                <c:manualLayout>
                  <c:x val="-2.2518499928546086E-3"/>
                  <c:y val="1.51802626304964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'!$B$14:$G$14</c:f>
              <c:strCache>
                <c:ptCount val="6"/>
                <c:pt idx="0">
                  <c:v>2016</c:v>
                </c:pt>
                <c:pt idx="1">
                  <c:v>2017</c:v>
                </c:pt>
                <c:pt idx="2">
                  <c:v>2018</c:v>
                </c:pt>
                <c:pt idx="3">
                  <c:v>2019</c:v>
                </c:pt>
                <c:pt idx="4">
                  <c:v>2020</c:v>
                </c:pt>
                <c:pt idx="5">
                  <c:v>Mar-21</c:v>
                </c:pt>
              </c:strCache>
            </c:strRef>
          </c:cat>
          <c:val>
            <c:numRef>
              <c:f>'Kompozimi '!$B$18:$G$18</c:f>
              <c:numCache>
                <c:formatCode>0.0%</c:formatCode>
                <c:ptCount val="6"/>
                <c:pt idx="0">
                  <c:v>5.0128872716616181E-2</c:v>
                </c:pt>
                <c:pt idx="1">
                  <c:v>4.5843210333488496E-2</c:v>
                </c:pt>
                <c:pt idx="2">
                  <c:v>4.0343809343843788E-2</c:v>
                </c:pt>
                <c:pt idx="3">
                  <c:v>3.7616232088568298E-2</c:v>
                </c:pt>
                <c:pt idx="4">
                  <c:v>3.9864341767142562E-2</c:v>
                </c:pt>
                <c:pt idx="5">
                  <c:v>3.8497755472140467E-2</c:v>
                </c:pt>
              </c:numCache>
            </c:numRef>
          </c:val>
          <c:extLst xmlns:c16r2="http://schemas.microsoft.com/office/drawing/2015/06/chart">
            <c:ext xmlns:c16="http://schemas.microsoft.com/office/drawing/2014/chart" uri="{C3380CC4-5D6E-409C-BE32-E72D297353CC}">
              <c16:uniqueId val="{00000012-FCF0-4C62-87B5-6EDA0D3CB8A5}"/>
            </c:ext>
          </c:extLst>
        </c:ser>
        <c:ser>
          <c:idx val="4"/>
          <c:order val="4"/>
          <c:tx>
            <c:strRef>
              <c:f>'Kompozimi '!$A$19</c:f>
              <c:strCache>
                <c:ptCount val="1"/>
                <c:pt idx="0">
                  <c:v>Borxhi i Pushtetit Lokal</c:v>
                </c:pt>
              </c:strCache>
            </c:strRef>
          </c:tx>
          <c:spPr>
            <a:solidFill>
              <a:schemeClr val="accent6">
                <a:lumMod val="75000"/>
              </a:schemeClr>
            </a:solidFill>
            <a:ln>
              <a:noFill/>
            </a:ln>
            <a:effectLst/>
          </c:spPr>
          <c:invertIfNegative val="0"/>
          <c:dLbls>
            <c:dLbl>
              <c:idx val="0"/>
              <c:layout>
                <c:manualLayout>
                  <c:x val="2.9336270348283358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FCF0-4C62-87B5-6EDA0D3CB8A5}"/>
                </c:ext>
                <c:ext xmlns:c15="http://schemas.microsoft.com/office/drawing/2012/chart" uri="{CE6537A1-D6FC-4f65-9D91-7224C49458BB}"/>
              </c:extLst>
            </c:dLbl>
            <c:dLbl>
              <c:idx val="1"/>
              <c:layout>
                <c:manualLayout>
                  <c:x val="4.4004405522425306E-3"/>
                  <c:y val="9.40070157361822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FCF0-4C62-87B5-6EDA0D3CB8A5}"/>
                </c:ext>
                <c:ext xmlns:c15="http://schemas.microsoft.com/office/drawing/2012/chart" uri="{CE6537A1-D6FC-4f65-9D91-7224C49458BB}"/>
              </c:extLst>
            </c:dLbl>
            <c:dLbl>
              <c:idx val="2"/>
              <c:layout>
                <c:manualLayout>
                  <c:x val="2.9336270348283896E-3"/>
                  <c:y val="9.40070157361822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FCF0-4C62-87B5-6EDA0D3CB8A5}"/>
                </c:ext>
                <c:ext xmlns:c15="http://schemas.microsoft.com/office/drawing/2012/chart" uri="{CE6537A1-D6FC-4f65-9D91-7224C49458BB}"/>
              </c:extLst>
            </c:dLbl>
            <c:dLbl>
              <c:idx val="3"/>
              <c:layout>
                <c:manualLayout>
                  <c:x val="0"/>
                  <c:y val="6.26713438241215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FCF0-4C62-87B5-6EDA0D3CB8A5}"/>
                </c:ext>
                <c:ext xmlns:c15="http://schemas.microsoft.com/office/drawing/2012/chart" uri="{CE6537A1-D6FC-4f65-9D91-7224C49458BB}"/>
              </c:extLst>
            </c:dLbl>
            <c:dLbl>
              <c:idx val="4"/>
              <c:layout>
                <c:manualLayout>
                  <c:x val="0"/>
                  <c:y val="9.40070157361822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6">
                        <a:lumMod val="7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'!$B$14:$G$14</c:f>
              <c:strCache>
                <c:ptCount val="6"/>
                <c:pt idx="0">
                  <c:v>2016</c:v>
                </c:pt>
                <c:pt idx="1">
                  <c:v>2017</c:v>
                </c:pt>
                <c:pt idx="2">
                  <c:v>2018</c:v>
                </c:pt>
                <c:pt idx="3">
                  <c:v>2019</c:v>
                </c:pt>
                <c:pt idx="4">
                  <c:v>2020</c:v>
                </c:pt>
                <c:pt idx="5">
                  <c:v>Mar-21</c:v>
                </c:pt>
              </c:strCache>
            </c:strRef>
          </c:cat>
          <c:val>
            <c:numRef>
              <c:f>'Kompozimi '!$B$19:$G$19</c:f>
              <c:numCache>
                <c:formatCode>0.0%</c:formatCode>
                <c:ptCount val="6"/>
                <c:pt idx="0">
                  <c:v>8.4505046260183344E-4</c:v>
                </c:pt>
                <c:pt idx="1">
                  <c:v>7.604147410120197E-4</c:v>
                </c:pt>
                <c:pt idx="2">
                  <c:v>6.4631961024783937E-4</c:v>
                </c:pt>
                <c:pt idx="3">
                  <c:v>5.2282736488029971E-4</c:v>
                </c:pt>
                <c:pt idx="4">
                  <c:v>3.5290777367405452E-4</c:v>
                </c:pt>
                <c:pt idx="5">
                  <c:v>3.1538482030261028E-4</c:v>
                </c:pt>
              </c:numCache>
            </c:numRef>
          </c:val>
          <c:extLst xmlns:c16r2="http://schemas.microsoft.com/office/drawing/2015/06/chart">
            <c:ext xmlns:c16="http://schemas.microsoft.com/office/drawing/2014/chart" uri="{C3380CC4-5D6E-409C-BE32-E72D297353CC}">
              <c16:uniqueId val="{00000018-FCF0-4C62-87B5-6EDA0D3CB8A5}"/>
            </c:ext>
          </c:extLst>
        </c:ser>
        <c:dLbls>
          <c:showLegendKey val="0"/>
          <c:showVal val="0"/>
          <c:showCatName val="0"/>
          <c:showSerName val="0"/>
          <c:showPercent val="0"/>
          <c:showBubbleSize val="0"/>
        </c:dLbls>
        <c:gapWidth val="118"/>
        <c:axId val="1278331072"/>
        <c:axId val="1278324544"/>
      </c:barChart>
      <c:catAx>
        <c:axId val="127833107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24544"/>
        <c:crosses val="autoZero"/>
        <c:auto val="1"/>
        <c:lblAlgn val="ctr"/>
        <c:lblOffset val="100"/>
        <c:noMultiLvlLbl val="0"/>
      </c:catAx>
      <c:valAx>
        <c:axId val="1278324544"/>
        <c:scaling>
          <c:orientation val="minMax"/>
          <c:max val="0.8"/>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31072"/>
        <c:crosses val="autoZero"/>
        <c:crossBetween val="between"/>
        <c:majorUnit val="0.2"/>
      </c:valAx>
      <c:spPr>
        <a:noFill/>
        <a:ln>
          <a:noFill/>
        </a:ln>
        <a:effectLst/>
      </c:spPr>
    </c:plotArea>
    <c:legend>
      <c:legendPos val="b"/>
      <c:layout>
        <c:manualLayout>
          <c:xMode val="edge"/>
          <c:yMode val="edge"/>
          <c:x val="2.1246448789780839E-2"/>
          <c:y val="0.85752988418983156"/>
          <c:w val="0.9649947797729721"/>
          <c:h val="0.125026423153705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149618778320626E-2"/>
          <c:y val="5.0925925925925923E-2"/>
          <c:w val="0.88937625868155079"/>
          <c:h val="0.66638025085573982"/>
        </c:manualLayout>
      </c:layout>
      <c:barChart>
        <c:barDir val="col"/>
        <c:grouping val="stacked"/>
        <c:varyColors val="0"/>
        <c:ser>
          <c:idx val="0"/>
          <c:order val="0"/>
          <c:tx>
            <c:strRef>
              <c:f>'Kompozimi '!$A$46</c:f>
              <c:strCache>
                <c:ptCount val="1"/>
                <c:pt idx="0">
                  <c:v>Tituj Shtetërorë Vendas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'!$B$45:$G$45</c:f>
              <c:strCache>
                <c:ptCount val="6"/>
                <c:pt idx="0">
                  <c:v>2016</c:v>
                </c:pt>
                <c:pt idx="1">
                  <c:v>2017</c:v>
                </c:pt>
                <c:pt idx="2">
                  <c:v>2018</c:v>
                </c:pt>
                <c:pt idx="3">
                  <c:v>2019</c:v>
                </c:pt>
                <c:pt idx="4">
                  <c:v>2020</c:v>
                </c:pt>
                <c:pt idx="5">
                  <c:v>Mar-21</c:v>
                </c:pt>
              </c:strCache>
            </c:strRef>
          </c:cat>
          <c:val>
            <c:numRef>
              <c:f>'Kompozimi '!$B$46:$G$46</c:f>
              <c:numCache>
                <c:formatCode>0.0%</c:formatCode>
                <c:ptCount val="6"/>
                <c:pt idx="0">
                  <c:v>0.52441471617272073</c:v>
                </c:pt>
                <c:pt idx="1">
                  <c:v>0.52719188125054073</c:v>
                </c:pt>
                <c:pt idx="2">
                  <c:v>0.53215391762800057</c:v>
                </c:pt>
                <c:pt idx="3">
                  <c:v>0.54395463759693086</c:v>
                </c:pt>
                <c:pt idx="4">
                  <c:v>0.53674051046029114</c:v>
                </c:pt>
                <c:pt idx="5">
                  <c:v>0.53596079928004425</c:v>
                </c:pt>
              </c:numCache>
            </c:numRef>
          </c:val>
          <c:extLst xmlns:c16r2="http://schemas.microsoft.com/office/drawing/2015/06/chart">
            <c:ext xmlns:c16="http://schemas.microsoft.com/office/drawing/2014/chart" uri="{C3380CC4-5D6E-409C-BE32-E72D297353CC}">
              <c16:uniqueId val="{00000000-F05C-4477-BC14-617F3DBE7433}"/>
            </c:ext>
          </c:extLst>
        </c:ser>
        <c:ser>
          <c:idx val="1"/>
          <c:order val="1"/>
          <c:tx>
            <c:strRef>
              <c:f>'Kompozimi '!$A$47</c:f>
              <c:strCache>
                <c:ptCount val="1"/>
                <c:pt idx="0">
                  <c:v>Tituj Ndërkombëtarë</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'!$B$45:$G$45</c:f>
              <c:strCache>
                <c:ptCount val="6"/>
                <c:pt idx="0">
                  <c:v>2016</c:v>
                </c:pt>
                <c:pt idx="1">
                  <c:v>2017</c:v>
                </c:pt>
                <c:pt idx="2">
                  <c:v>2018</c:v>
                </c:pt>
                <c:pt idx="3">
                  <c:v>2019</c:v>
                </c:pt>
                <c:pt idx="4">
                  <c:v>2020</c:v>
                </c:pt>
                <c:pt idx="5">
                  <c:v>Mar-21</c:v>
                </c:pt>
              </c:strCache>
            </c:strRef>
          </c:cat>
          <c:val>
            <c:numRef>
              <c:f>'Kompozimi '!$B$47:$G$47</c:f>
              <c:numCache>
                <c:formatCode>0.0%</c:formatCode>
                <c:ptCount val="6"/>
                <c:pt idx="0">
                  <c:v>6.0117569616085005E-2</c:v>
                </c:pt>
                <c:pt idx="1">
                  <c:v>5.766746724111086E-2</c:v>
                </c:pt>
                <c:pt idx="2">
                  <c:v>8.7169490773194941E-2</c:v>
                </c:pt>
                <c:pt idx="3">
                  <c:v>8.5337538486562989E-2</c:v>
                </c:pt>
                <c:pt idx="4">
                  <c:v>0.12104485195545692</c:v>
                </c:pt>
                <c:pt idx="5">
                  <c:v>0.11600278066608906</c:v>
                </c:pt>
              </c:numCache>
            </c:numRef>
          </c:val>
          <c:extLst xmlns:c16r2="http://schemas.microsoft.com/office/drawing/2015/06/chart">
            <c:ext xmlns:c16="http://schemas.microsoft.com/office/drawing/2014/chart" uri="{C3380CC4-5D6E-409C-BE32-E72D297353CC}">
              <c16:uniqueId val="{00000001-F05C-4477-BC14-617F3DBE7433}"/>
            </c:ext>
          </c:extLst>
        </c:ser>
        <c:ser>
          <c:idx val="2"/>
          <c:order val="2"/>
          <c:tx>
            <c:strRef>
              <c:f>'Kompozimi '!$A$48</c:f>
              <c:strCache>
                <c:ptCount val="1"/>
                <c:pt idx="0">
                  <c:v>Hua (terma konsesionale)</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'!$B$45:$G$45</c:f>
              <c:strCache>
                <c:ptCount val="6"/>
                <c:pt idx="0">
                  <c:v>2016</c:v>
                </c:pt>
                <c:pt idx="1">
                  <c:v>2017</c:v>
                </c:pt>
                <c:pt idx="2">
                  <c:v>2018</c:v>
                </c:pt>
                <c:pt idx="3">
                  <c:v>2019</c:v>
                </c:pt>
                <c:pt idx="4">
                  <c:v>2020</c:v>
                </c:pt>
                <c:pt idx="5">
                  <c:v>Mar-21</c:v>
                </c:pt>
              </c:strCache>
            </c:strRef>
          </c:cat>
          <c:val>
            <c:numRef>
              <c:f>'Kompozimi '!$B$48:$G$48</c:f>
              <c:numCache>
                <c:formatCode>0.0%</c:formatCode>
                <c:ptCount val="6"/>
                <c:pt idx="0">
                  <c:v>0.23837070574414806</c:v>
                </c:pt>
                <c:pt idx="1">
                  <c:v>0.23874347488201014</c:v>
                </c:pt>
                <c:pt idx="2">
                  <c:v>0.21839607793539587</c:v>
                </c:pt>
                <c:pt idx="3">
                  <c:v>0.21027132013156263</c:v>
                </c:pt>
                <c:pt idx="4">
                  <c:v>0.18489105018654078</c:v>
                </c:pt>
                <c:pt idx="5">
                  <c:v>0.18819747166962014</c:v>
                </c:pt>
              </c:numCache>
            </c:numRef>
          </c:val>
          <c:extLst xmlns:c16r2="http://schemas.microsoft.com/office/drawing/2015/06/chart">
            <c:ext xmlns:c16="http://schemas.microsoft.com/office/drawing/2014/chart" uri="{C3380CC4-5D6E-409C-BE32-E72D297353CC}">
              <c16:uniqueId val="{00000002-F05C-4477-BC14-617F3DBE7433}"/>
            </c:ext>
          </c:extLst>
        </c:ser>
        <c:ser>
          <c:idx val="3"/>
          <c:order val="3"/>
          <c:tx>
            <c:strRef>
              <c:f>'Kompozimi '!$A$49</c:f>
              <c:strCache>
                <c:ptCount val="1"/>
                <c:pt idx="0">
                  <c:v>Hua (terma jo-konsesionale)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'!$B$45:$G$45</c:f>
              <c:strCache>
                <c:ptCount val="6"/>
                <c:pt idx="0">
                  <c:v>2016</c:v>
                </c:pt>
                <c:pt idx="1">
                  <c:v>2017</c:v>
                </c:pt>
                <c:pt idx="2">
                  <c:v>2018</c:v>
                </c:pt>
                <c:pt idx="3">
                  <c:v>2019</c:v>
                </c:pt>
                <c:pt idx="4">
                  <c:v>2020</c:v>
                </c:pt>
                <c:pt idx="5">
                  <c:v>Mar-21</c:v>
                </c:pt>
              </c:strCache>
            </c:strRef>
          </c:cat>
          <c:val>
            <c:numRef>
              <c:f>'Kompozimi '!$B$49:$G$49</c:f>
              <c:numCache>
                <c:formatCode>0.0%</c:formatCode>
                <c:ptCount val="6"/>
                <c:pt idx="0">
                  <c:v>0.17709700846704618</c:v>
                </c:pt>
                <c:pt idx="1">
                  <c:v>0.17639717662633841</c:v>
                </c:pt>
                <c:pt idx="2">
                  <c:v>0.16228051366340859</c:v>
                </c:pt>
                <c:pt idx="3">
                  <c:v>0.16043650378494348</c:v>
                </c:pt>
                <c:pt idx="4">
                  <c:v>0.1573235873977111</c:v>
                </c:pt>
                <c:pt idx="5">
                  <c:v>0.15983894838424659</c:v>
                </c:pt>
              </c:numCache>
            </c:numRef>
          </c:val>
          <c:extLst xmlns:c16r2="http://schemas.microsoft.com/office/drawing/2015/06/chart">
            <c:ext xmlns:c16="http://schemas.microsoft.com/office/drawing/2014/chart" uri="{C3380CC4-5D6E-409C-BE32-E72D297353CC}">
              <c16:uniqueId val="{00000003-F05C-4477-BC14-617F3DBE7433}"/>
            </c:ext>
          </c:extLst>
        </c:ser>
        <c:dLbls>
          <c:showLegendKey val="0"/>
          <c:showVal val="0"/>
          <c:showCatName val="0"/>
          <c:showSerName val="0"/>
          <c:showPercent val="0"/>
          <c:showBubbleSize val="0"/>
        </c:dLbls>
        <c:gapWidth val="177"/>
        <c:overlap val="100"/>
        <c:axId val="1278300064"/>
        <c:axId val="1278311488"/>
      </c:barChart>
      <c:catAx>
        <c:axId val="127830006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11488"/>
        <c:crosses val="autoZero"/>
        <c:auto val="1"/>
        <c:lblAlgn val="ctr"/>
        <c:lblOffset val="100"/>
        <c:noMultiLvlLbl val="0"/>
      </c:catAx>
      <c:valAx>
        <c:axId val="1278311488"/>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00064"/>
        <c:crosses val="autoZero"/>
        <c:crossBetween val="between"/>
        <c:majorUnit val="0.2"/>
      </c:valAx>
      <c:spPr>
        <a:noFill/>
        <a:ln>
          <a:noFill/>
        </a:ln>
        <a:effectLst/>
      </c:spPr>
    </c:plotArea>
    <c:legend>
      <c:legendPos val="b"/>
      <c:layout>
        <c:manualLayout>
          <c:xMode val="edge"/>
          <c:yMode val="edge"/>
          <c:x val="6.4610993578107984E-2"/>
          <c:y val="0.83359967100886578"/>
          <c:w val="0.89645156040709539"/>
          <c:h val="0.1393001681241457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46887563910002"/>
          <c:y val="6.0109289617486336E-2"/>
          <c:w val="0.85611093411011485"/>
          <c:h val="0.7297895959726346"/>
        </c:manualLayout>
      </c:layout>
      <c:barChart>
        <c:barDir val="col"/>
        <c:grouping val="stacked"/>
        <c:varyColors val="0"/>
        <c:ser>
          <c:idx val="0"/>
          <c:order val="0"/>
          <c:tx>
            <c:strRef>
              <c:f>'BB sipas titujve'!$A$22</c:f>
              <c:strCache>
                <c:ptCount val="1"/>
                <c:pt idx="0">
                  <c:v>Deri në 1 vit</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1"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titujve'!$B$21:$G$21</c:f>
              <c:strCache>
                <c:ptCount val="6"/>
                <c:pt idx="0">
                  <c:v>2016</c:v>
                </c:pt>
                <c:pt idx="1">
                  <c:v>2017</c:v>
                </c:pt>
                <c:pt idx="2">
                  <c:v>2018</c:v>
                </c:pt>
                <c:pt idx="3">
                  <c:v>2019</c:v>
                </c:pt>
                <c:pt idx="4">
                  <c:v>2020</c:v>
                </c:pt>
                <c:pt idx="5">
                  <c:v>Mar-21</c:v>
                </c:pt>
              </c:strCache>
            </c:strRef>
          </c:cat>
          <c:val>
            <c:numRef>
              <c:f>'BB sipas titujve'!$B$22:$G$22</c:f>
              <c:numCache>
                <c:formatCode>0.0%</c:formatCode>
                <c:ptCount val="6"/>
                <c:pt idx="0">
                  <c:v>0.39448993948019762</c:v>
                </c:pt>
                <c:pt idx="1">
                  <c:v>0.35661495929817533</c:v>
                </c:pt>
                <c:pt idx="2">
                  <c:v>0.3442709566429682</c:v>
                </c:pt>
                <c:pt idx="3">
                  <c:v>0.33280782747200321</c:v>
                </c:pt>
                <c:pt idx="4">
                  <c:v>0.31775421977996743</c:v>
                </c:pt>
                <c:pt idx="5">
                  <c:v>0.33540210975308832</c:v>
                </c:pt>
              </c:numCache>
            </c:numRef>
          </c:val>
          <c:extLst xmlns:c16r2="http://schemas.microsoft.com/office/drawing/2015/06/chart">
            <c:ext xmlns:c16="http://schemas.microsoft.com/office/drawing/2014/chart" uri="{C3380CC4-5D6E-409C-BE32-E72D297353CC}">
              <c16:uniqueId val="{00000000-7447-4BBD-BE0A-A4A8D4EDE943}"/>
            </c:ext>
          </c:extLst>
        </c:ser>
        <c:ser>
          <c:idx val="1"/>
          <c:order val="1"/>
          <c:tx>
            <c:strRef>
              <c:f>'BB sipas titujve'!$A$23</c:f>
              <c:strCache>
                <c:ptCount val="1"/>
                <c:pt idx="0">
                  <c:v>1 deri në 3 vite</c:v>
                </c:pt>
              </c:strCache>
            </c:strRef>
          </c:tx>
          <c:spPr>
            <a:solidFill>
              <a:srgbClr val="C00000"/>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1"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titujve'!$B$21:$G$21</c:f>
              <c:strCache>
                <c:ptCount val="6"/>
                <c:pt idx="0">
                  <c:v>2016</c:v>
                </c:pt>
                <c:pt idx="1">
                  <c:v>2017</c:v>
                </c:pt>
                <c:pt idx="2">
                  <c:v>2018</c:v>
                </c:pt>
                <c:pt idx="3">
                  <c:v>2019</c:v>
                </c:pt>
                <c:pt idx="4">
                  <c:v>2020</c:v>
                </c:pt>
                <c:pt idx="5">
                  <c:v>Mar-21</c:v>
                </c:pt>
              </c:strCache>
            </c:strRef>
          </c:cat>
          <c:val>
            <c:numRef>
              <c:f>'BB sipas titujve'!$B$23:$G$23</c:f>
              <c:numCache>
                <c:formatCode>0.0%</c:formatCode>
                <c:ptCount val="6"/>
                <c:pt idx="0">
                  <c:v>0.21210635631980793</c:v>
                </c:pt>
                <c:pt idx="1">
                  <c:v>0.21967232831650157</c:v>
                </c:pt>
                <c:pt idx="2">
                  <c:v>0.211345530552463</c:v>
                </c:pt>
                <c:pt idx="3">
                  <c:v>0.19409928641828114</c:v>
                </c:pt>
                <c:pt idx="4">
                  <c:v>0.22323347449328904</c:v>
                </c:pt>
                <c:pt idx="5">
                  <c:v>0.22368208417539739</c:v>
                </c:pt>
              </c:numCache>
            </c:numRef>
          </c:val>
          <c:extLst xmlns:c16r2="http://schemas.microsoft.com/office/drawing/2015/06/chart">
            <c:ext xmlns:c16="http://schemas.microsoft.com/office/drawing/2014/chart" uri="{C3380CC4-5D6E-409C-BE32-E72D297353CC}">
              <c16:uniqueId val="{00000001-7447-4BBD-BE0A-A4A8D4EDE943}"/>
            </c:ext>
          </c:extLst>
        </c:ser>
        <c:ser>
          <c:idx val="2"/>
          <c:order val="2"/>
          <c:tx>
            <c:strRef>
              <c:f>'BB sipas titujve'!$A$24</c:f>
              <c:strCache>
                <c:ptCount val="1"/>
                <c:pt idx="0">
                  <c:v>3 deri në 5 vite</c:v>
                </c:pt>
              </c:strCache>
            </c:strRef>
          </c:tx>
          <c:spPr>
            <a:solidFill>
              <a:schemeClr val="bg1">
                <a:lumMod val="75000"/>
              </a:schemeClr>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1"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titujve'!$B$21:$G$21</c:f>
              <c:strCache>
                <c:ptCount val="6"/>
                <c:pt idx="0">
                  <c:v>2016</c:v>
                </c:pt>
                <c:pt idx="1">
                  <c:v>2017</c:v>
                </c:pt>
                <c:pt idx="2">
                  <c:v>2018</c:v>
                </c:pt>
                <c:pt idx="3">
                  <c:v>2019</c:v>
                </c:pt>
                <c:pt idx="4">
                  <c:v>2020</c:v>
                </c:pt>
                <c:pt idx="5">
                  <c:v>Mar-21</c:v>
                </c:pt>
              </c:strCache>
            </c:strRef>
          </c:cat>
          <c:val>
            <c:numRef>
              <c:f>'BB sipas titujve'!$B$24:$G$24</c:f>
              <c:numCache>
                <c:formatCode>0.0%</c:formatCode>
                <c:ptCount val="6"/>
                <c:pt idx="0">
                  <c:v>0.18542036666349801</c:v>
                </c:pt>
                <c:pt idx="1">
                  <c:v>0.18854049117130847</c:v>
                </c:pt>
                <c:pt idx="2">
                  <c:v>0.17920198206823099</c:v>
                </c:pt>
                <c:pt idx="3">
                  <c:v>0.18478358708844891</c:v>
                </c:pt>
                <c:pt idx="4">
                  <c:v>0.17888171080938328</c:v>
                </c:pt>
                <c:pt idx="5">
                  <c:v>0.16631997663104822</c:v>
                </c:pt>
              </c:numCache>
            </c:numRef>
          </c:val>
          <c:extLst xmlns:c16r2="http://schemas.microsoft.com/office/drawing/2015/06/chart">
            <c:ext xmlns:c16="http://schemas.microsoft.com/office/drawing/2014/chart" uri="{C3380CC4-5D6E-409C-BE32-E72D297353CC}">
              <c16:uniqueId val="{00000002-7447-4BBD-BE0A-A4A8D4EDE943}"/>
            </c:ext>
          </c:extLst>
        </c:ser>
        <c:ser>
          <c:idx val="3"/>
          <c:order val="3"/>
          <c:tx>
            <c:strRef>
              <c:f>'BB sipas titujve'!$A$25</c:f>
              <c:strCache>
                <c:ptCount val="1"/>
                <c:pt idx="0">
                  <c:v>Mbi 5 vite</c:v>
                </c:pt>
              </c:strCache>
            </c:strRef>
          </c:tx>
          <c:spPr>
            <a:solidFill>
              <a:schemeClr val="accent6">
                <a:lumMod val="75000"/>
              </a:schemeClr>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1"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titujve'!$B$21:$G$21</c:f>
              <c:strCache>
                <c:ptCount val="6"/>
                <c:pt idx="0">
                  <c:v>2016</c:v>
                </c:pt>
                <c:pt idx="1">
                  <c:v>2017</c:v>
                </c:pt>
                <c:pt idx="2">
                  <c:v>2018</c:v>
                </c:pt>
                <c:pt idx="3">
                  <c:v>2019</c:v>
                </c:pt>
                <c:pt idx="4">
                  <c:v>2020</c:v>
                </c:pt>
                <c:pt idx="5">
                  <c:v>Mar-21</c:v>
                </c:pt>
              </c:strCache>
            </c:strRef>
          </c:cat>
          <c:val>
            <c:numRef>
              <c:f>'BB sipas titujve'!$B$25:$G$25</c:f>
              <c:numCache>
                <c:formatCode>0.0%</c:formatCode>
                <c:ptCount val="6"/>
                <c:pt idx="0">
                  <c:v>0.20798333753649637</c:v>
                </c:pt>
                <c:pt idx="1">
                  <c:v>0.23517222121401465</c:v>
                </c:pt>
                <c:pt idx="2">
                  <c:v>0.26518153073633771</c:v>
                </c:pt>
                <c:pt idx="3">
                  <c:v>0.28830929902126662</c:v>
                </c:pt>
                <c:pt idx="4">
                  <c:v>0.28013059491736025</c:v>
                </c:pt>
                <c:pt idx="5">
                  <c:v>0.27459582944046623</c:v>
                </c:pt>
              </c:numCache>
            </c:numRef>
          </c:val>
          <c:extLst xmlns:c16r2="http://schemas.microsoft.com/office/drawing/2015/06/chart">
            <c:ext xmlns:c16="http://schemas.microsoft.com/office/drawing/2014/chart" uri="{C3380CC4-5D6E-409C-BE32-E72D297353CC}">
              <c16:uniqueId val="{00000003-7447-4BBD-BE0A-A4A8D4EDE943}"/>
            </c:ext>
          </c:extLst>
        </c:ser>
        <c:dLbls>
          <c:showLegendKey val="0"/>
          <c:showVal val="0"/>
          <c:showCatName val="0"/>
          <c:showSerName val="0"/>
          <c:showPercent val="0"/>
          <c:showBubbleSize val="0"/>
        </c:dLbls>
        <c:gapWidth val="150"/>
        <c:overlap val="100"/>
        <c:axId val="1278304960"/>
        <c:axId val="1278326720"/>
      </c:barChart>
      <c:catAx>
        <c:axId val="12783049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1278326720"/>
        <c:crosses val="autoZero"/>
        <c:auto val="1"/>
        <c:lblAlgn val="ctr"/>
        <c:lblOffset val="100"/>
        <c:noMultiLvlLbl val="0"/>
      </c:catAx>
      <c:valAx>
        <c:axId val="1278326720"/>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crossAx val="1278304960"/>
        <c:crosses val="autoZero"/>
        <c:crossBetween val="between"/>
        <c:majorUnit val="0.2"/>
      </c:valAx>
      <c:spPr>
        <a:noFill/>
        <a:ln>
          <a:noFill/>
        </a:ln>
        <a:effectLst/>
      </c:spPr>
    </c:plotArea>
    <c:legend>
      <c:legendPos val="b"/>
      <c:layout>
        <c:manualLayout>
          <c:xMode val="edge"/>
          <c:yMode val="edge"/>
          <c:x val="0"/>
          <c:y val="0.89028720330821953"/>
          <c:w val="1"/>
          <c:h val="8.0935818274514251E-2"/>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6350" cap="flat" cmpd="sng" algn="ctr">
      <a:noFill/>
      <a:round/>
    </a:ln>
    <a:effectLst/>
  </c:spPr>
  <c:txPr>
    <a:bodyPr/>
    <a:lstStyle/>
    <a:p>
      <a:pPr>
        <a:defRPr>
          <a:ln>
            <a:noFill/>
          </a:ln>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85308676806278"/>
          <c:y val="6.6971080669710803E-2"/>
          <c:w val="0.80037275470859304"/>
          <c:h val="0.69132291299408466"/>
        </c:manualLayout>
      </c:layout>
      <c:barChart>
        <c:barDir val="col"/>
        <c:grouping val="stacked"/>
        <c:varyColors val="0"/>
        <c:ser>
          <c:idx val="0"/>
          <c:order val="0"/>
          <c:tx>
            <c:strRef>
              <c:f>'BB Fix Variabel'!$A$9</c:f>
              <c:strCache>
                <c:ptCount val="1"/>
                <c:pt idx="0">
                  <c:v>Fiks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'BB Fix Variabel'!$B$8:$G$8</c:f>
              <c:numCache>
                <c:formatCode>General</c:formatCode>
                <c:ptCount val="6"/>
                <c:pt idx="0">
                  <c:v>2016</c:v>
                </c:pt>
                <c:pt idx="1">
                  <c:v>2017</c:v>
                </c:pt>
                <c:pt idx="2">
                  <c:v>2018</c:v>
                </c:pt>
                <c:pt idx="3">
                  <c:v>2019</c:v>
                </c:pt>
                <c:pt idx="4">
                  <c:v>2020</c:v>
                </c:pt>
                <c:pt idx="5" formatCode="mmm\-yy">
                  <c:v>44256</c:v>
                </c:pt>
              </c:numCache>
            </c:numRef>
          </c:cat>
          <c:val>
            <c:numRef>
              <c:f>'BB Fix Variabel'!$B$9:$G$9</c:f>
              <c:numCache>
                <c:formatCode>0.0%</c:formatCode>
                <c:ptCount val="6"/>
                <c:pt idx="0">
                  <c:v>0.87327515660342026</c:v>
                </c:pt>
                <c:pt idx="1">
                  <c:v>0.9120890588503141</c:v>
                </c:pt>
                <c:pt idx="2">
                  <c:v>0.93514088654326621</c:v>
                </c:pt>
                <c:pt idx="3">
                  <c:v>0.95232828722443164</c:v>
                </c:pt>
                <c:pt idx="4">
                  <c:v>0.97079033208958876</c:v>
                </c:pt>
                <c:pt idx="5">
                  <c:v>0.97635511741541103</c:v>
                </c:pt>
              </c:numCache>
            </c:numRef>
          </c:val>
          <c:extLst xmlns:c16r2="http://schemas.microsoft.com/office/drawing/2015/06/chart">
            <c:ext xmlns:c16="http://schemas.microsoft.com/office/drawing/2014/chart" uri="{C3380CC4-5D6E-409C-BE32-E72D297353CC}">
              <c16:uniqueId val="{00000000-158F-47BB-BACB-FD77607B2F88}"/>
            </c:ext>
          </c:extLst>
        </c:ser>
        <c:ser>
          <c:idx val="1"/>
          <c:order val="1"/>
          <c:tx>
            <c:strRef>
              <c:f>'BB Fix Variabel'!$A$10</c:f>
              <c:strCache>
                <c:ptCount val="1"/>
                <c:pt idx="0">
                  <c:v>Me norma të ndryshueshme</c:v>
                </c:pt>
              </c:strCache>
            </c:strRef>
          </c:tx>
          <c:spPr>
            <a:solidFill>
              <a:srgbClr val="C00000"/>
            </a:solidFill>
            <a:ln>
              <a:noFill/>
            </a:ln>
            <a:effectLst/>
          </c:spPr>
          <c:invertIfNegative val="0"/>
          <c:dLbls>
            <c:dLbl>
              <c:idx val="0"/>
              <c:layout>
                <c:manualLayout>
                  <c:x val="-4.3431053203040176E-3"/>
                  <c:y val="-6.1039166220727262E-2"/>
                </c:manualLayout>
              </c:layout>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1-158F-47BB-BACB-FD77607B2F88}"/>
                </c:ext>
                <c:ext xmlns:c15="http://schemas.microsoft.com/office/drawing/2012/chart" uri="{CE6537A1-D6FC-4f65-9D91-7224C49458BB}"/>
              </c:extLst>
            </c:dLbl>
            <c:dLbl>
              <c:idx val="1"/>
              <c:layout>
                <c:manualLayout>
                  <c:x val="0"/>
                  <c:y val="-5.17799352750809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9622677730939374E-17"/>
                  <c:y val="-3.88349514563106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3.236245954692556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9622677730939374E-17"/>
                  <c:y val="-2.58899676375404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58F-47BB-BACB-FD77607B2F88}"/>
                </c:ext>
                <c:ext xmlns:c15="http://schemas.microsoft.com/office/drawing/2012/chart" uri="{CE6537A1-D6FC-4f65-9D91-7224C49458BB}"/>
              </c:extLst>
            </c:dLbl>
            <c:dLbl>
              <c:idx val="5"/>
              <c:layout>
                <c:manualLayout>
                  <c:x val="-1.5924535546187875E-16"/>
                  <c:y val="-2.86767066738016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58F-47BB-BACB-FD77607B2F88}"/>
                </c:ext>
                <c:ext xmlns:c15="http://schemas.microsoft.com/office/drawing/2012/chart" uri="{CE6537A1-D6FC-4f65-9D91-7224C49458BB}"/>
              </c:extLst>
            </c:dLbl>
            <c:dLbl>
              <c:idx val="6"/>
              <c:layout>
                <c:manualLayout>
                  <c:x val="-1.7940669404329091E-16"/>
                  <c:y val="-2.31481481481481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58F-47BB-BACB-FD77607B2F8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'BB Fix Variabel'!$B$8:$G$8</c:f>
              <c:numCache>
                <c:formatCode>General</c:formatCode>
                <c:ptCount val="6"/>
                <c:pt idx="0">
                  <c:v>2016</c:v>
                </c:pt>
                <c:pt idx="1">
                  <c:v>2017</c:v>
                </c:pt>
                <c:pt idx="2">
                  <c:v>2018</c:v>
                </c:pt>
                <c:pt idx="3">
                  <c:v>2019</c:v>
                </c:pt>
                <c:pt idx="4">
                  <c:v>2020</c:v>
                </c:pt>
                <c:pt idx="5" formatCode="mmm\-yy">
                  <c:v>44256</c:v>
                </c:pt>
              </c:numCache>
            </c:numRef>
          </c:cat>
          <c:val>
            <c:numRef>
              <c:f>'BB Fix Variabel'!$B$10:$G$10</c:f>
              <c:numCache>
                <c:formatCode>0.0%</c:formatCode>
                <c:ptCount val="6"/>
                <c:pt idx="0">
                  <c:v>0.12672484339657963</c:v>
                </c:pt>
                <c:pt idx="1">
                  <c:v>8.7910941149686006E-2</c:v>
                </c:pt>
                <c:pt idx="2">
                  <c:v>6.485911345673373E-2</c:v>
                </c:pt>
                <c:pt idx="3">
                  <c:v>4.7671712775568281E-2</c:v>
                </c:pt>
                <c:pt idx="4">
                  <c:v>2.9209667910411366E-2</c:v>
                </c:pt>
                <c:pt idx="5">
                  <c:v>2.3644882584589001E-2</c:v>
                </c:pt>
              </c:numCache>
            </c:numRef>
          </c:val>
          <c:extLst xmlns:c16r2="http://schemas.microsoft.com/office/drawing/2015/06/chart">
            <c:ext xmlns:c16="http://schemas.microsoft.com/office/drawing/2014/chart" uri="{C3380CC4-5D6E-409C-BE32-E72D297353CC}">
              <c16:uniqueId val="{00000005-158F-47BB-BACB-FD77607B2F88}"/>
            </c:ext>
          </c:extLst>
        </c:ser>
        <c:dLbls>
          <c:showLegendKey val="0"/>
          <c:showVal val="0"/>
          <c:showCatName val="0"/>
          <c:showSerName val="0"/>
          <c:showPercent val="0"/>
          <c:showBubbleSize val="0"/>
        </c:dLbls>
        <c:gapWidth val="150"/>
        <c:overlap val="100"/>
        <c:axId val="1278318016"/>
        <c:axId val="1278313664"/>
      </c:barChart>
      <c:catAx>
        <c:axId val="127831801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13664"/>
        <c:crosses val="autoZero"/>
        <c:auto val="1"/>
        <c:lblAlgn val="ctr"/>
        <c:lblOffset val="100"/>
        <c:noMultiLvlLbl val="0"/>
      </c:catAx>
      <c:valAx>
        <c:axId val="1278313664"/>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18016"/>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567147856517928E-2"/>
          <c:y val="5.0925925925925923E-2"/>
          <c:w val="0.87232174103237092"/>
          <c:h val="0.65913296854842296"/>
        </c:manualLayout>
      </c:layout>
      <c:barChart>
        <c:barDir val="col"/>
        <c:grouping val="percentStacked"/>
        <c:varyColors val="0"/>
        <c:ser>
          <c:idx val="0"/>
          <c:order val="0"/>
          <c:tx>
            <c:strRef>
              <c:f>'B.Jashtem sipas instr'!$A$13</c:f>
              <c:strCache>
                <c:ptCount val="1"/>
                <c:pt idx="0">
                  <c:v>Kredi per projekte</c:v>
                </c:pt>
              </c:strCache>
            </c:strRef>
          </c:tx>
          <c:spPr>
            <a:solidFill>
              <a:schemeClr val="accent1">
                <a:lumMod val="60000"/>
                <a:lumOff val="4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instr'!$B$12:$G$12</c:f>
              <c:strCache>
                <c:ptCount val="6"/>
                <c:pt idx="0">
                  <c:v>2016</c:v>
                </c:pt>
                <c:pt idx="1">
                  <c:v>2017</c:v>
                </c:pt>
                <c:pt idx="2">
                  <c:v>2018</c:v>
                </c:pt>
                <c:pt idx="3">
                  <c:v>2019</c:v>
                </c:pt>
                <c:pt idx="4">
                  <c:v>2020</c:v>
                </c:pt>
                <c:pt idx="5">
                  <c:v>Mars 2021</c:v>
                </c:pt>
              </c:strCache>
            </c:strRef>
          </c:cat>
          <c:val>
            <c:numRef>
              <c:f>'B.Jashtem sipas instr'!$B$13:$G$13</c:f>
              <c:numCache>
                <c:formatCode>0.0%</c:formatCode>
                <c:ptCount val="6"/>
                <c:pt idx="0">
                  <c:v>0.60835823562029878</c:v>
                </c:pt>
                <c:pt idx="1">
                  <c:v>0.57612819477198618</c:v>
                </c:pt>
                <c:pt idx="2">
                  <c:v>0.53914670138026288</c:v>
                </c:pt>
                <c:pt idx="3">
                  <c:v>0.54409157434764577</c:v>
                </c:pt>
                <c:pt idx="4">
                  <c:v>0.47132575321232667</c:v>
                </c:pt>
                <c:pt idx="5">
                  <c:v>0.45941768761901447</c:v>
                </c:pt>
              </c:numCache>
            </c:numRef>
          </c:val>
          <c:extLst xmlns:c16r2="http://schemas.microsoft.com/office/drawing/2015/06/chart">
            <c:ext xmlns:c16="http://schemas.microsoft.com/office/drawing/2014/chart" uri="{C3380CC4-5D6E-409C-BE32-E72D297353CC}">
              <c16:uniqueId val="{00000000-0ED5-4306-9A98-07FE9996DBD4}"/>
            </c:ext>
          </c:extLst>
        </c:ser>
        <c:ser>
          <c:idx val="1"/>
          <c:order val="1"/>
          <c:tx>
            <c:strRef>
              <c:f>'B.Jashtem sipas instr'!$A$14</c:f>
              <c:strCache>
                <c:ptCount val="1"/>
                <c:pt idx="0">
                  <c:v>Mbështetje buxhetore</c:v>
                </c:pt>
              </c:strCache>
            </c:strRef>
          </c:tx>
          <c:spPr>
            <a:solidFill>
              <a:srgbClr val="D34035"/>
            </a:solidFill>
            <a:ln>
              <a:noFill/>
            </a:ln>
            <a:effectLst/>
          </c:spPr>
          <c:invertIfNegative val="0"/>
          <c:dLbls>
            <c:dLbl>
              <c:idx val="0"/>
              <c:layout>
                <c:manualLayout>
                  <c:x val="0"/>
                  <c:y val="1.38888888888888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ED5-4306-9A98-07FE9996DBD4}"/>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instr'!$B$12:$G$12</c:f>
              <c:strCache>
                <c:ptCount val="6"/>
                <c:pt idx="0">
                  <c:v>2016</c:v>
                </c:pt>
                <c:pt idx="1">
                  <c:v>2017</c:v>
                </c:pt>
                <c:pt idx="2">
                  <c:v>2018</c:v>
                </c:pt>
                <c:pt idx="3">
                  <c:v>2019</c:v>
                </c:pt>
                <c:pt idx="4">
                  <c:v>2020</c:v>
                </c:pt>
                <c:pt idx="5">
                  <c:v>Mars 2021</c:v>
                </c:pt>
              </c:strCache>
            </c:strRef>
          </c:cat>
          <c:val>
            <c:numRef>
              <c:f>'B.Jashtem sipas instr'!$B$14:$G$14</c:f>
              <c:numCache>
                <c:formatCode>0.0%</c:formatCode>
                <c:ptCount val="6"/>
                <c:pt idx="0">
                  <c:v>0.19500780075024285</c:v>
                </c:pt>
                <c:pt idx="1">
                  <c:v>0.23820938393569469</c:v>
                </c:pt>
                <c:pt idx="2">
                  <c:v>0.21987866803136147</c:v>
                </c:pt>
                <c:pt idx="3">
                  <c:v>0.21888377858205368</c:v>
                </c:pt>
                <c:pt idx="4">
                  <c:v>0.2219431347783323</c:v>
                </c:pt>
                <c:pt idx="5">
                  <c:v>0.24712191431825889</c:v>
                </c:pt>
              </c:numCache>
            </c:numRef>
          </c:val>
          <c:extLst xmlns:c16r2="http://schemas.microsoft.com/office/drawing/2015/06/chart">
            <c:ext xmlns:c16="http://schemas.microsoft.com/office/drawing/2014/chart" uri="{C3380CC4-5D6E-409C-BE32-E72D297353CC}">
              <c16:uniqueId val="{00000002-0ED5-4306-9A98-07FE9996DBD4}"/>
            </c:ext>
          </c:extLst>
        </c:ser>
        <c:ser>
          <c:idx val="2"/>
          <c:order val="2"/>
          <c:tx>
            <c:strRef>
              <c:f>'B.Jashtem sipas instr'!$A$15</c:f>
              <c:strCache>
                <c:ptCount val="1"/>
                <c:pt idx="0">
                  <c:v>Eurobond</c:v>
                </c:pt>
              </c:strCache>
            </c:strRef>
          </c:tx>
          <c:spPr>
            <a:solidFill>
              <a:schemeClr val="bg1">
                <a:lumMod val="65000"/>
              </a:schemeClr>
            </a:solidFill>
            <a:ln>
              <a:noFill/>
            </a:ln>
            <a:effectLst/>
          </c:spPr>
          <c:invertIfNegative val="0"/>
          <c:dLbls>
            <c:dLbl>
              <c:idx val="4"/>
              <c:layout>
                <c:manualLayout>
                  <c:x val="0"/>
                  <c:y val="1.3888888888888888E-2"/>
                </c:manualLayout>
              </c:layout>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3-0ED5-4306-9A98-07FE9996DBD4}"/>
                </c:ext>
                <c:ext xmlns:c15="http://schemas.microsoft.com/office/drawing/2012/chart" uri="{CE6537A1-D6FC-4f65-9D91-7224C49458BB}"/>
              </c:extLst>
            </c:dLbl>
            <c:dLbl>
              <c:idx val="5"/>
              <c:layout>
                <c:manualLayout>
                  <c:x val="-5.5555555555555558E-3"/>
                  <c:y val="1.8518518518518517E-2"/>
                </c:manualLayout>
              </c:layout>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4-0ED5-4306-9A98-07FE9996DBD4}"/>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instr'!$B$12:$G$12</c:f>
              <c:strCache>
                <c:ptCount val="6"/>
                <c:pt idx="0">
                  <c:v>2016</c:v>
                </c:pt>
                <c:pt idx="1">
                  <c:v>2017</c:v>
                </c:pt>
                <c:pt idx="2">
                  <c:v>2018</c:v>
                </c:pt>
                <c:pt idx="3">
                  <c:v>2019</c:v>
                </c:pt>
                <c:pt idx="4">
                  <c:v>2020</c:v>
                </c:pt>
                <c:pt idx="5">
                  <c:v>Mars 2021</c:v>
                </c:pt>
              </c:strCache>
            </c:strRef>
          </c:cat>
          <c:val>
            <c:numRef>
              <c:f>'B.Jashtem sipas instr'!$B$15:$G$15</c:f>
              <c:numCache>
                <c:formatCode>0.0%</c:formatCode>
                <c:ptCount val="6"/>
                <c:pt idx="0">
                  <c:v>0.12640754804750903</c:v>
                </c:pt>
                <c:pt idx="1">
                  <c:v>0.12196801398765489</c:v>
                </c:pt>
                <c:pt idx="2">
                  <c:v>0.18632059066111512</c:v>
                </c:pt>
                <c:pt idx="3">
                  <c:v>0.18712472137128988</c:v>
                </c:pt>
                <c:pt idx="4">
                  <c:v>0.26128946578573492</c:v>
                </c:pt>
                <c:pt idx="5">
                  <c:v>0.24998478353491527</c:v>
                </c:pt>
              </c:numCache>
            </c:numRef>
          </c:val>
          <c:extLst xmlns:c16r2="http://schemas.microsoft.com/office/drawing/2015/06/chart">
            <c:ext xmlns:c16="http://schemas.microsoft.com/office/drawing/2014/chart" uri="{C3380CC4-5D6E-409C-BE32-E72D297353CC}">
              <c16:uniqueId val="{00000005-0ED5-4306-9A98-07FE9996DBD4}"/>
            </c:ext>
          </c:extLst>
        </c:ser>
        <c:ser>
          <c:idx val="3"/>
          <c:order val="3"/>
          <c:tx>
            <c:strRef>
              <c:f>'B.Jashtem sipas instr'!$A$16</c:f>
              <c:strCache>
                <c:ptCount val="1"/>
                <c:pt idx="0">
                  <c:v>PBG</c:v>
                </c:pt>
              </c:strCache>
            </c:strRef>
          </c:tx>
          <c:spPr>
            <a:solidFill>
              <a:schemeClr val="accent6"/>
            </a:solidFill>
            <a:ln>
              <a:noFill/>
            </a:ln>
            <a:effectLst/>
          </c:spPr>
          <c:invertIfNegative val="0"/>
          <c:dLbls>
            <c:dLbl>
              <c:idx val="2"/>
              <c:layout>
                <c:manualLayout>
                  <c:x val="-1.0303123017562329E-16"/>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ED5-4306-9A98-07FE9996DBD4}"/>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instr'!$B$12:$G$12</c:f>
              <c:strCache>
                <c:ptCount val="6"/>
                <c:pt idx="0">
                  <c:v>2016</c:v>
                </c:pt>
                <c:pt idx="1">
                  <c:v>2017</c:v>
                </c:pt>
                <c:pt idx="2">
                  <c:v>2018</c:v>
                </c:pt>
                <c:pt idx="3">
                  <c:v>2019</c:v>
                </c:pt>
                <c:pt idx="4">
                  <c:v>2020</c:v>
                </c:pt>
                <c:pt idx="5">
                  <c:v>Mars 2021</c:v>
                </c:pt>
              </c:strCache>
            </c:strRef>
          </c:cat>
          <c:val>
            <c:numRef>
              <c:f>'B.Jashtem sipas instr'!$B$16:$G$16</c:f>
              <c:numCache>
                <c:formatCode>0.0%</c:formatCode>
                <c:ptCount val="6"/>
                <c:pt idx="0">
                  <c:v>7.0226415581949461E-2</c:v>
                </c:pt>
                <c:pt idx="1">
                  <c:v>6.3694407304664219E-2</c:v>
                </c:pt>
                <c:pt idx="2">
                  <c:v>5.465403992726043E-2</c:v>
                </c:pt>
                <c:pt idx="3">
                  <c:v>4.9899925699010632E-2</c:v>
                </c:pt>
                <c:pt idx="4">
                  <c:v>4.5441646223606073E-2</c:v>
                </c:pt>
                <c:pt idx="5">
                  <c:v>4.3475614527811353E-2</c:v>
                </c:pt>
              </c:numCache>
            </c:numRef>
          </c:val>
          <c:extLst xmlns:c16r2="http://schemas.microsoft.com/office/drawing/2015/06/chart">
            <c:ext xmlns:c16="http://schemas.microsoft.com/office/drawing/2014/chart" uri="{C3380CC4-5D6E-409C-BE32-E72D297353CC}">
              <c16:uniqueId val="{00000008-0ED5-4306-9A98-07FE9996DBD4}"/>
            </c:ext>
          </c:extLst>
        </c:ser>
        <c:dLbls>
          <c:showLegendKey val="0"/>
          <c:showVal val="0"/>
          <c:showCatName val="0"/>
          <c:showSerName val="0"/>
          <c:showPercent val="0"/>
          <c:showBubbleSize val="0"/>
        </c:dLbls>
        <c:gapWidth val="150"/>
        <c:overlap val="100"/>
        <c:axId val="1278325632"/>
        <c:axId val="1278302240"/>
      </c:barChart>
      <c:catAx>
        <c:axId val="12783256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02240"/>
        <c:crosses val="autoZero"/>
        <c:auto val="1"/>
        <c:lblAlgn val="ctr"/>
        <c:lblOffset val="100"/>
        <c:noMultiLvlLbl val="0"/>
      </c:catAx>
      <c:valAx>
        <c:axId val="1278302240"/>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25632"/>
        <c:crosses val="autoZero"/>
        <c:crossBetween val="between"/>
        <c:majorUnit val="0.2"/>
      </c:valAx>
      <c:spPr>
        <a:noFill/>
        <a:ln>
          <a:noFill/>
        </a:ln>
        <a:effectLst/>
      </c:spPr>
    </c:plotArea>
    <c:legend>
      <c:legendPos val="b"/>
      <c:layout>
        <c:manualLayout>
          <c:xMode val="edge"/>
          <c:yMode val="edge"/>
          <c:x val="6.5950787401574798E-2"/>
          <c:y val="0.81521464477957195"/>
          <c:w val="0.78476509186351706"/>
          <c:h val="0.1847853552204279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32422359634426"/>
          <c:y val="7.560137457044673E-2"/>
          <c:w val="0.80764104110338375"/>
          <c:h val="0.67551429205677649"/>
        </c:manualLayout>
      </c:layout>
      <c:barChart>
        <c:barDir val="col"/>
        <c:grouping val="percentStacked"/>
        <c:varyColors val="0"/>
        <c:ser>
          <c:idx val="0"/>
          <c:order val="0"/>
          <c:tx>
            <c:strRef>
              <c:f>'Kompozimi sipas interesit'!$A$21</c:f>
              <c:strCache>
                <c:ptCount val="1"/>
                <c:pt idx="0">
                  <c:v>Fiks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'Kompozimi sipas interesit'!$B$20:$G$20</c:f>
              <c:numCache>
                <c:formatCode>General</c:formatCode>
                <c:ptCount val="6"/>
                <c:pt idx="0">
                  <c:v>2016</c:v>
                </c:pt>
                <c:pt idx="1">
                  <c:v>2017</c:v>
                </c:pt>
                <c:pt idx="2">
                  <c:v>2018</c:v>
                </c:pt>
                <c:pt idx="3">
                  <c:v>2019</c:v>
                </c:pt>
                <c:pt idx="4">
                  <c:v>2020</c:v>
                </c:pt>
                <c:pt idx="5" formatCode="mmm\-yy">
                  <c:v>44256</c:v>
                </c:pt>
              </c:numCache>
            </c:numRef>
          </c:cat>
          <c:val>
            <c:numRef>
              <c:f>'Kompozimi sipas interesit'!$B$21:$G$21</c:f>
              <c:numCache>
                <c:formatCode>0.0%</c:formatCode>
                <c:ptCount val="6"/>
                <c:pt idx="0">
                  <c:v>0.53883845614000803</c:v>
                </c:pt>
                <c:pt idx="1">
                  <c:v>0.49920566515941572</c:v>
                </c:pt>
                <c:pt idx="2">
                  <c:v>0.52621890666633608</c:v>
                </c:pt>
                <c:pt idx="3">
                  <c:v>0.51683051110632583</c:v>
                </c:pt>
                <c:pt idx="4">
                  <c:v>0.54825421035407129</c:v>
                </c:pt>
                <c:pt idx="5">
                  <c:v>0.54694416358392761</c:v>
                </c:pt>
              </c:numCache>
            </c:numRef>
          </c:val>
          <c:extLst xmlns:c16r2="http://schemas.microsoft.com/office/drawing/2015/06/chart">
            <c:ext xmlns:c16="http://schemas.microsoft.com/office/drawing/2014/chart" uri="{C3380CC4-5D6E-409C-BE32-E72D297353CC}">
              <c16:uniqueId val="{00000000-4E52-446C-875A-DD534A15C5FC}"/>
            </c:ext>
          </c:extLst>
        </c:ser>
        <c:ser>
          <c:idx val="1"/>
          <c:order val="1"/>
          <c:tx>
            <c:strRef>
              <c:f>'Kompozimi sipas interesit'!$A$22</c:f>
              <c:strCache>
                <c:ptCount val="1"/>
                <c:pt idx="0">
                  <c:v>Me norma të ndryshueshme</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'Kompozimi sipas interesit'!$B$20:$G$20</c:f>
              <c:numCache>
                <c:formatCode>General</c:formatCode>
                <c:ptCount val="6"/>
                <c:pt idx="0">
                  <c:v>2016</c:v>
                </c:pt>
                <c:pt idx="1">
                  <c:v>2017</c:v>
                </c:pt>
                <c:pt idx="2">
                  <c:v>2018</c:v>
                </c:pt>
                <c:pt idx="3">
                  <c:v>2019</c:v>
                </c:pt>
                <c:pt idx="4">
                  <c:v>2020</c:v>
                </c:pt>
                <c:pt idx="5" formatCode="mmm\-yy">
                  <c:v>44256</c:v>
                </c:pt>
              </c:numCache>
            </c:numRef>
          </c:cat>
          <c:val>
            <c:numRef>
              <c:f>'Kompozimi sipas interesit'!$B$22:$G$22</c:f>
              <c:numCache>
                <c:formatCode>0.0%</c:formatCode>
                <c:ptCount val="6"/>
                <c:pt idx="0">
                  <c:v>0.46116154385999197</c:v>
                </c:pt>
                <c:pt idx="1">
                  <c:v>0.50079433484058422</c:v>
                </c:pt>
                <c:pt idx="2">
                  <c:v>0.47378109333366392</c:v>
                </c:pt>
                <c:pt idx="3">
                  <c:v>0.48316948889367417</c:v>
                </c:pt>
                <c:pt idx="4">
                  <c:v>0.45174578964592865</c:v>
                </c:pt>
                <c:pt idx="5">
                  <c:v>0.45305583641607239</c:v>
                </c:pt>
              </c:numCache>
            </c:numRef>
          </c:val>
          <c:extLst xmlns:c16r2="http://schemas.microsoft.com/office/drawing/2015/06/chart">
            <c:ext xmlns:c16="http://schemas.microsoft.com/office/drawing/2014/chart" uri="{C3380CC4-5D6E-409C-BE32-E72D297353CC}">
              <c16:uniqueId val="{00000001-4E52-446C-875A-DD534A15C5FC}"/>
            </c:ext>
          </c:extLst>
        </c:ser>
        <c:dLbls>
          <c:showLegendKey val="0"/>
          <c:showVal val="0"/>
          <c:showCatName val="0"/>
          <c:showSerName val="0"/>
          <c:showPercent val="0"/>
          <c:showBubbleSize val="0"/>
        </c:dLbls>
        <c:gapWidth val="150"/>
        <c:overlap val="100"/>
        <c:axId val="1278316384"/>
        <c:axId val="1278326176"/>
      </c:barChart>
      <c:catAx>
        <c:axId val="12783163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26176"/>
        <c:crosses val="autoZero"/>
        <c:auto val="1"/>
        <c:lblAlgn val="ctr"/>
        <c:lblOffset val="100"/>
        <c:noMultiLvlLbl val="0"/>
      </c:catAx>
      <c:valAx>
        <c:axId val="1278326176"/>
        <c:scaling>
          <c:orientation val="minMax"/>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16384"/>
        <c:crosses val="autoZero"/>
        <c:crossBetween val="between"/>
        <c:majorUnit val="0.2"/>
      </c:valAx>
      <c:spPr>
        <a:noFill/>
        <a:ln>
          <a:noFill/>
        </a:ln>
        <a:effectLst/>
      </c:spPr>
    </c:plotArea>
    <c:legend>
      <c:legendPos val="b"/>
      <c:layout>
        <c:manualLayout>
          <c:xMode val="edge"/>
          <c:yMode val="edge"/>
          <c:x val="0.15048316700525427"/>
          <c:y val="0.86471737424574502"/>
          <c:w val="0.69066371411671468"/>
          <c:h val="0.1108382141887436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 Huamarrja e Brendshme'!$A$67</c:f>
              <c:strCache>
                <c:ptCount val="1"/>
                <c:pt idx="0">
                  <c:v>Emetime</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 Huamarrja e Brendshme'!$B$66:$G$66</c:f>
              <c:strCache>
                <c:ptCount val="6"/>
                <c:pt idx="0">
                  <c:v>TM.I 2016</c:v>
                </c:pt>
                <c:pt idx="1">
                  <c:v>TM.I 2017</c:v>
                </c:pt>
                <c:pt idx="2">
                  <c:v>TM.I 2018</c:v>
                </c:pt>
                <c:pt idx="3">
                  <c:v>TM.I 2019</c:v>
                </c:pt>
                <c:pt idx="4">
                  <c:v>TM.I 2020</c:v>
                </c:pt>
                <c:pt idx="5">
                  <c:v>TM.I 2021</c:v>
                </c:pt>
              </c:strCache>
            </c:strRef>
          </c:cat>
          <c:val>
            <c:numRef>
              <c:f>' Huamarrja e Brendshme'!$B$67:$G$67</c:f>
              <c:numCache>
                <c:formatCode>_(* #,##0.0_);_(* \(#,##0.0\);_(* "-"??_);_(@_)</c:formatCode>
                <c:ptCount val="6"/>
                <c:pt idx="0">
                  <c:v>102.98567230101999</c:v>
                </c:pt>
                <c:pt idx="1">
                  <c:v>103.33194041266</c:v>
                </c:pt>
                <c:pt idx="2">
                  <c:v>95.618297023769998</c:v>
                </c:pt>
                <c:pt idx="3">
                  <c:v>88.840797242899995</c:v>
                </c:pt>
                <c:pt idx="4">
                  <c:v>91.094808723440011</c:v>
                </c:pt>
                <c:pt idx="5">
                  <c:v>95.172830505109999</c:v>
                </c:pt>
              </c:numCache>
            </c:numRef>
          </c:val>
          <c:extLst xmlns:c16r2="http://schemas.microsoft.com/office/drawing/2015/06/chart">
            <c:ext xmlns:c16="http://schemas.microsoft.com/office/drawing/2014/chart" uri="{C3380CC4-5D6E-409C-BE32-E72D297353CC}">
              <c16:uniqueId val="{00000000-8181-418C-AB85-2A2962A0C4B5}"/>
            </c:ext>
          </c:extLst>
        </c:ser>
        <c:dLbls>
          <c:showLegendKey val="0"/>
          <c:showVal val="0"/>
          <c:showCatName val="0"/>
          <c:showSerName val="0"/>
          <c:showPercent val="0"/>
          <c:showBubbleSize val="0"/>
        </c:dLbls>
        <c:gapWidth val="219"/>
        <c:overlap val="-27"/>
        <c:axId val="1278328896"/>
        <c:axId val="1278329440"/>
      </c:barChart>
      <c:lineChart>
        <c:grouping val="standard"/>
        <c:varyColors val="0"/>
        <c:ser>
          <c:idx val="1"/>
          <c:order val="1"/>
          <c:tx>
            <c:strRef>
              <c:f>' Huamarrja e Brendshme'!$A$69</c:f>
              <c:strCache>
                <c:ptCount val="1"/>
                <c:pt idx="0">
                  <c:v>Emetime/Të ardhura tatimore</c:v>
                </c:pt>
              </c:strCache>
            </c:strRef>
          </c:tx>
          <c:spPr>
            <a:ln w="28575" cap="rnd">
              <a:solidFill>
                <a:schemeClr val="bg1">
                  <a:lumMod val="50000"/>
                </a:schemeClr>
              </a:solidFill>
              <a:round/>
            </a:ln>
            <a:effectLst/>
          </c:spPr>
          <c:marker>
            <c:symbol val="circle"/>
            <c:size val="5"/>
            <c:spPr>
              <a:solidFill>
                <a:schemeClr val="bg1">
                  <a:lumMod val="50000"/>
                </a:schemeClr>
              </a:solidFill>
              <a:ln w="9525">
                <a:noFill/>
              </a:ln>
              <a:effectLst/>
            </c:spPr>
          </c:marker>
          <c:dLbls>
            <c:dLbl>
              <c:idx val="0"/>
              <c:layout>
                <c:manualLayout>
                  <c:x val="2.0232672548054949E-2"/>
                  <c:y val="-3.24074074074074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181-418C-AB85-2A2962A0C4B5}"/>
                </c:ext>
                <c:ext xmlns:c15="http://schemas.microsoft.com/office/drawing/2012/chart" uri="{CE6537A1-D6FC-4f65-9D91-7224C49458BB}"/>
              </c:extLst>
            </c:dLbl>
            <c:dLbl>
              <c:idx val="1"/>
              <c:layout>
                <c:manualLayout>
                  <c:x val="2.0232672548054988E-3"/>
                  <c:y val="-2.31481481481481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181-418C-AB85-2A2962A0C4B5}"/>
                </c:ext>
                <c:ext xmlns:c15="http://schemas.microsoft.com/office/drawing/2012/chart" uri="{CE6537A1-D6FC-4f65-9D91-7224C49458BB}"/>
              </c:extLst>
            </c:dLbl>
            <c:dLbl>
              <c:idx val="2"/>
              <c:layout>
                <c:manualLayout>
                  <c:x val="-1.618613803844399E-2"/>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181-418C-AB85-2A2962A0C4B5}"/>
                </c:ext>
                <c:ext xmlns:c15="http://schemas.microsoft.com/office/drawing/2012/chart" uri="{CE6537A1-D6FC-4f65-9D91-7224C49458BB}"/>
              </c:extLst>
            </c:dLbl>
            <c:dLbl>
              <c:idx val="3"/>
              <c:layout>
                <c:manualLayout>
                  <c:x val="-2.832574156727698E-2"/>
                  <c:y val="-6.48148148148148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181-418C-AB85-2A2962A0C4B5}"/>
                </c:ext>
                <c:ext xmlns:c15="http://schemas.microsoft.com/office/drawing/2012/chart" uri="{CE6537A1-D6FC-4f65-9D91-7224C49458BB}"/>
              </c:extLst>
            </c:dLbl>
            <c:dLbl>
              <c:idx val="4"/>
              <c:layout>
                <c:manualLayout>
                  <c:x val="-2.0232672548054987E-2"/>
                  <c:y val="-4.16666666666666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181-418C-AB85-2A2962A0C4B5}"/>
                </c:ext>
                <c:ext xmlns:c15="http://schemas.microsoft.com/office/drawing/2012/chart" uri="{CE6537A1-D6FC-4f65-9D91-7224C49458BB}"/>
              </c:extLst>
            </c:dLbl>
            <c:dLbl>
              <c:idx val="5"/>
              <c:layout>
                <c:manualLayout>
                  <c:x val="-3.2258059053753438E-2"/>
                  <c:y val="-5.786617346258805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 Huamarrja e Brendshme'!$B$66:$F$66</c:f>
              <c:strCache>
                <c:ptCount val="5"/>
                <c:pt idx="0">
                  <c:v>TM.I 2016</c:v>
                </c:pt>
                <c:pt idx="1">
                  <c:v>TM.I 2017</c:v>
                </c:pt>
                <c:pt idx="2">
                  <c:v>TM.I 2018</c:v>
                </c:pt>
                <c:pt idx="3">
                  <c:v>TM.I 2019</c:v>
                </c:pt>
                <c:pt idx="4">
                  <c:v>TM.I 2020</c:v>
                </c:pt>
              </c:strCache>
            </c:strRef>
          </c:cat>
          <c:val>
            <c:numRef>
              <c:f>' Huamarrja e Brendshme'!$B$69:$G$69</c:f>
              <c:numCache>
                <c:formatCode>0.0%</c:formatCode>
                <c:ptCount val="6"/>
                <c:pt idx="0">
                  <c:v>1.1681015403053363</c:v>
                </c:pt>
                <c:pt idx="1">
                  <c:v>1.0934944010144239</c:v>
                </c:pt>
                <c:pt idx="2">
                  <c:v>0.97117795790779637</c:v>
                </c:pt>
                <c:pt idx="3">
                  <c:v>0.87483060149381586</c:v>
                </c:pt>
                <c:pt idx="4">
                  <c:v>0.93911205784930096</c:v>
                </c:pt>
                <c:pt idx="5">
                  <c:v>0.91530819208792158</c:v>
                </c:pt>
              </c:numCache>
            </c:numRef>
          </c:val>
          <c:smooth val="1"/>
          <c:extLst xmlns:c16r2="http://schemas.microsoft.com/office/drawing/2015/06/chart">
            <c:ext xmlns:c16="http://schemas.microsoft.com/office/drawing/2014/chart" uri="{C3380CC4-5D6E-409C-BE32-E72D297353CC}">
              <c16:uniqueId val="{00000006-8181-418C-AB85-2A2962A0C4B5}"/>
            </c:ext>
          </c:extLst>
        </c:ser>
        <c:dLbls>
          <c:showLegendKey val="0"/>
          <c:showVal val="0"/>
          <c:showCatName val="0"/>
          <c:showSerName val="0"/>
          <c:showPercent val="0"/>
          <c:showBubbleSize val="0"/>
        </c:dLbls>
        <c:marker val="1"/>
        <c:smooth val="0"/>
        <c:axId val="1293492160"/>
        <c:axId val="1293495424"/>
      </c:lineChart>
      <c:catAx>
        <c:axId val="12783288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29440"/>
        <c:crosses val="autoZero"/>
        <c:auto val="1"/>
        <c:lblAlgn val="ctr"/>
        <c:lblOffset val="100"/>
        <c:noMultiLvlLbl val="0"/>
      </c:catAx>
      <c:valAx>
        <c:axId val="1278329440"/>
        <c:scaling>
          <c:orientation val="minMax"/>
          <c:max val="150"/>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1.7040859737004487E-2"/>
              <c:y val="0.2172834645669291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78328896"/>
        <c:crosses val="autoZero"/>
        <c:crossBetween val="between"/>
        <c:majorUnit val="50"/>
      </c:valAx>
      <c:valAx>
        <c:axId val="1293495424"/>
        <c:scaling>
          <c:orientation val="minMax"/>
          <c:max val="1.2"/>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93492160"/>
        <c:crosses val="max"/>
        <c:crossBetween val="between"/>
      </c:valAx>
      <c:catAx>
        <c:axId val="1293492160"/>
        <c:scaling>
          <c:orientation val="minMax"/>
        </c:scaling>
        <c:delete val="1"/>
        <c:axPos val="b"/>
        <c:numFmt formatCode="General" sourceLinked="1"/>
        <c:majorTickMark val="out"/>
        <c:minorTickMark val="none"/>
        <c:tickLblPos val="nextTo"/>
        <c:crossAx val="1293495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15911853300216"/>
          <c:y val="4.1666666666666664E-2"/>
          <c:w val="0.81095654318377985"/>
          <c:h val="0.73577136191309422"/>
        </c:manualLayout>
      </c:layout>
      <c:barChart>
        <c:barDir val="col"/>
        <c:grouping val="clustered"/>
        <c:varyColors val="0"/>
        <c:ser>
          <c:idx val="0"/>
          <c:order val="0"/>
          <c:tx>
            <c:strRef>
              <c:f>'Sherbimi i Borxhit'!$A$21</c:f>
              <c:strCache>
                <c:ptCount val="1"/>
                <c:pt idx="0">
                  <c:v>Borxhi Shtetëror</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Borxhit'!$B$20:$G$20</c:f>
              <c:strCache>
                <c:ptCount val="6"/>
                <c:pt idx="0">
                  <c:v>TM. I 2016</c:v>
                </c:pt>
                <c:pt idx="1">
                  <c:v>TM. I 2017</c:v>
                </c:pt>
                <c:pt idx="2">
                  <c:v>TM. I 2018</c:v>
                </c:pt>
                <c:pt idx="3">
                  <c:v>TM. I 2019</c:v>
                </c:pt>
                <c:pt idx="4">
                  <c:v>TM. I 2020</c:v>
                </c:pt>
                <c:pt idx="5">
                  <c:v>TM. I 2021</c:v>
                </c:pt>
              </c:strCache>
            </c:strRef>
          </c:cat>
          <c:val>
            <c:numRef>
              <c:f>'Sherbimi i Borxhit'!$B$21:$G$21</c:f>
              <c:numCache>
                <c:formatCode>_(* #,##0.00_);_(* \(#,##0.00\);_(* "-"??_);_(@_)</c:formatCode>
                <c:ptCount val="6"/>
                <c:pt idx="0">
                  <c:v>1002.7670000000001</c:v>
                </c:pt>
                <c:pt idx="1">
                  <c:v>1037.9153550000001</c:v>
                </c:pt>
                <c:pt idx="2">
                  <c:v>1036.96382804</c:v>
                </c:pt>
                <c:pt idx="3">
                  <c:v>1071.2833191361037</c:v>
                </c:pt>
                <c:pt idx="4">
                  <c:v>1117.8424769905716</c:v>
                </c:pt>
                <c:pt idx="5">
                  <c:v>1220.9222143074981</c:v>
                </c:pt>
              </c:numCache>
            </c:numRef>
          </c:val>
          <c:extLst xmlns:c16r2="http://schemas.microsoft.com/office/drawing/2015/06/chart">
            <c:ext xmlns:c16="http://schemas.microsoft.com/office/drawing/2014/chart" uri="{C3380CC4-5D6E-409C-BE32-E72D297353CC}">
              <c16:uniqueId val="{00000000-E244-40EC-888F-4991029DEC1B}"/>
            </c:ext>
          </c:extLst>
        </c:ser>
        <c:ser>
          <c:idx val="1"/>
          <c:order val="1"/>
          <c:tx>
            <c:strRef>
              <c:f>'Sherbimi i Borxhit'!$A$22</c:f>
              <c:strCache>
                <c:ptCount val="1"/>
                <c:pt idx="0">
                  <c:v>Interesa</c:v>
                </c:pt>
              </c:strCache>
            </c:strRef>
          </c:tx>
          <c:spPr>
            <a:solidFill>
              <a:srgbClr val="C00000"/>
            </a:solidFill>
            <a:ln>
              <a:noFill/>
            </a:ln>
            <a:effectLst/>
          </c:spPr>
          <c:invertIfNegative val="0"/>
          <c:dLbls>
            <c:dLbl>
              <c:idx val="0"/>
              <c:layout>
                <c:manualLayout>
                  <c:x val="0"/>
                  <c:y val="2.0481307500867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244-40EC-888F-4991029DEC1B}"/>
                </c:ext>
                <c:ext xmlns:c15="http://schemas.microsoft.com/office/drawing/2012/chart" uri="{CE6537A1-D6FC-4f65-9D91-7224C49458BB}"/>
              </c:extLst>
            </c:dLbl>
            <c:dLbl>
              <c:idx val="1"/>
              <c:layout>
                <c:manualLayout>
                  <c:x val="0"/>
                  <c:y val="2.0481307500867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244-40EC-888F-4991029DEC1B}"/>
                </c:ext>
                <c:ext xmlns:c15="http://schemas.microsoft.com/office/drawing/2012/chart" uri="{CE6537A1-D6FC-4f65-9D91-7224C49458BB}"/>
              </c:extLst>
            </c:dLbl>
            <c:dLbl>
              <c:idx val="2"/>
              <c:layout>
                <c:manualLayout>
                  <c:x val="0"/>
                  <c:y val="2.0481307500867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244-40EC-888F-4991029DEC1B}"/>
                </c:ext>
                <c:ext xmlns:c15="http://schemas.microsoft.com/office/drawing/2012/chart" uri="{CE6537A1-D6FC-4f65-9D91-7224C49458BB}"/>
              </c:extLst>
            </c:dLbl>
            <c:dLbl>
              <c:idx val="3"/>
              <c:layout>
                <c:manualLayout>
                  <c:x val="-1.2437809727170277E-3"/>
                  <c:y val="2.4577569001041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244-40EC-888F-4991029DEC1B}"/>
                </c:ext>
                <c:ext xmlns:c15="http://schemas.microsoft.com/office/drawing/2012/chart" uri="{CE6537A1-D6FC-4f65-9D91-7224C49458BB}"/>
              </c:extLst>
            </c:dLbl>
            <c:dLbl>
              <c:idx val="4"/>
              <c:layout>
                <c:manualLayout>
                  <c:x val="0"/>
                  <c:y val="2.0481307500867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244-40EC-888F-4991029DEC1B}"/>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Borxhit'!$B$20:$G$20</c:f>
              <c:strCache>
                <c:ptCount val="6"/>
                <c:pt idx="0">
                  <c:v>TM. I 2016</c:v>
                </c:pt>
                <c:pt idx="1">
                  <c:v>TM. I 2017</c:v>
                </c:pt>
                <c:pt idx="2">
                  <c:v>TM. I 2018</c:v>
                </c:pt>
                <c:pt idx="3">
                  <c:v>TM. I 2019</c:v>
                </c:pt>
                <c:pt idx="4">
                  <c:v>TM. I 2020</c:v>
                </c:pt>
                <c:pt idx="5">
                  <c:v>TM. I 2021</c:v>
                </c:pt>
              </c:strCache>
            </c:strRef>
          </c:cat>
          <c:val>
            <c:numRef>
              <c:f>'Sherbimi i Borxhit'!$B$22:$G$22</c:f>
              <c:numCache>
                <c:formatCode>_(* #,##0.00_);_(* \(#,##0.00\);_(* "-"??_);_(@_)</c:formatCode>
                <c:ptCount val="6"/>
                <c:pt idx="0">
                  <c:v>9.282</c:v>
                </c:pt>
                <c:pt idx="1">
                  <c:v>7.8230000000000004</c:v>
                </c:pt>
                <c:pt idx="2">
                  <c:v>8.4881000000000011</c:v>
                </c:pt>
                <c:pt idx="3">
                  <c:v>9.5246438075489976</c:v>
                </c:pt>
                <c:pt idx="4">
                  <c:v>9.0629600565800015</c:v>
                </c:pt>
                <c:pt idx="5">
                  <c:v>9.6599716872807999</c:v>
                </c:pt>
              </c:numCache>
            </c:numRef>
          </c:val>
          <c:extLst xmlns:c16r2="http://schemas.microsoft.com/office/drawing/2015/06/chart">
            <c:ext xmlns:c16="http://schemas.microsoft.com/office/drawing/2014/chart" uri="{C3380CC4-5D6E-409C-BE32-E72D297353CC}">
              <c16:uniqueId val="{00000006-E244-40EC-888F-4991029DEC1B}"/>
            </c:ext>
          </c:extLst>
        </c:ser>
        <c:dLbls>
          <c:showLegendKey val="0"/>
          <c:showVal val="0"/>
          <c:showCatName val="0"/>
          <c:showSerName val="0"/>
          <c:showPercent val="0"/>
          <c:showBubbleSize val="0"/>
        </c:dLbls>
        <c:gapWidth val="219"/>
        <c:overlap val="-27"/>
        <c:axId val="1293486176"/>
        <c:axId val="1293480736"/>
      </c:barChart>
      <c:lineChart>
        <c:grouping val="standard"/>
        <c:varyColors val="0"/>
        <c:ser>
          <c:idx val="2"/>
          <c:order val="2"/>
          <c:tx>
            <c:strRef>
              <c:f>'Sherbimi i Borxhit'!$A$23</c:f>
              <c:strCache>
                <c:ptCount val="1"/>
                <c:pt idx="0">
                  <c:v>Interesa/PBB</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2.0047594698985906E-2"/>
                  <c:y val="-4.62961409991264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244-40EC-888F-4991029DEC1B}"/>
                </c:ext>
                <c:ext xmlns:c15="http://schemas.microsoft.com/office/drawing/2012/chart" uri="{CE6537A1-D6FC-4f65-9D91-7224C49458BB}"/>
              </c:extLst>
            </c:dLbl>
            <c:dLbl>
              <c:idx val="1"/>
              <c:layout>
                <c:manualLayout>
                  <c:x val="-1.6076407717670774E-2"/>
                  <c:y val="-4.45589390747222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244-40EC-888F-4991029DEC1B}"/>
                </c:ext>
                <c:ext xmlns:c15="http://schemas.microsoft.com/office/drawing/2012/chart" uri="{CE6537A1-D6FC-4f65-9D91-7224C49458BB}"/>
              </c:extLst>
            </c:dLbl>
            <c:dLbl>
              <c:idx val="2"/>
              <c:layout>
                <c:manualLayout>
                  <c:x val="-2.3285911294986514E-2"/>
                  <c:y val="-5.29497409530555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244-40EC-888F-4991029DEC1B}"/>
                </c:ext>
                <c:ext xmlns:c15="http://schemas.microsoft.com/office/drawing/2012/chart" uri="{CE6537A1-D6FC-4f65-9D91-7224C49458BB}"/>
              </c:extLst>
            </c:dLbl>
            <c:dLbl>
              <c:idx val="3"/>
              <c:layout>
                <c:manualLayout>
                  <c:x val="-2.0427388605458084E-2"/>
                  <c:y val="-5.73144393540420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244-40EC-888F-4991029DEC1B}"/>
                </c:ext>
                <c:ext xmlns:c15="http://schemas.microsoft.com/office/drawing/2012/chart" uri="{CE6537A1-D6FC-4f65-9D91-7224C49458BB}"/>
              </c:extLst>
            </c:dLbl>
            <c:dLbl>
              <c:idx val="4"/>
              <c:layout>
                <c:manualLayout>
                  <c:x val="-1.4925371672604333E-2"/>
                  <c:y val="-7.05111747303886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244-40EC-888F-4991029DEC1B}"/>
                </c:ext>
                <c:ext xmlns:c15="http://schemas.microsoft.com/office/drawing/2012/chart" uri="{CE6537A1-D6FC-4f65-9D91-7224C49458BB}"/>
              </c:extLst>
            </c:dLbl>
            <c:dLbl>
              <c:idx val="5"/>
              <c:layout>
                <c:manualLayout>
                  <c:x val="-4.0650406504066528E-3"/>
                  <c:y val="-0.11102617578208129"/>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1.2614315997156781E-3"/>
                  <c:y val="-3.6809815950920317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1.2614315997157707E-3"/>
                  <c:y val="-2.45398773006135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'Sherbimi i Borxhit'!$B$20:$G$20</c:f>
              <c:strCache>
                <c:ptCount val="6"/>
                <c:pt idx="0">
                  <c:v>TM. I 2016</c:v>
                </c:pt>
                <c:pt idx="1">
                  <c:v>TM. I 2017</c:v>
                </c:pt>
                <c:pt idx="2">
                  <c:v>TM. I 2018</c:v>
                </c:pt>
                <c:pt idx="3">
                  <c:v>TM. I 2019</c:v>
                </c:pt>
                <c:pt idx="4">
                  <c:v>TM. I 2020</c:v>
                </c:pt>
                <c:pt idx="5">
                  <c:v>TM. I 2021</c:v>
                </c:pt>
              </c:strCache>
            </c:strRef>
          </c:cat>
          <c:val>
            <c:numRef>
              <c:f>'Sherbimi i Borxhit'!$B$23:$G$23</c:f>
              <c:numCache>
                <c:formatCode>0.00%</c:formatCode>
                <c:ptCount val="6"/>
                <c:pt idx="0">
                  <c:v>6.3036526957657001E-3</c:v>
                </c:pt>
                <c:pt idx="1">
                  <c:v>5.0429277370308192E-3</c:v>
                </c:pt>
                <c:pt idx="2">
                  <c:v>5.2045344170795023E-3</c:v>
                </c:pt>
                <c:pt idx="3">
                  <c:v>5.6395743023429628E-3</c:v>
                </c:pt>
                <c:pt idx="4">
                  <c:v>5.2036972164719742E-3</c:v>
                </c:pt>
                <c:pt idx="5">
                  <c:v>5.7409723654215138E-3</c:v>
                </c:pt>
              </c:numCache>
            </c:numRef>
          </c:val>
          <c:smooth val="1"/>
          <c:extLst xmlns:c16r2="http://schemas.microsoft.com/office/drawing/2015/06/chart">
            <c:ext xmlns:c16="http://schemas.microsoft.com/office/drawing/2014/chart" uri="{C3380CC4-5D6E-409C-BE32-E72D297353CC}">
              <c16:uniqueId val="{0000000C-E244-40EC-888F-4991029DEC1B}"/>
            </c:ext>
          </c:extLst>
        </c:ser>
        <c:ser>
          <c:idx val="3"/>
          <c:order val="3"/>
          <c:tx>
            <c:strRef>
              <c:f>'Sherbimi i Borxhit'!$A$24</c:f>
              <c:strCache>
                <c:ptCount val="1"/>
                <c:pt idx="0">
                  <c:v>Interesa/Të Ardhura Tatimore</c:v>
                </c:pt>
              </c:strCache>
            </c:strRef>
          </c:tx>
          <c:spPr>
            <a:ln w="28575" cap="rnd">
              <a:solidFill>
                <a:srgbClr val="C00000"/>
              </a:solidFill>
              <a:round/>
            </a:ln>
            <a:effectLst/>
          </c:spPr>
          <c:marker>
            <c:symbol val="diamond"/>
            <c:size val="5"/>
            <c:spPr>
              <a:solidFill>
                <a:srgbClr val="C00000"/>
              </a:solidFill>
              <a:ln w="9525">
                <a:noFill/>
              </a:ln>
              <a:effectLst/>
            </c:spPr>
          </c:marker>
          <c:dLbls>
            <c:dLbl>
              <c:idx val="0"/>
              <c:layout>
                <c:manualLayout>
                  <c:x val="0"/>
                  <c:y val="-2.34741784037558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E244-40EC-888F-4991029DEC1B}"/>
                </c:ext>
                <c:ext xmlns:c15="http://schemas.microsoft.com/office/drawing/2012/chart" uri="{CE6537A1-D6FC-4f65-9D91-7224C49458BB}"/>
              </c:extLst>
            </c:dLbl>
            <c:dLbl>
              <c:idx val="1"/>
              <c:layout>
                <c:manualLayout>
                  <c:x val="-3.997999740917098E-3"/>
                  <c:y val="-2.34741784037558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E244-40EC-888F-4991029DEC1B}"/>
                </c:ext>
                <c:ext xmlns:c15="http://schemas.microsoft.com/office/drawing/2012/chart" uri="{CE6537A1-D6FC-4f65-9D91-7224C49458BB}"/>
              </c:extLst>
            </c:dLbl>
            <c:dLbl>
              <c:idx val="2"/>
              <c:layout>
                <c:manualLayout>
                  <c:x val="0"/>
                  <c:y val="-5.16431924882629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E244-40EC-888F-4991029DEC1B}"/>
                </c:ext>
                <c:ext xmlns:c15="http://schemas.microsoft.com/office/drawing/2012/chart" uri="{CE6537A1-D6FC-4f65-9D91-7224C49458BB}"/>
              </c:extLst>
            </c:dLbl>
            <c:dLbl>
              <c:idx val="3"/>
              <c:layout>
                <c:manualLayout>
                  <c:x val="-5.9969996113755373E-3"/>
                  <c:y val="-5.63380281690140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E244-40EC-888F-4991029DEC1B}"/>
                </c:ext>
                <c:ext xmlns:c15="http://schemas.microsoft.com/office/drawing/2012/chart" uri="{CE6537A1-D6FC-4f65-9D91-7224C49458BB}"/>
              </c:extLst>
            </c:dLbl>
            <c:dLbl>
              <c:idx val="4"/>
              <c:layout>
                <c:manualLayout>
                  <c:x val="-7.9959994818340485E-3"/>
                  <c:y val="-5.63380281690141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E244-40EC-888F-4991029DEC1B}"/>
                </c:ext>
                <c:ext xmlns:c15="http://schemas.microsoft.com/office/drawing/2012/chart" uri="{CE6537A1-D6FC-4f65-9D91-7224C49458BB}"/>
              </c:extLst>
            </c:dLbl>
            <c:dLbl>
              <c:idx val="5"/>
              <c:layout>
                <c:manualLayout>
                  <c:x val="1.0163483315019615E-3"/>
                  <c:y val="-4.0413233290292359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6.6514307662761674E-2"/>
                      <c:h val="9.3035397602326736E-2"/>
                    </c:manualLayout>
                  </c15:layout>
                </c:ext>
              </c:extLst>
            </c:dLbl>
            <c:dLbl>
              <c:idx val="6"/>
              <c:layout>
                <c:manualLayout>
                  <c:x val="-1.8500783073206508E-16"/>
                  <c:y val="-4.4989775051124822E-2"/>
                </c:manualLayout>
              </c:layout>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'Sherbimi i Borxhit'!$B$20:$G$20</c:f>
              <c:strCache>
                <c:ptCount val="6"/>
                <c:pt idx="0">
                  <c:v>TM. I 2016</c:v>
                </c:pt>
                <c:pt idx="1">
                  <c:v>TM. I 2017</c:v>
                </c:pt>
                <c:pt idx="2">
                  <c:v>TM. I 2018</c:v>
                </c:pt>
                <c:pt idx="3">
                  <c:v>TM. I 2019</c:v>
                </c:pt>
                <c:pt idx="4">
                  <c:v>TM. I 2020</c:v>
                </c:pt>
                <c:pt idx="5">
                  <c:v>TM. I 2021</c:v>
                </c:pt>
              </c:strCache>
            </c:strRef>
          </c:cat>
          <c:val>
            <c:numRef>
              <c:f>'Sherbimi i Borxhit'!$B$24:$G$24</c:f>
              <c:numCache>
                <c:formatCode>0.00%</c:formatCode>
                <c:ptCount val="6"/>
                <c:pt idx="0">
                  <c:v>0.10527987296546248</c:v>
                </c:pt>
                <c:pt idx="1">
                  <c:v>8.2785696900430708E-2</c:v>
                </c:pt>
                <c:pt idx="2">
                  <c:v>8.621211505647193E-2</c:v>
                </c:pt>
                <c:pt idx="3">
                  <c:v>9.3790804785223308E-2</c:v>
                </c:pt>
                <c:pt idx="4">
                  <c:v>9.3431614690364026E-2</c:v>
                </c:pt>
                <c:pt idx="5">
                  <c:v>9.2903102427228573E-2</c:v>
                </c:pt>
              </c:numCache>
            </c:numRef>
          </c:val>
          <c:smooth val="1"/>
          <c:extLst xmlns:c16r2="http://schemas.microsoft.com/office/drawing/2015/06/chart">
            <c:ext xmlns:c16="http://schemas.microsoft.com/office/drawing/2014/chart" uri="{C3380CC4-5D6E-409C-BE32-E72D297353CC}">
              <c16:uniqueId val="{00000012-E244-40EC-888F-4991029DEC1B}"/>
            </c:ext>
          </c:extLst>
        </c:ser>
        <c:ser>
          <c:idx val="4"/>
          <c:order val="4"/>
          <c:tx>
            <c:strRef>
              <c:f>'Sherbimi i Borxhit'!$A$25</c:f>
              <c:strCache>
                <c:ptCount val="1"/>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'Sherbimi i Borxhit'!$B$20:$G$20</c:f>
              <c:strCache>
                <c:ptCount val="6"/>
                <c:pt idx="0">
                  <c:v>TM. I 2016</c:v>
                </c:pt>
                <c:pt idx="1">
                  <c:v>TM. I 2017</c:v>
                </c:pt>
                <c:pt idx="2">
                  <c:v>TM. I 2018</c:v>
                </c:pt>
                <c:pt idx="3">
                  <c:v>TM. I 2019</c:v>
                </c:pt>
                <c:pt idx="4">
                  <c:v>TM. I 2020</c:v>
                </c:pt>
                <c:pt idx="5">
                  <c:v>TM. I 2021</c:v>
                </c:pt>
              </c:strCache>
            </c:strRef>
          </c:cat>
          <c:val>
            <c:numRef>
              <c:f>'Sherbimi i Borxhit'!$B$25:$G$25</c:f>
              <c:numCache>
                <c:formatCode>General</c:formatCode>
                <c:ptCount val="6"/>
              </c:numCache>
            </c:numRef>
          </c:val>
          <c:smooth val="0"/>
        </c:ser>
        <c:dLbls>
          <c:showLegendKey val="0"/>
          <c:showVal val="0"/>
          <c:showCatName val="0"/>
          <c:showSerName val="0"/>
          <c:showPercent val="0"/>
          <c:showBubbleSize val="0"/>
        </c:dLbls>
        <c:marker val="1"/>
        <c:smooth val="0"/>
        <c:axId val="1293494880"/>
        <c:axId val="1293485088"/>
      </c:lineChart>
      <c:catAx>
        <c:axId val="129348617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93480736"/>
        <c:crosses val="autoZero"/>
        <c:auto val="1"/>
        <c:lblAlgn val="ctr"/>
        <c:lblOffset val="100"/>
        <c:noMultiLvlLbl val="0"/>
      </c:catAx>
      <c:valAx>
        <c:axId val="1293480736"/>
        <c:scaling>
          <c:orientation val="minMax"/>
          <c:max val="100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3.4010111152213356E-2"/>
              <c:y val="0.20382249371853428"/>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93486176"/>
        <c:crosses val="autoZero"/>
        <c:crossBetween val="between"/>
        <c:majorUnit val="250"/>
      </c:valAx>
      <c:valAx>
        <c:axId val="1293485088"/>
        <c:scaling>
          <c:orientation val="minMax"/>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93494880"/>
        <c:crosses val="max"/>
        <c:crossBetween val="between"/>
        <c:majorUnit val="3.0000000000000006E-2"/>
      </c:valAx>
      <c:catAx>
        <c:axId val="1293494880"/>
        <c:scaling>
          <c:orientation val="minMax"/>
        </c:scaling>
        <c:delete val="1"/>
        <c:axPos val="b"/>
        <c:numFmt formatCode="General" sourceLinked="1"/>
        <c:majorTickMark val="none"/>
        <c:minorTickMark val="none"/>
        <c:tickLblPos val="nextTo"/>
        <c:crossAx val="1293485088"/>
        <c:crosses val="autoZero"/>
        <c:auto val="1"/>
        <c:lblAlgn val="ctr"/>
        <c:lblOffset val="100"/>
        <c:noMultiLvlLbl val="0"/>
      </c:catAx>
      <c:spPr>
        <a:noFill/>
        <a:ln>
          <a:noFill/>
        </a:ln>
        <a:effectLst/>
      </c:spPr>
    </c:plotArea>
    <c:legend>
      <c:legendPos val="b"/>
      <c:legendEntry>
        <c:idx val="4"/>
        <c:delete val="1"/>
      </c:legendEntry>
      <c:layout>
        <c:manualLayout>
          <c:xMode val="edge"/>
          <c:yMode val="edge"/>
          <c:x val="1.8292682926829267E-2"/>
          <c:y val="0.89268352819533925"/>
          <c:w val="0.97929998079508351"/>
          <c:h val="6.901888797642627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14382604811259"/>
          <c:y val="0.16096576076601113"/>
          <c:w val="0.79152746718733524"/>
          <c:h val="0.61865394600591561"/>
        </c:manualLayout>
      </c:layout>
      <c:lineChart>
        <c:grouping val="standard"/>
        <c:varyColors val="0"/>
        <c:ser>
          <c:idx val="0"/>
          <c:order val="0"/>
          <c:tx>
            <c:strRef>
              <c:f>'Sherbimi i Borxhit'!$A$46</c:f>
              <c:strCache>
                <c:ptCount val="1"/>
                <c:pt idx="0">
                  <c:v>Yield</c:v>
                </c:pt>
              </c:strCache>
            </c:strRef>
          </c:tx>
          <c:spPr>
            <a:ln w="28575" cap="rnd">
              <a:solidFill>
                <a:schemeClr val="accent1"/>
              </a:solidFill>
              <a:round/>
            </a:ln>
            <a:effectLst/>
          </c:spPr>
          <c:marker>
            <c:symbol val="diamond"/>
            <c:size val="5"/>
            <c:spPr>
              <a:solidFill>
                <a:schemeClr val="accent1"/>
              </a:solidFill>
              <a:ln w="9525">
                <a:solidFill>
                  <a:schemeClr val="accent1"/>
                </a:solidFill>
              </a:ln>
              <a:effectLst/>
            </c:spPr>
          </c:marker>
          <c:dLbls>
            <c:dLbl>
              <c:idx val="0"/>
              <c:layout>
                <c:manualLayout>
                  <c:x val="-4.9066666666666668E-2"/>
                  <c:y val="3.21931521532022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C7D-449D-9418-7703AD0CD8FF}"/>
                </c:ext>
                <c:ext xmlns:c15="http://schemas.microsoft.com/office/drawing/2012/chart" uri="{CE6537A1-D6FC-4f65-9D91-7224C49458BB}"/>
              </c:extLst>
            </c:dLbl>
            <c:dLbl>
              <c:idx val="1"/>
              <c:layout>
                <c:manualLayout>
                  <c:x val="-4.48E-2"/>
                  <c:y val="5.90207789475374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C7D-449D-9418-7703AD0CD8FF}"/>
                </c:ext>
                <c:ext xmlns:c15="http://schemas.microsoft.com/office/drawing/2012/chart" uri="{CE6537A1-D6FC-4f65-9D91-7224C49458BB}"/>
              </c:extLst>
            </c:dLbl>
            <c:dLbl>
              <c:idx val="2"/>
              <c:layout>
                <c:manualLayout>
                  <c:x val="-4.48E-2"/>
                  <c:y val="6.43863043064044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C7D-449D-9418-7703AD0CD8FF}"/>
                </c:ext>
                <c:ext xmlns:c15="http://schemas.microsoft.com/office/drawing/2012/chart" uri="{CE6537A1-D6FC-4f65-9D91-7224C49458BB}"/>
              </c:extLst>
            </c:dLbl>
            <c:dLbl>
              <c:idx val="3"/>
              <c:layout>
                <c:manualLayout>
                  <c:x val="-4.0533333333333331E-2"/>
                  <c:y val="4.82897282298033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C7D-449D-9418-7703AD0CD8FF}"/>
                </c:ext>
                <c:ext xmlns:c15="http://schemas.microsoft.com/office/drawing/2012/chart" uri="{CE6537A1-D6FC-4f65-9D91-7224C49458BB}"/>
              </c:extLst>
            </c:dLbl>
            <c:dLbl>
              <c:idx val="4"/>
              <c:layout>
                <c:manualLayout>
                  <c:x val="-4.6933333333333487E-2"/>
                  <c:y val="4.82897282298032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C7D-449D-9418-7703AD0CD8F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'Sherbimi i Borxhit'!$E$45:$J$45</c:f>
              <c:numCache>
                <c:formatCode>General</c:formatCode>
                <c:ptCount val="6"/>
                <c:pt idx="0">
                  <c:v>2016</c:v>
                </c:pt>
                <c:pt idx="1">
                  <c:v>2017</c:v>
                </c:pt>
                <c:pt idx="2">
                  <c:v>2018</c:v>
                </c:pt>
                <c:pt idx="3">
                  <c:v>2019</c:v>
                </c:pt>
                <c:pt idx="4">
                  <c:v>2020</c:v>
                </c:pt>
                <c:pt idx="5" formatCode="mmm\-yy">
                  <c:v>44256</c:v>
                </c:pt>
              </c:numCache>
            </c:numRef>
          </c:cat>
          <c:val>
            <c:numRef>
              <c:f>'Sherbimi i Borxhit'!$E$46:$J$46</c:f>
              <c:numCache>
                <c:formatCode>0.00%</c:formatCode>
                <c:ptCount val="6"/>
                <c:pt idx="0">
                  <c:v>4.3700000000000003E-2</c:v>
                </c:pt>
                <c:pt idx="1">
                  <c:v>4.3299999999999998E-2</c:v>
                </c:pt>
                <c:pt idx="2">
                  <c:v>4.1829999999999999E-2</c:v>
                </c:pt>
                <c:pt idx="3">
                  <c:v>3.8350000000000002E-2</c:v>
                </c:pt>
                <c:pt idx="4">
                  <c:v>3.6500999999999999E-2</c:v>
                </c:pt>
                <c:pt idx="5">
                  <c:v>3.61E-2</c:v>
                </c:pt>
              </c:numCache>
            </c:numRef>
          </c:val>
          <c:smooth val="1"/>
          <c:extLst xmlns:c16r2="http://schemas.microsoft.com/office/drawing/2015/06/chart">
            <c:ext xmlns:c16="http://schemas.microsoft.com/office/drawing/2014/chart" uri="{C3380CC4-5D6E-409C-BE32-E72D297353CC}">
              <c16:uniqueId val="{00000005-EC7D-449D-9418-7703AD0CD8FF}"/>
            </c:ext>
          </c:extLst>
        </c:ser>
        <c:dLbls>
          <c:showLegendKey val="0"/>
          <c:showVal val="0"/>
          <c:showCatName val="0"/>
          <c:showSerName val="0"/>
          <c:showPercent val="0"/>
          <c:showBubbleSize val="0"/>
        </c:dLbls>
        <c:marker val="1"/>
        <c:smooth val="0"/>
        <c:axId val="1293493792"/>
        <c:axId val="1293480192"/>
      </c:lineChart>
      <c:lineChart>
        <c:grouping val="standard"/>
        <c:varyColors val="0"/>
        <c:ser>
          <c:idx val="1"/>
          <c:order val="1"/>
          <c:tx>
            <c:strRef>
              <c:f>'Sherbimi i Borxhit'!$A$47</c:f>
              <c:strCache>
                <c:ptCount val="1"/>
                <c:pt idx="0">
                  <c:v>DMM</c:v>
                </c:pt>
              </c:strCache>
            </c:strRef>
          </c:tx>
          <c:spPr>
            <a:ln w="28575" cap="rnd">
              <a:solidFill>
                <a:srgbClr val="C00000"/>
              </a:solidFill>
              <a:round/>
            </a:ln>
            <a:effectLst/>
          </c:spPr>
          <c:marker>
            <c:symbol val="square"/>
            <c:size val="5"/>
            <c:spPr>
              <a:solidFill>
                <a:srgbClr val="C00000"/>
              </a:solidFill>
              <a:ln w="9525">
                <a:solidFill>
                  <a:srgbClr val="C00000"/>
                </a:solidFill>
              </a:ln>
              <a:effectLst/>
            </c:spPr>
          </c:marker>
          <c:dLbls>
            <c:dLbl>
              <c:idx val="0"/>
              <c:layout>
                <c:manualLayout>
                  <c:x val="-2.3466666666666667E-2"/>
                  <c:y val="-6.97518296652715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C7D-449D-9418-7703AD0CD8FF}"/>
                </c:ext>
                <c:ext xmlns:c15="http://schemas.microsoft.com/office/drawing/2012/chart" uri="{CE6537A1-D6FC-4f65-9D91-7224C49458BB}"/>
              </c:extLst>
            </c:dLbl>
            <c:dLbl>
              <c:idx val="1"/>
              <c:layout>
                <c:manualLayout>
                  <c:x val="-1.2800000000000001E-2"/>
                  <c:y val="-9.12139311007396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EC7D-449D-9418-7703AD0CD8FF}"/>
                </c:ext>
                <c:ext xmlns:c15="http://schemas.microsoft.com/office/drawing/2012/chart" uri="{CE6537A1-D6FC-4f65-9D91-7224C49458BB}"/>
              </c:extLst>
            </c:dLbl>
            <c:dLbl>
              <c:idx val="2"/>
              <c:layout>
                <c:manualLayout>
                  <c:x val="-3.2000000000000077E-2"/>
                  <c:y val="-6.43863043064044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C7D-449D-9418-7703AD0CD8FF}"/>
                </c:ext>
                <c:ext xmlns:c15="http://schemas.microsoft.com/office/drawing/2012/chart" uri="{CE6537A1-D6FC-4f65-9D91-7224C49458BB}"/>
              </c:extLst>
            </c:dLbl>
            <c:dLbl>
              <c:idx val="3"/>
              <c:layout>
                <c:manualLayout>
                  <c:x val="-2.3466666666666743E-2"/>
                  <c:y val="-7.51173550241385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C7D-449D-9418-7703AD0CD8FF}"/>
                </c:ext>
                <c:ext xmlns:c15="http://schemas.microsoft.com/office/drawing/2012/chart" uri="{CE6537A1-D6FC-4f65-9D91-7224C49458BB}"/>
              </c:extLst>
            </c:dLbl>
            <c:dLbl>
              <c:idx val="4"/>
              <c:layout>
                <c:manualLayout>
                  <c:x val="-3.2000000000000153E-2"/>
                  <c:y val="-5.90207789475374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C7D-449D-9418-7703AD0CD8F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'Sherbimi i Borxhit'!$E$45:$J$45</c:f>
              <c:numCache>
                <c:formatCode>General</c:formatCode>
                <c:ptCount val="6"/>
                <c:pt idx="0">
                  <c:v>2016</c:v>
                </c:pt>
                <c:pt idx="1">
                  <c:v>2017</c:v>
                </c:pt>
                <c:pt idx="2">
                  <c:v>2018</c:v>
                </c:pt>
                <c:pt idx="3">
                  <c:v>2019</c:v>
                </c:pt>
                <c:pt idx="4">
                  <c:v>2020</c:v>
                </c:pt>
                <c:pt idx="5" formatCode="mmm\-yy">
                  <c:v>44256</c:v>
                </c:pt>
              </c:numCache>
            </c:numRef>
          </c:cat>
          <c:val>
            <c:numRef>
              <c:f>'Sherbimi i Borxhit'!$E$47:$J$47</c:f>
              <c:numCache>
                <c:formatCode>General</c:formatCode>
                <c:ptCount val="6"/>
                <c:pt idx="0">
                  <c:v>753</c:v>
                </c:pt>
                <c:pt idx="1">
                  <c:v>780</c:v>
                </c:pt>
                <c:pt idx="2">
                  <c:v>783</c:v>
                </c:pt>
                <c:pt idx="3" formatCode="#,##0">
                  <c:v>787</c:v>
                </c:pt>
                <c:pt idx="4" formatCode="#,##0">
                  <c:v>783</c:v>
                </c:pt>
                <c:pt idx="5" formatCode="#,##0">
                  <c:v>778</c:v>
                </c:pt>
              </c:numCache>
            </c:numRef>
          </c:val>
          <c:smooth val="1"/>
          <c:extLst xmlns:c16r2="http://schemas.microsoft.com/office/drawing/2015/06/chart">
            <c:ext xmlns:c16="http://schemas.microsoft.com/office/drawing/2014/chart" uri="{C3380CC4-5D6E-409C-BE32-E72D297353CC}">
              <c16:uniqueId val="{0000000B-EC7D-449D-9418-7703AD0CD8FF}"/>
            </c:ext>
          </c:extLst>
        </c:ser>
        <c:dLbls>
          <c:showLegendKey val="0"/>
          <c:showVal val="0"/>
          <c:showCatName val="0"/>
          <c:showSerName val="0"/>
          <c:showPercent val="0"/>
          <c:showBubbleSize val="0"/>
        </c:dLbls>
        <c:marker val="1"/>
        <c:smooth val="0"/>
        <c:axId val="1293486720"/>
        <c:axId val="1293481280"/>
      </c:lineChart>
      <c:catAx>
        <c:axId val="129349379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93480192"/>
        <c:crosses val="autoZero"/>
        <c:auto val="1"/>
        <c:lblAlgn val="ctr"/>
        <c:lblOffset val="100"/>
        <c:noMultiLvlLbl val="0"/>
      </c:catAx>
      <c:valAx>
        <c:axId val="1293480192"/>
        <c:scaling>
          <c:orientation val="minMax"/>
          <c:max val="5.5000000000000007E-2"/>
          <c:min val="3.0000000000000006E-2"/>
        </c:scaling>
        <c:delete val="0"/>
        <c:axPos val="l"/>
        <c:title>
          <c:tx>
            <c:rich>
              <a:bodyPr rot="0" spcFirstLastPara="1" vertOverflow="ellipsis"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NMP</a:t>
                </a:r>
              </a:p>
            </c:rich>
          </c:tx>
          <c:layout>
            <c:manualLayout>
              <c:xMode val="edge"/>
              <c:yMode val="edge"/>
              <c:x val="6.2349586130739675E-2"/>
              <c:y val="3.7817659169154735E-2"/>
            </c:manualLayout>
          </c:layout>
          <c:overlay val="0"/>
          <c:spPr>
            <a:noFill/>
            <a:ln>
              <a:noFill/>
            </a:ln>
            <a:effectLst/>
          </c:spPr>
          <c:txPr>
            <a:bodyPr rot="0" spcFirstLastPara="1" vertOverflow="ellipsis"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93493792"/>
        <c:crosses val="autoZero"/>
        <c:crossBetween val="between"/>
      </c:valAx>
      <c:valAx>
        <c:axId val="1293481280"/>
        <c:scaling>
          <c:orientation val="minMax"/>
          <c:min val="600"/>
        </c:scaling>
        <c:delete val="0"/>
        <c:axPos val="r"/>
        <c:title>
          <c:tx>
            <c:rich>
              <a:bodyPr rot="0" spcFirstLastPara="1" vertOverflow="ellipsis" wrap="square" anchor="t" anchorCtr="0"/>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DMM</a:t>
                </a:r>
              </a:p>
            </c:rich>
          </c:tx>
          <c:layout>
            <c:manualLayout>
              <c:xMode val="edge"/>
              <c:yMode val="edge"/>
              <c:x val="0.90033459780397518"/>
              <c:y val="2.7086608451420659E-2"/>
            </c:manualLayout>
          </c:layout>
          <c:overlay val="0"/>
          <c:spPr>
            <a:noFill/>
            <a:ln>
              <a:noFill/>
            </a:ln>
            <a:effectLst/>
          </c:spPr>
          <c:txPr>
            <a:bodyPr rot="0" spcFirstLastPara="1" vertOverflow="ellipsis" wrap="square" anchor="t" anchorCtr="0"/>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93486720"/>
        <c:crosses val="max"/>
        <c:crossBetween val="between"/>
        <c:majorUnit val="50"/>
      </c:valAx>
      <c:catAx>
        <c:axId val="1293486720"/>
        <c:scaling>
          <c:orientation val="minMax"/>
        </c:scaling>
        <c:delete val="1"/>
        <c:axPos val="b"/>
        <c:numFmt formatCode="General" sourceLinked="1"/>
        <c:majorTickMark val="out"/>
        <c:minorTickMark val="none"/>
        <c:tickLblPos val="nextTo"/>
        <c:crossAx val="1293481280"/>
        <c:crosses val="autoZero"/>
        <c:auto val="1"/>
        <c:lblAlgn val="ctr"/>
        <c:lblOffset val="100"/>
        <c:noMultiLvlLbl val="0"/>
      </c:catAx>
      <c:spPr>
        <a:noFill/>
        <a:ln>
          <a:noFill/>
        </a:ln>
        <a:effectLst/>
      </c:spPr>
    </c:plotArea>
    <c:legend>
      <c:legendPos val="b"/>
      <c:layout>
        <c:manualLayout>
          <c:xMode val="edge"/>
          <c:yMode val="edge"/>
          <c:x val="0.39745540426852344"/>
          <c:y val="0.89335954976905008"/>
          <c:w val="0.20508919146295307"/>
          <c:h val="9.05438741543488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1714785651793"/>
          <c:y val="0.17171296296296296"/>
          <c:w val="0.82469291338582662"/>
          <c:h val="0.60854297586967243"/>
        </c:manualLayout>
      </c:layout>
      <c:lineChart>
        <c:grouping val="standard"/>
        <c:varyColors val="0"/>
        <c:ser>
          <c:idx val="0"/>
          <c:order val="0"/>
          <c:tx>
            <c:strRef>
              <c:f>Sheet1!$C$24</c:f>
              <c:strCache>
                <c:ptCount val="1"/>
                <c:pt idx="0">
                  <c:v>Realizim 2020</c:v>
                </c:pt>
              </c:strCache>
            </c:strRef>
          </c:tx>
          <c:spPr>
            <a:ln w="28575" cap="rnd">
              <a:solidFill>
                <a:schemeClr val="accent1"/>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Sheet1!$C$25:$C$36</c:f>
              <c:numCache>
                <c:formatCode>_(* #,##0_);_(* \(#,##0\);_(* "-"??_);_(@_)</c:formatCode>
                <c:ptCount val="12"/>
                <c:pt idx="0">
                  <c:v>11361</c:v>
                </c:pt>
                <c:pt idx="1">
                  <c:v>12403</c:v>
                </c:pt>
                <c:pt idx="2">
                  <c:v>10822</c:v>
                </c:pt>
                <c:pt idx="3">
                  <c:v>9015</c:v>
                </c:pt>
                <c:pt idx="4">
                  <c:v>11156</c:v>
                </c:pt>
                <c:pt idx="5">
                  <c:v>13202</c:v>
                </c:pt>
                <c:pt idx="6">
                  <c:v>14307.300000000003</c:v>
                </c:pt>
                <c:pt idx="7">
                  <c:v>13639.399999999994</c:v>
                </c:pt>
                <c:pt idx="8">
                  <c:v>13259.100000000006</c:v>
                </c:pt>
                <c:pt idx="9">
                  <c:v>14394.199999999997</c:v>
                </c:pt>
                <c:pt idx="10">
                  <c:v>13510</c:v>
                </c:pt>
                <c:pt idx="11">
                  <c:v>15838.607250750007</c:v>
                </c:pt>
              </c:numCache>
            </c:numRef>
          </c:val>
          <c:smooth val="0"/>
          <c:extLst xmlns:c16r2="http://schemas.microsoft.com/office/drawing/2015/06/chart">
            <c:ext xmlns:c16="http://schemas.microsoft.com/office/drawing/2014/chart" uri="{C3380CC4-5D6E-409C-BE32-E72D297353CC}">
              <c16:uniqueId val="{00000000-FAE6-4C2A-A83D-6CCA36DF4692}"/>
            </c:ext>
          </c:extLst>
        </c:ser>
        <c:ser>
          <c:idx val="1"/>
          <c:order val="1"/>
          <c:tx>
            <c:strRef>
              <c:f>Sheet1!$D$24</c:f>
              <c:strCache>
                <c:ptCount val="1"/>
                <c:pt idx="0">
                  <c:v>Realizim 2021</c:v>
                </c:pt>
              </c:strCache>
            </c:strRef>
          </c:tx>
          <c:spPr>
            <a:ln w="28575" cap="rnd">
              <a:solidFill>
                <a:schemeClr val="accent3"/>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Sheet1!$D$25:$D$36</c:f>
              <c:numCache>
                <c:formatCode>#,##0</c:formatCode>
                <c:ptCount val="12"/>
                <c:pt idx="0">
                  <c:v>11490.608</c:v>
                </c:pt>
                <c:pt idx="1">
                  <c:v>12534.39</c:v>
                </c:pt>
                <c:pt idx="2">
                  <c:v>14440.879999999997</c:v>
                </c:pt>
                <c:pt idx="3">
                  <c:v>14577</c:v>
                </c:pt>
                <c:pt idx="4">
                  <c:v>14867.195378000004</c:v>
                </c:pt>
              </c:numCache>
            </c:numRef>
          </c:val>
          <c:smooth val="0"/>
          <c:extLst xmlns:c16r2="http://schemas.microsoft.com/office/drawing/2015/06/chart">
            <c:ext xmlns:c16="http://schemas.microsoft.com/office/drawing/2014/chart" uri="{C3380CC4-5D6E-409C-BE32-E72D297353CC}">
              <c16:uniqueId val="{00000001-FAE6-4C2A-A83D-6CCA36DF4692}"/>
            </c:ext>
          </c:extLst>
        </c:ser>
        <c:ser>
          <c:idx val="2"/>
          <c:order val="2"/>
          <c:tx>
            <c:strRef>
              <c:f>Sheet1!$E$24</c:f>
              <c:strCache>
                <c:ptCount val="1"/>
                <c:pt idx="0">
                  <c:v>Plan 2021</c:v>
                </c:pt>
              </c:strCache>
            </c:strRef>
          </c:tx>
          <c:spPr>
            <a:ln w="28575" cap="rnd">
              <a:solidFill>
                <a:schemeClr val="accent5"/>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Sheet1!$E$25:$E$36</c:f>
              <c:numCache>
                <c:formatCode>#,##0</c:formatCode>
                <c:ptCount val="12"/>
                <c:pt idx="0">
                  <c:v>11490.608</c:v>
                </c:pt>
                <c:pt idx="1">
                  <c:v>12534.39</c:v>
                </c:pt>
                <c:pt idx="2">
                  <c:v>14440.879999999997</c:v>
                </c:pt>
                <c:pt idx="3">
                  <c:v>14577</c:v>
                </c:pt>
                <c:pt idx="4">
                  <c:v>13554.035183578802</c:v>
                </c:pt>
                <c:pt idx="5">
                  <c:v>13584.548826123384</c:v>
                </c:pt>
                <c:pt idx="6">
                  <c:v>14974.275563221716</c:v>
                </c:pt>
                <c:pt idx="7">
                  <c:v>14713.209680804473</c:v>
                </c:pt>
                <c:pt idx="8">
                  <c:v>13493.285043257201</c:v>
                </c:pt>
                <c:pt idx="9">
                  <c:v>15117.708972392982</c:v>
                </c:pt>
                <c:pt idx="10">
                  <c:v>15009.869349227694</c:v>
                </c:pt>
                <c:pt idx="11">
                  <c:v>15561.397589157452</c:v>
                </c:pt>
              </c:numCache>
            </c:numRef>
          </c:val>
          <c:smooth val="0"/>
          <c:extLst xmlns:c16r2="http://schemas.microsoft.com/office/drawing/2015/06/chart">
            <c:ext xmlns:c16="http://schemas.microsoft.com/office/drawing/2014/chart" uri="{C3380CC4-5D6E-409C-BE32-E72D297353CC}">
              <c16:uniqueId val="{00000002-FAE6-4C2A-A83D-6CCA36DF4692}"/>
            </c:ext>
          </c:extLst>
        </c:ser>
        <c:dLbls>
          <c:showLegendKey val="0"/>
          <c:showVal val="0"/>
          <c:showCatName val="0"/>
          <c:showSerName val="0"/>
          <c:showPercent val="0"/>
          <c:showBubbleSize val="0"/>
        </c:dLbls>
        <c:smooth val="0"/>
        <c:axId val="1290922336"/>
        <c:axId val="1290923424"/>
      </c:lineChart>
      <c:catAx>
        <c:axId val="1290922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290923424"/>
        <c:crosses val="autoZero"/>
        <c:auto val="1"/>
        <c:lblAlgn val="ctr"/>
        <c:lblOffset val="100"/>
        <c:noMultiLvlLbl val="0"/>
      </c:catAx>
      <c:valAx>
        <c:axId val="1290923424"/>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2336"/>
        <c:crosses val="autoZero"/>
        <c:crossBetween val="between"/>
      </c:valAx>
      <c:spPr>
        <a:solidFill>
          <a:sysClr val="window" lastClr="FFFFFF"/>
        </a:solidFill>
        <a:ln>
          <a:noFill/>
        </a:ln>
        <a:effectLst/>
      </c:spPr>
    </c:plotArea>
    <c:legend>
      <c:legendPos val="b"/>
      <c:layout>
        <c:manualLayout>
          <c:xMode val="edge"/>
          <c:yMode val="edge"/>
          <c:x val="0.15866894899007186"/>
          <c:y val="0.66550123942840467"/>
          <c:w val="0.84133119282419799"/>
          <c:h val="9.0378371527781512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712803971792685E-2"/>
          <c:y val="5.3527980535279802E-2"/>
          <c:w val="0.85513882300856969"/>
          <c:h val="0.69584332727639819"/>
        </c:manualLayout>
      </c:layout>
      <c:barChart>
        <c:barDir val="col"/>
        <c:grouping val="clustered"/>
        <c:varyColors val="0"/>
        <c:ser>
          <c:idx val="0"/>
          <c:order val="0"/>
          <c:tx>
            <c:strRef>
              <c:f>'Tregu primar ankandet'!$H$103</c:f>
              <c:strCache>
                <c:ptCount val="1"/>
                <c:pt idx="0">
                  <c:v>Kërkesa</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ankandet'!$A$104:$A$106</c:f>
              <c:strCache>
                <c:ptCount val="3"/>
                <c:pt idx="0">
                  <c:v>Janar</c:v>
                </c:pt>
                <c:pt idx="1">
                  <c:v>Shkurt</c:v>
                </c:pt>
                <c:pt idx="2">
                  <c:v>Mars</c:v>
                </c:pt>
              </c:strCache>
            </c:strRef>
          </c:cat>
          <c:val>
            <c:numRef>
              <c:f>'Tregu primar ankandet'!$H$104:$H$106</c:f>
              <c:numCache>
                <c:formatCode>_-* #,##0.0_L_e_k_-;\-* #,##0.0_L_e_k_-;_-* "-"??_L_e_k_-;_-@_-</c:formatCode>
                <c:ptCount val="3"/>
                <c:pt idx="0">
                  <c:v>36.613939999999999</c:v>
                </c:pt>
                <c:pt idx="1">
                  <c:v>37.180720000000001</c:v>
                </c:pt>
                <c:pt idx="2">
                  <c:v>50.122540000000001</c:v>
                </c:pt>
              </c:numCache>
            </c:numRef>
          </c:val>
          <c:extLst xmlns:c16r2="http://schemas.microsoft.com/office/drawing/2015/06/chart">
            <c:ext xmlns:c16="http://schemas.microsoft.com/office/drawing/2014/chart" uri="{C3380CC4-5D6E-409C-BE32-E72D297353CC}">
              <c16:uniqueId val="{00000000-37C8-4F2A-BF15-0D0F9AE11A10}"/>
            </c:ext>
          </c:extLst>
        </c:ser>
        <c:ser>
          <c:idx val="1"/>
          <c:order val="1"/>
          <c:tx>
            <c:strRef>
              <c:f>'Tregu primar ankandet'!$I$103</c:f>
              <c:strCache>
                <c:ptCount val="1"/>
                <c:pt idx="0">
                  <c:v>Oferta</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ankandet'!$A$104:$A$106</c:f>
              <c:strCache>
                <c:ptCount val="3"/>
                <c:pt idx="0">
                  <c:v>Janar</c:v>
                </c:pt>
                <c:pt idx="1">
                  <c:v>Shkurt</c:v>
                </c:pt>
                <c:pt idx="2">
                  <c:v>Mars</c:v>
                </c:pt>
              </c:strCache>
            </c:strRef>
          </c:cat>
          <c:val>
            <c:numRef>
              <c:f>'Tregu primar ankandet'!$I$104:$I$106</c:f>
              <c:numCache>
                <c:formatCode>_-* #,##0.0_L_e_k_-;\-* #,##0.0_L_e_k_-;_-* "-"??_L_e_k_-;_-@_-</c:formatCode>
                <c:ptCount val="3"/>
                <c:pt idx="0">
                  <c:v>30.7</c:v>
                </c:pt>
                <c:pt idx="1">
                  <c:v>35.4</c:v>
                </c:pt>
                <c:pt idx="2">
                  <c:v>30.6</c:v>
                </c:pt>
              </c:numCache>
            </c:numRef>
          </c:val>
          <c:extLst xmlns:c16r2="http://schemas.microsoft.com/office/drawing/2015/06/chart">
            <c:ext xmlns:c16="http://schemas.microsoft.com/office/drawing/2014/chart" uri="{C3380CC4-5D6E-409C-BE32-E72D297353CC}">
              <c16:uniqueId val="{00000001-37C8-4F2A-BF15-0D0F9AE11A10}"/>
            </c:ext>
          </c:extLst>
        </c:ser>
        <c:dLbls>
          <c:showLegendKey val="0"/>
          <c:showVal val="0"/>
          <c:showCatName val="0"/>
          <c:showSerName val="0"/>
          <c:showPercent val="0"/>
          <c:showBubbleSize val="0"/>
        </c:dLbls>
        <c:gapWidth val="336"/>
        <c:axId val="1293482368"/>
        <c:axId val="1293488352"/>
      </c:barChart>
      <c:lineChart>
        <c:grouping val="standard"/>
        <c:varyColors val="0"/>
        <c:ser>
          <c:idx val="2"/>
          <c:order val="2"/>
          <c:tx>
            <c:strRef>
              <c:f>'Tregu primar ankandet'!$J$103</c:f>
              <c:strCache>
                <c:ptCount val="1"/>
                <c:pt idx="0">
                  <c:v>Raporti i Mbulimit</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1.2787524366471735E-2"/>
                  <c:y val="-7.607621881910429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7C8-4F2A-BF15-0D0F9AE11A10}"/>
                </c:ext>
                <c:ext xmlns:c15="http://schemas.microsoft.com/office/drawing/2012/chart" uri="{CE6537A1-D6FC-4f65-9D91-7224C49458BB}"/>
              </c:extLst>
            </c:dLbl>
            <c:dLbl>
              <c:idx val="2"/>
              <c:layout>
                <c:manualLayout>
                  <c:x val="-5.7339436486101888E-2"/>
                  <c:y val="-6.41431561945445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7C8-4F2A-BF15-0D0F9AE11A10}"/>
                </c:ext>
                <c:ext xmlns:c15="http://schemas.microsoft.com/office/drawing/2012/chart" uri="{CE6537A1-D6FC-4f65-9D91-7224C49458BB}"/>
              </c:extLst>
            </c:dLbl>
            <c:dLbl>
              <c:idx val="3"/>
              <c:layout>
                <c:manualLayout>
                  <c:x val="-2.4483430799220274E-2"/>
                  <c:y val="-0.11282162564325128"/>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7C8-4F2A-BF15-0D0F9AE11A10}"/>
                </c:ext>
                <c:ext xmlns:c15="http://schemas.microsoft.com/office/drawing/2012/chart" uri="{CE6537A1-D6FC-4f65-9D91-7224C49458BB}"/>
              </c:extLst>
            </c:dLbl>
            <c:dLbl>
              <c:idx val="4"/>
              <c:layout>
                <c:manualLayout>
                  <c:x val="-5.3723196881091617E-2"/>
                  <c:y val="-3.408146816293632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7C8-4F2A-BF15-0D0F9AE11A10}"/>
                </c:ext>
                <c:ext xmlns:c15="http://schemas.microsoft.com/office/drawing/2012/chart" uri="{CE6537A1-D6FC-4f65-9D91-7224C49458BB}"/>
              </c:extLst>
            </c:dLbl>
            <c:dLbl>
              <c:idx val="5"/>
              <c:layout>
                <c:manualLayout>
                  <c:x val="-2.9622603992682732E-2"/>
                  <c:y val="-4.162509098127441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7C8-4F2A-BF15-0D0F9AE11A1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'Tregu primar ankandet'!$A$87:$A$98</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'Tregu primar ankandet'!$J$104:$J$106</c:f>
              <c:numCache>
                <c:formatCode>_(* #,##0.00_);_(* \(#,##0.00\);_(* "-"??_);_(@_)</c:formatCode>
                <c:ptCount val="3"/>
                <c:pt idx="0">
                  <c:v>1.1926364820846906</c:v>
                </c:pt>
                <c:pt idx="1">
                  <c:v>1.0503028248587571</c:v>
                </c:pt>
                <c:pt idx="2">
                  <c:v>1.6379915032679737</c:v>
                </c:pt>
              </c:numCache>
            </c:numRef>
          </c:val>
          <c:smooth val="1"/>
          <c:extLst xmlns:c16r2="http://schemas.microsoft.com/office/drawing/2015/06/chart">
            <c:ext xmlns:c16="http://schemas.microsoft.com/office/drawing/2014/chart" uri="{C3380CC4-5D6E-409C-BE32-E72D297353CC}">
              <c16:uniqueId val="{00000007-37C8-4F2A-BF15-0D0F9AE11A10}"/>
            </c:ext>
          </c:extLst>
        </c:ser>
        <c:dLbls>
          <c:showLegendKey val="0"/>
          <c:showVal val="0"/>
          <c:showCatName val="0"/>
          <c:showSerName val="0"/>
          <c:showPercent val="0"/>
          <c:showBubbleSize val="0"/>
        </c:dLbls>
        <c:marker val="1"/>
        <c:smooth val="0"/>
        <c:axId val="1293484000"/>
        <c:axId val="1293483456"/>
      </c:lineChart>
      <c:catAx>
        <c:axId val="12934823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93488352"/>
        <c:crosses val="autoZero"/>
        <c:auto val="1"/>
        <c:lblAlgn val="ctr"/>
        <c:lblOffset val="100"/>
        <c:noMultiLvlLbl val="0"/>
      </c:catAx>
      <c:valAx>
        <c:axId val="1293488352"/>
        <c:scaling>
          <c:orientation val="minMax"/>
          <c:max val="8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2.3460093378295348E-2"/>
              <c:y val="0.2670985244491497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93482368"/>
        <c:crosses val="autoZero"/>
        <c:crossBetween val="between"/>
        <c:majorUnit val="20"/>
      </c:valAx>
      <c:valAx>
        <c:axId val="1293483456"/>
        <c:scaling>
          <c:orientation val="minMax"/>
          <c:max val="2"/>
          <c:min val="0"/>
        </c:scaling>
        <c:delete val="0"/>
        <c:axPos val="r"/>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93484000"/>
        <c:crosses val="max"/>
        <c:crossBetween val="between"/>
        <c:majorUnit val="0.4"/>
      </c:valAx>
      <c:catAx>
        <c:axId val="1293484000"/>
        <c:scaling>
          <c:orientation val="minMax"/>
        </c:scaling>
        <c:delete val="1"/>
        <c:axPos val="t"/>
        <c:numFmt formatCode="General" sourceLinked="1"/>
        <c:majorTickMark val="out"/>
        <c:minorTickMark val="none"/>
        <c:tickLblPos val="nextTo"/>
        <c:crossAx val="1293483456"/>
        <c:crosses val="max"/>
        <c:auto val="1"/>
        <c:lblAlgn val="ctr"/>
        <c:lblOffset val="100"/>
        <c:noMultiLvlLbl val="0"/>
      </c:catAx>
      <c:spPr>
        <a:noFill/>
        <a:ln>
          <a:noFill/>
        </a:ln>
        <a:effectLst/>
      </c:spPr>
    </c:plotArea>
    <c:legend>
      <c:legendPos val="b"/>
      <c:layout>
        <c:manualLayout>
          <c:xMode val="edge"/>
          <c:yMode val="edge"/>
          <c:x val="0.27279658025202985"/>
          <c:y val="0.90815027683583349"/>
          <c:w val="0.44660956854077449"/>
          <c:h val="8.211736306684291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no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028178769320498E-2"/>
          <c:y val="5.7172017352253905E-2"/>
          <c:w val="0.90212975721784794"/>
          <c:h val="0.71290765529831523"/>
        </c:manualLayout>
      </c:layout>
      <c:lineChart>
        <c:grouping val="standard"/>
        <c:varyColors val="0"/>
        <c:ser>
          <c:idx val="1"/>
          <c:order val="0"/>
          <c:tx>
            <c:strRef>
              <c:f>'Yeld Mesatar i Ponderuar'!$E$4</c:f>
              <c:strCache>
                <c:ptCount val="1"/>
                <c:pt idx="0">
                  <c:v>2019</c:v>
                </c:pt>
              </c:strCache>
            </c:strRef>
          </c:tx>
          <c:spPr>
            <a:ln w="25400" cap="rnd">
              <a:solidFill>
                <a:schemeClr val="accent3">
                  <a:lumMod val="75000"/>
                </a:schemeClr>
              </a:solidFill>
              <a:round/>
            </a:ln>
            <a:effectLst/>
          </c:spPr>
          <c:marker>
            <c:symbol val="diamond"/>
            <c:size val="5"/>
            <c:spPr>
              <a:solidFill>
                <a:schemeClr val="bg1">
                  <a:lumMod val="50000"/>
                </a:schemeClr>
              </a:solidFill>
              <a:ln w="9525">
                <a:solidFill>
                  <a:schemeClr val="accent3">
                    <a:lumMod val="75000"/>
                  </a:schemeClr>
                </a:solidFill>
              </a:ln>
              <a:effectLst/>
            </c:spPr>
          </c:marker>
          <c:dLbls>
            <c:dLbl>
              <c:idx val="0"/>
              <c:layout>
                <c:manualLayout>
                  <c:x val="-2.3838071088571555E-2"/>
                  <c:y val="-9.593676736294559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352-463B-9848-05799531EE10}"/>
                </c:ext>
                <c:ext xmlns:c15="http://schemas.microsoft.com/office/drawing/2012/chart" uri="{CE6537A1-D6FC-4f65-9D91-7224C49458BB}"/>
              </c:extLst>
            </c:dLbl>
            <c:dLbl>
              <c:idx val="1"/>
              <c:layout>
                <c:manualLayout>
                  <c:x val="-2.3976377952755947E-2"/>
                  <c:y val="2.104685969546476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352-463B-9848-05799531EE10}"/>
                </c:ext>
                <c:ext xmlns:c15="http://schemas.microsoft.com/office/drawing/2012/chart" uri="{CE6537A1-D6FC-4f65-9D91-7224C49458BB}"/>
              </c:extLst>
            </c:dLbl>
            <c:dLbl>
              <c:idx val="2"/>
              <c:layout>
                <c:manualLayout>
                  <c:x val="-1.4112908122988483E-2"/>
                  <c:y val="7.363539374309513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9352-463B-9848-05799531EE10}"/>
                </c:ext>
                <c:ext xmlns:c15="http://schemas.microsoft.com/office/drawing/2012/chart" uri="{CE6537A1-D6FC-4f65-9D91-7224C49458BB}"/>
              </c:extLst>
            </c:dLbl>
            <c:dLbl>
              <c:idx val="3"/>
              <c:layout>
                <c:manualLayout>
                  <c:x val="-2.8076567549879515E-3"/>
                  <c:y val="7.028857646771752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9352-463B-9848-05799531EE10}"/>
                </c:ext>
                <c:ext xmlns:c15="http://schemas.microsoft.com/office/drawing/2012/chart" uri="{CE6537A1-D6FC-4f65-9D91-7224C49458BB}"/>
              </c:extLst>
            </c:dLbl>
            <c:dLbl>
              <c:idx val="4"/>
              <c:layout>
                <c:manualLayout>
                  <c:x val="6.0582531350247886E-3"/>
                  <c:y val="-1.3453006702528461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9352-463B-9848-05799531EE10}"/>
                </c:ext>
                <c:ext xmlns:c15="http://schemas.microsoft.com/office/drawing/2012/chart" uri="{CE6537A1-D6FC-4f65-9D91-7224C49458BB}"/>
              </c:extLst>
            </c:dLbl>
            <c:dLbl>
              <c:idx val="5"/>
              <c:layout>
                <c:manualLayout>
                  <c:x val="-1.4631635055900788E-2"/>
                  <c:y val="5.459778448816897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9352-463B-9848-05799531EE10}"/>
                </c:ext>
                <c:ext xmlns:c15="http://schemas.microsoft.com/office/drawing/2012/chart" uri="{CE6537A1-D6FC-4f65-9D91-7224C49458BB}"/>
              </c:extLst>
            </c:dLbl>
            <c:dLbl>
              <c:idx val="6"/>
              <c:layout>
                <c:manualLayout>
                  <c:x val="-2.2220885583746477E-2"/>
                  <c:y val="4.612056970899036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9352-463B-9848-05799531EE10}"/>
                </c:ext>
                <c:ext xmlns:c15="http://schemas.microsoft.com/office/drawing/2012/chart" uri="{CE6537A1-D6FC-4f65-9D91-7224C49458BB}"/>
              </c:extLst>
            </c:dLbl>
            <c:dLbl>
              <c:idx val="7"/>
              <c:layout>
                <c:manualLayout>
                  <c:x val="-6.476620977955947E-5"/>
                  <c:y val="-3.090561616866623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9352-463B-9848-05799531EE10}"/>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6600"/>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'Yeld Mesatar i Ponderuar'!$A$5:$A$12</c:f>
              <c:strCache>
                <c:ptCount val="8"/>
                <c:pt idx="0">
                  <c:v>Bono 3 m</c:v>
                </c:pt>
                <c:pt idx="1">
                  <c:v>Bono 6m</c:v>
                </c:pt>
                <c:pt idx="2">
                  <c:v>Bono 12m</c:v>
                </c:pt>
                <c:pt idx="3">
                  <c:v>OB 2vj</c:v>
                </c:pt>
                <c:pt idx="4">
                  <c:v>OB 3vj</c:v>
                </c:pt>
                <c:pt idx="5">
                  <c:v>OB 5vj</c:v>
                </c:pt>
                <c:pt idx="6">
                  <c:v>OB 7vj</c:v>
                </c:pt>
                <c:pt idx="7">
                  <c:v>OB 10vj</c:v>
                </c:pt>
              </c:strCache>
            </c:strRef>
          </c:cat>
          <c:val>
            <c:numRef>
              <c:f>'Yeld Mesatar i Ponderuar'!$E$5:$E$12</c:f>
              <c:numCache>
                <c:formatCode>0.00%</c:formatCode>
                <c:ptCount val="8"/>
                <c:pt idx="1">
                  <c:v>1.0291233866495501E-2</c:v>
                </c:pt>
                <c:pt idx="2">
                  <c:v>1.5713999999999999E-2</c:v>
                </c:pt>
                <c:pt idx="3">
                  <c:v>1.9650000000000001E-2</c:v>
                </c:pt>
                <c:pt idx="4">
                  <c:v>2.239E-2</c:v>
                </c:pt>
                <c:pt idx="5">
                  <c:v>3.2759000000000003E-2</c:v>
                </c:pt>
                <c:pt idx="6">
                  <c:v>3.9320000000000001E-2</c:v>
                </c:pt>
                <c:pt idx="7">
                  <c:v>5.3969999999999997E-2</c:v>
                </c:pt>
              </c:numCache>
            </c:numRef>
          </c:val>
          <c:smooth val="1"/>
          <c:extLst xmlns:c16r2="http://schemas.microsoft.com/office/drawing/2015/06/chart">
            <c:ext xmlns:c16="http://schemas.microsoft.com/office/drawing/2014/chart" uri="{C3380CC4-5D6E-409C-BE32-E72D297353CC}">
              <c16:uniqueId val="{00000011-9352-463B-9848-05799531EE10}"/>
            </c:ext>
          </c:extLst>
        </c:ser>
        <c:ser>
          <c:idx val="3"/>
          <c:order val="1"/>
          <c:tx>
            <c:strRef>
              <c:f>'Yeld Mesatar i Ponderuar'!$F$4</c:f>
              <c:strCache>
                <c:ptCount val="1"/>
                <c:pt idx="0">
                  <c:v>2020</c:v>
                </c:pt>
              </c:strCache>
            </c:strRef>
          </c:tx>
          <c:spPr>
            <a:ln w="28575" cap="rnd">
              <a:solidFill>
                <a:schemeClr val="accent6">
                  <a:lumMod val="75000"/>
                </a:schemeClr>
              </a:solidFill>
              <a:round/>
            </a:ln>
            <a:effectLst/>
          </c:spPr>
          <c:marker>
            <c:symbol val="circle"/>
            <c:size val="5"/>
            <c:spPr>
              <a:solidFill>
                <a:schemeClr val="accent6">
                  <a:lumMod val="75000"/>
                </a:schemeClr>
              </a:solidFill>
              <a:ln w="9525">
                <a:solidFill>
                  <a:schemeClr val="accent6">
                    <a:lumMod val="75000"/>
                  </a:schemeClr>
                </a:solidFill>
              </a:ln>
              <a:effectLst/>
            </c:spPr>
          </c:marker>
          <c:dLbls>
            <c:dLbl>
              <c:idx val="0"/>
              <c:layout>
                <c:manualLayout>
                  <c:x val="-1.3888888888888918E-2"/>
                  <c:y val="3.388393391939199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6296296296296294E-3"/>
                  <c:y val="2.0330360351635192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8518518518518517E-2"/>
                  <c:y val="3.0495540527452791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5.0925925925925923E-2"/>
                  <c:y val="2.0330360351635161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2.0061728395061842E-2"/>
                  <c:y val="4.066072070327035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6">
                        <a:lumMod val="7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'Yeld Mesatar i Ponderuar'!$F$5:$F$12</c:f>
              <c:numCache>
                <c:formatCode>0.00%</c:formatCode>
                <c:ptCount val="8"/>
                <c:pt idx="0">
                  <c:v>1.10495314917365E-2</c:v>
                </c:pt>
                <c:pt idx="1">
                  <c:v>1.55506743027926E-2</c:v>
                </c:pt>
                <c:pt idx="2">
                  <c:v>1.86097615618422E-2</c:v>
                </c:pt>
                <c:pt idx="3">
                  <c:v>2.2169346984901899E-2</c:v>
                </c:pt>
                <c:pt idx="4">
                  <c:v>2.6867573980642202E-2</c:v>
                </c:pt>
                <c:pt idx="5">
                  <c:v>3.99277767827158E-2</c:v>
                </c:pt>
                <c:pt idx="6">
                  <c:v>4.2000000000000003E-2</c:v>
                </c:pt>
                <c:pt idx="7">
                  <c:v>5.1951844828480212E-2</c:v>
                </c:pt>
              </c:numCache>
            </c:numRef>
          </c:val>
          <c:smooth val="0"/>
        </c:ser>
        <c:ser>
          <c:idx val="2"/>
          <c:order val="2"/>
          <c:tx>
            <c:strRef>
              <c:f>'Yeld Mesatar i Ponderuar'!$G$4</c:f>
              <c:strCache>
                <c:ptCount val="1"/>
                <c:pt idx="0">
                  <c:v>Mar-21</c:v>
                </c:pt>
              </c:strCache>
            </c:strRef>
          </c:tx>
          <c:spPr>
            <a:ln w="28575" cap="rnd">
              <a:solidFill>
                <a:schemeClr val="tx2">
                  <a:lumMod val="60000"/>
                  <a:lumOff val="40000"/>
                </a:schemeClr>
              </a:solidFill>
              <a:round/>
            </a:ln>
            <a:effectLst/>
          </c:spPr>
          <c:marker>
            <c:symbol val="circle"/>
            <c:size val="5"/>
            <c:spPr>
              <a:solidFill>
                <a:schemeClr val="tx2">
                  <a:lumMod val="60000"/>
                  <a:lumOff val="40000"/>
                </a:schemeClr>
              </a:solidFill>
              <a:ln w="9525">
                <a:solidFill>
                  <a:schemeClr val="tx2">
                    <a:lumMod val="60000"/>
                    <a:lumOff val="40000"/>
                  </a:schemeClr>
                </a:solidFill>
              </a:ln>
              <a:effectLst/>
            </c:spPr>
          </c:marker>
          <c:dLbls>
            <c:dLbl>
              <c:idx val="7"/>
              <c:layout>
                <c:manualLayout>
                  <c:x val="-4.8888888888888773E-2"/>
                  <c:y val="-3.216439097364017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'Yeld Mesatar i Ponderuar'!$G$5:$G$12</c:f>
              <c:numCache>
                <c:formatCode>0.00%</c:formatCode>
                <c:ptCount val="8"/>
                <c:pt idx="0">
                  <c:v>1.2589999999999999E-2</c:v>
                </c:pt>
                <c:pt idx="1">
                  <c:v>1.6899999999999998E-2</c:v>
                </c:pt>
                <c:pt idx="2">
                  <c:v>2.044E-2</c:v>
                </c:pt>
                <c:pt idx="3">
                  <c:v>2.5849999999999998E-2</c:v>
                </c:pt>
                <c:pt idx="4">
                  <c:v>3.04E-2</c:v>
                </c:pt>
                <c:pt idx="5">
                  <c:v>4.0099999999999997E-2</c:v>
                </c:pt>
                <c:pt idx="6">
                  <c:v>4.2500000000000003E-2</c:v>
                </c:pt>
                <c:pt idx="7">
                  <c:v>5.3800000000000001E-2</c:v>
                </c:pt>
              </c:numCache>
            </c:numRef>
          </c:val>
          <c:smooth val="0"/>
        </c:ser>
        <c:dLbls>
          <c:showLegendKey val="0"/>
          <c:showVal val="0"/>
          <c:showCatName val="0"/>
          <c:showSerName val="0"/>
          <c:showPercent val="0"/>
          <c:showBubbleSize val="0"/>
        </c:dLbls>
        <c:marker val="1"/>
        <c:smooth val="0"/>
        <c:axId val="1293493248"/>
        <c:axId val="1293487264"/>
      </c:lineChart>
      <c:catAx>
        <c:axId val="1293493248"/>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293487264"/>
        <c:crosses val="autoZero"/>
        <c:auto val="1"/>
        <c:lblAlgn val="ctr"/>
        <c:lblOffset val="100"/>
        <c:noMultiLvlLbl val="0"/>
      </c:catAx>
      <c:valAx>
        <c:axId val="1293487264"/>
        <c:scaling>
          <c:orientation val="minMax"/>
        </c:scaling>
        <c:delete val="0"/>
        <c:axPos val="l"/>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93493248"/>
        <c:crosses val="autoZero"/>
        <c:crossBetween val="between"/>
        <c:majorUnit val="2.0000000000000004E-2"/>
      </c:valAx>
      <c:spPr>
        <a:noFill/>
        <a:ln>
          <a:noFill/>
        </a:ln>
        <a:effectLst/>
      </c:spPr>
    </c:plotArea>
    <c:legend>
      <c:legendPos val="b"/>
      <c:layout>
        <c:manualLayout>
          <c:xMode val="edge"/>
          <c:yMode val="edge"/>
          <c:x val="0.24584352487853911"/>
          <c:y val="0.90730456887927835"/>
          <c:w val="0.5650090547192238"/>
          <c:h val="5.717953869291791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443709071249815"/>
          <c:y val="0.13827156909456748"/>
          <c:w val="0.77455515734951741"/>
          <c:h val="0.58397833278809297"/>
        </c:manualLayout>
      </c:layout>
      <c:bar3DChart>
        <c:barDir val="col"/>
        <c:grouping val="clustered"/>
        <c:varyColors val="0"/>
        <c:ser>
          <c:idx val="0"/>
          <c:order val="0"/>
          <c:spPr>
            <a:solidFill>
              <a:schemeClr val="accent1"/>
            </a:solidFill>
            <a:ln>
              <a:noFill/>
            </a:ln>
            <a:effectLst/>
            <a:sp3d/>
          </c:spPr>
          <c:invertIfNegative val="0"/>
          <c:cat>
            <c:strRef>
              <c:f>Sheet1!$C$39:$E$39</c:f>
              <c:strCache>
                <c:ptCount val="3"/>
                <c:pt idx="0">
                  <c:v>Fakt 5M 2020</c:v>
                </c:pt>
                <c:pt idx="1">
                  <c:v>Fakt 5m 2021</c:v>
                </c:pt>
                <c:pt idx="2">
                  <c:v>Plan 2021</c:v>
                </c:pt>
              </c:strCache>
            </c:strRef>
          </c:cat>
          <c:val>
            <c:numRef>
              <c:f>Sheet1!$C$40:$E$40</c:f>
              <c:numCache>
                <c:formatCode>#,##0</c:formatCode>
                <c:ptCount val="3"/>
                <c:pt idx="0">
                  <c:v>54757</c:v>
                </c:pt>
                <c:pt idx="1">
                  <c:v>67910</c:v>
                </c:pt>
                <c:pt idx="2">
                  <c:v>66597</c:v>
                </c:pt>
              </c:numCache>
            </c:numRef>
          </c:val>
          <c:extLst xmlns:c16r2="http://schemas.microsoft.com/office/drawing/2015/06/chart">
            <c:ext xmlns:c16="http://schemas.microsoft.com/office/drawing/2014/chart" uri="{C3380CC4-5D6E-409C-BE32-E72D297353CC}">
              <c16:uniqueId val="{00000000-8755-4134-ABC8-2BDA6CAE55AA}"/>
            </c:ext>
          </c:extLst>
        </c:ser>
        <c:dLbls>
          <c:showLegendKey val="0"/>
          <c:showVal val="0"/>
          <c:showCatName val="0"/>
          <c:showSerName val="0"/>
          <c:showPercent val="0"/>
          <c:showBubbleSize val="0"/>
        </c:dLbls>
        <c:gapWidth val="150"/>
        <c:shape val="box"/>
        <c:axId val="1290923968"/>
        <c:axId val="1290948448"/>
        <c:axId val="0"/>
      </c:bar3DChart>
      <c:catAx>
        <c:axId val="12909239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8448"/>
        <c:crosses val="autoZero"/>
        <c:auto val="1"/>
        <c:lblAlgn val="ctr"/>
        <c:lblOffset val="100"/>
        <c:noMultiLvlLbl val="0"/>
      </c:catAx>
      <c:valAx>
        <c:axId val="1290948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3968"/>
        <c:crosses val="autoZero"/>
        <c:crossBetween val="between"/>
      </c:valAx>
      <c:spPr>
        <a:solidFill>
          <a:sysClr val="window" lastClr="FFFFFF"/>
        </a:solid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298729325500978"/>
          <c:y val="7.495523518743831E-2"/>
          <c:w val="0.79070457933927085"/>
          <c:h val="0.87698269138147433"/>
        </c:manualLayout>
      </c:layout>
      <c:barChart>
        <c:barDir val="bar"/>
        <c:grouping val="clustered"/>
        <c:varyColors val="0"/>
        <c:ser>
          <c:idx val="0"/>
          <c:order val="0"/>
          <c:spPr>
            <a:solidFill>
              <a:srgbClr val="963836"/>
            </a:solidFill>
          </c:spPr>
          <c:invertIfNegative val="0"/>
          <c:dPt>
            <c:idx val="5"/>
            <c:invertIfNegative val="0"/>
            <c:bubble3D val="0"/>
            <c:spPr>
              <a:solidFill>
                <a:srgbClr val="1F497D"/>
              </a:solidFill>
              <a:ln>
                <a:solidFill>
                  <a:srgbClr val="1F497D"/>
                </a:solidFill>
              </a:ln>
            </c:spPr>
            <c:extLst xmlns:c16r2="http://schemas.microsoft.com/office/drawing/2015/06/chart">
              <c:ext xmlns:c16="http://schemas.microsoft.com/office/drawing/2014/chart" uri="{C3380CC4-5D6E-409C-BE32-E72D297353CC}">
                <c16:uniqueId val="{00000001-CAE5-4E9F-BB77-732E2D1F5A01}"/>
              </c:ext>
            </c:extLst>
          </c:dPt>
          <c:dPt>
            <c:idx val="6"/>
            <c:invertIfNegative val="0"/>
            <c:bubble3D val="0"/>
            <c:spPr>
              <a:solidFill>
                <a:srgbClr val="1F497D"/>
              </a:solidFill>
            </c:spPr>
            <c:extLst xmlns:c16r2="http://schemas.microsoft.com/office/drawing/2015/06/chart">
              <c:ext xmlns:c16="http://schemas.microsoft.com/office/drawing/2014/chart" uri="{C3380CC4-5D6E-409C-BE32-E72D297353CC}">
                <c16:uniqueId val="{00000003-CAE5-4E9F-BB77-732E2D1F5A01}"/>
              </c:ext>
            </c:extLst>
          </c:dPt>
          <c:dPt>
            <c:idx val="7"/>
            <c:invertIfNegative val="0"/>
            <c:bubble3D val="0"/>
            <c:spPr>
              <a:solidFill>
                <a:srgbClr val="1F497D"/>
              </a:solidFill>
            </c:spPr>
            <c:extLst xmlns:c16r2="http://schemas.microsoft.com/office/drawing/2015/06/chart">
              <c:ext xmlns:c16="http://schemas.microsoft.com/office/drawing/2014/chart" uri="{C3380CC4-5D6E-409C-BE32-E72D297353CC}">
                <c16:uniqueId val="{00000005-CAE5-4E9F-BB77-732E2D1F5A01}"/>
              </c:ext>
            </c:extLst>
          </c:dPt>
          <c:dPt>
            <c:idx val="8"/>
            <c:invertIfNegative val="0"/>
            <c:bubble3D val="0"/>
            <c:spPr>
              <a:solidFill>
                <a:srgbClr val="1F497D"/>
              </a:solidFill>
            </c:spPr>
            <c:extLst xmlns:c16r2="http://schemas.microsoft.com/office/drawing/2015/06/chart">
              <c:ext xmlns:c16="http://schemas.microsoft.com/office/drawing/2014/chart" uri="{C3380CC4-5D6E-409C-BE32-E72D297353CC}">
                <c16:uniqueId val="{00000007-CAE5-4E9F-BB77-732E2D1F5A01}"/>
              </c:ext>
            </c:extLst>
          </c:dPt>
          <c:dPt>
            <c:idx val="9"/>
            <c:invertIfNegative val="0"/>
            <c:bubble3D val="0"/>
            <c:spPr>
              <a:solidFill>
                <a:srgbClr val="1F497D"/>
              </a:solidFill>
            </c:spPr>
            <c:extLst xmlns:c16r2="http://schemas.microsoft.com/office/drawing/2015/06/chart">
              <c:ext xmlns:c16="http://schemas.microsoft.com/office/drawing/2014/chart" uri="{C3380CC4-5D6E-409C-BE32-E72D297353CC}">
                <c16:uniqueId val="{00000009-CAE5-4E9F-BB77-732E2D1F5A01}"/>
              </c:ext>
            </c:extLst>
          </c:dPt>
          <c:dPt>
            <c:idx val="10"/>
            <c:invertIfNegative val="0"/>
            <c:bubble3D val="0"/>
            <c:spPr>
              <a:solidFill>
                <a:srgbClr val="1F497D"/>
              </a:solidFill>
            </c:spPr>
            <c:extLst xmlns:c16r2="http://schemas.microsoft.com/office/drawing/2015/06/chart">
              <c:ext xmlns:c16="http://schemas.microsoft.com/office/drawing/2014/chart" uri="{C3380CC4-5D6E-409C-BE32-E72D297353CC}">
                <c16:uniqueId val="{0000000B-CAE5-4E9F-BB77-732E2D1F5A01}"/>
              </c:ext>
            </c:extLst>
          </c:dPt>
          <c:dPt>
            <c:idx val="11"/>
            <c:invertIfNegative val="0"/>
            <c:bubble3D val="0"/>
            <c:spPr>
              <a:solidFill>
                <a:srgbClr val="1F497D"/>
              </a:solidFill>
            </c:spPr>
            <c:extLst xmlns:c16r2="http://schemas.microsoft.com/office/drawing/2015/06/chart">
              <c:ext xmlns:c16="http://schemas.microsoft.com/office/drawing/2014/chart" uri="{C3380CC4-5D6E-409C-BE32-E72D297353CC}">
                <c16:uniqueId val="{0000000D-CAE5-4E9F-BB77-732E2D1F5A01}"/>
              </c:ext>
            </c:extLst>
          </c:dPt>
          <c:dPt>
            <c:idx val="12"/>
            <c:invertIfNegative val="0"/>
            <c:bubble3D val="0"/>
            <c:spPr>
              <a:solidFill>
                <a:srgbClr val="1F497D"/>
              </a:solidFill>
            </c:spPr>
            <c:extLst xmlns:c16r2="http://schemas.microsoft.com/office/drawing/2015/06/chart">
              <c:ext xmlns:c16="http://schemas.microsoft.com/office/drawing/2014/chart" uri="{C3380CC4-5D6E-409C-BE32-E72D297353CC}">
                <c16:uniqueId val="{0000000F-CAE5-4E9F-BB77-732E2D1F5A01}"/>
              </c:ext>
            </c:extLst>
          </c:dPt>
          <c:dLbls>
            <c:dLbl>
              <c:idx val="0"/>
              <c:layout>
                <c:manualLayout>
                  <c:x val="-1.5038120234970628E-3"/>
                  <c:y val="1.6520335400552671E-2"/>
                </c:manualLayout>
              </c:layout>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CAE5-4E9F-BB77-732E2D1F5A01}"/>
                </c:ext>
                <c:ext xmlns:c15="http://schemas.microsoft.com/office/drawing/2012/chart" uri="{CE6537A1-D6FC-4f65-9D91-7224C49458BB}"/>
              </c:extLst>
            </c:dLbl>
            <c:dLbl>
              <c:idx val="1"/>
              <c:layout>
                <c:manualLayout>
                  <c:x val="1.2772126111973229E-7"/>
                  <c:y val="2.3191179317120203E-3"/>
                </c:manualLayout>
              </c:layout>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dLbl>
              <c:idx val="2"/>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dLbl>
            <c:dLbl>
              <c:idx val="3"/>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dLbl>
            <c:dLbl>
              <c:idx val="4"/>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dLbl>
            <c:dLbl>
              <c:idx val="14"/>
              <c:layout>
                <c:manualLayout>
                  <c:x val="-2.1178985548533247E-3"/>
                  <c:y val="-6.472960505623212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CAE5-4E9F-BB77-732E2D1F5A01}"/>
                </c:ext>
                <c:ext xmlns:c15="http://schemas.microsoft.com/office/drawing/2012/chart" uri="{CE6537A1-D6FC-4f65-9D91-7224C49458BB}"/>
              </c:extLst>
            </c:dLbl>
            <c:spPr>
              <a:noFill/>
            </c:spPr>
            <c:txPr>
              <a:bodyPr/>
              <a:lstStyle/>
              <a:p>
                <a:pPr>
                  <a:defRPr sz="800" b="1" i="1">
                    <a:solidFill>
                      <a:schemeClr val="tx2"/>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'Kontribuesit Kryesore (TR)'!$G$4:$G$13</c:f>
              <c:strCache>
                <c:ptCount val="10"/>
                <c:pt idx="0">
                  <c:v>Energji Elektrike </c:v>
                </c:pt>
                <c:pt idx="1">
                  <c:v>Mielli dhe Gruri</c:v>
                </c:pt>
                <c:pt idx="2">
                  <c:v>Sheqeri</c:v>
                </c:pt>
                <c:pt idx="3">
                  <c:v>Fruta Perime</c:v>
                </c:pt>
                <c:pt idx="4">
                  <c:v>Mishi</c:v>
                </c:pt>
                <c:pt idx="5">
                  <c:v>Cigare </c:v>
                </c:pt>
                <c:pt idx="6">
                  <c:v>Veshje, Tekstile </c:v>
                </c:pt>
                <c:pt idx="7">
                  <c:v>Metalet bazë dhe artikujt prej tyre</c:v>
                </c:pt>
                <c:pt idx="8">
                  <c:v>Automjeteve të perdorura </c:v>
                </c:pt>
                <c:pt idx="9">
                  <c:v>Karburante Import </c:v>
                </c:pt>
              </c:strCache>
            </c:strRef>
          </c:cat>
          <c:val>
            <c:numRef>
              <c:f>'Kontribuesit Kryesore (TR)'!$H$4:$H$13</c:f>
              <c:numCache>
                <c:formatCode>_(* #,##0_);_(* \(#,##0\);_(* "-"??_);_(@_)</c:formatCode>
                <c:ptCount val="10"/>
                <c:pt idx="0">
                  <c:v>-350.87063499999999</c:v>
                </c:pt>
                <c:pt idx="1">
                  <c:v>-227.15068100000005</c:v>
                </c:pt>
                <c:pt idx="2">
                  <c:v>-84.544506000000055</c:v>
                </c:pt>
                <c:pt idx="3">
                  <c:v>-61.841864000000058</c:v>
                </c:pt>
                <c:pt idx="4">
                  <c:v>-57.709079000000024</c:v>
                </c:pt>
                <c:pt idx="5">
                  <c:v>624.75398450000114</c:v>
                </c:pt>
                <c:pt idx="6">
                  <c:v>628.84252200000014</c:v>
                </c:pt>
                <c:pt idx="7">
                  <c:v>1213.7581410000003</c:v>
                </c:pt>
                <c:pt idx="8">
                  <c:v>1367.5254769999999</c:v>
                </c:pt>
                <c:pt idx="9">
                  <c:v>2855.1015899999998</c:v>
                </c:pt>
              </c:numCache>
            </c:numRef>
          </c:val>
          <c:extLst xmlns:c16r2="http://schemas.microsoft.com/office/drawing/2015/06/chart">
            <c:ext xmlns:c16="http://schemas.microsoft.com/office/drawing/2014/chart" uri="{C3380CC4-5D6E-409C-BE32-E72D297353CC}">
              <c16:uniqueId val="{00000019-CAE5-4E9F-BB77-732E2D1F5A01}"/>
            </c:ext>
          </c:extLst>
        </c:ser>
        <c:dLbls>
          <c:showLegendKey val="0"/>
          <c:showVal val="1"/>
          <c:showCatName val="0"/>
          <c:showSerName val="0"/>
          <c:showPercent val="0"/>
          <c:showBubbleSize val="0"/>
        </c:dLbls>
        <c:gapWidth val="150"/>
        <c:overlap val="-25"/>
        <c:axId val="1290920704"/>
        <c:axId val="1290925056"/>
      </c:barChart>
      <c:catAx>
        <c:axId val="1290920704"/>
        <c:scaling>
          <c:orientation val="minMax"/>
        </c:scaling>
        <c:delete val="0"/>
        <c:axPos val="l"/>
        <c:numFmt formatCode="General" sourceLinked="0"/>
        <c:majorTickMark val="none"/>
        <c:minorTickMark val="none"/>
        <c:tickLblPos val="low"/>
        <c:txPr>
          <a:bodyPr/>
          <a:lstStyle/>
          <a:p>
            <a:pPr>
              <a:defRPr sz="800" i="1"/>
            </a:pPr>
            <a:endParaRPr lang="en-US"/>
          </a:p>
        </c:txPr>
        <c:crossAx val="1290925056"/>
        <c:crosses val="autoZero"/>
        <c:auto val="1"/>
        <c:lblAlgn val="ctr"/>
        <c:lblOffset val="100"/>
        <c:noMultiLvlLbl val="0"/>
      </c:catAx>
      <c:valAx>
        <c:axId val="1290925056"/>
        <c:scaling>
          <c:orientation val="minMax"/>
        </c:scaling>
        <c:delete val="1"/>
        <c:axPos val="b"/>
        <c:numFmt formatCode="_(* #,##0_);_(* \(#,##0\);_(* &quot;-&quot;??_);_(@_)" sourceLinked="1"/>
        <c:majorTickMark val="none"/>
        <c:minorTickMark val="none"/>
        <c:tickLblPos val="nextTo"/>
        <c:crossAx val="1290920704"/>
        <c:crosses val="autoZero"/>
        <c:crossBetween val="between"/>
      </c:valAx>
      <c:spPr>
        <a:noFill/>
        <a:ln>
          <a:noFill/>
        </a:ln>
      </c:spPr>
    </c:plotArea>
    <c:plotVisOnly val="1"/>
    <c:dispBlanksAs val="gap"/>
    <c:showDLblsOverMax val="0"/>
  </c:chart>
  <c:spPr>
    <a:noFill/>
    <a:ln>
      <a:solidFill>
        <a:sysClr val="window" lastClr="FFFFFF">
          <a:lumMod val="75000"/>
        </a:sysClr>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418322709661293"/>
          <c:y val="0.12698412698412698"/>
          <c:w val="0.72041994750656169"/>
          <c:h val="0.60635920509936259"/>
        </c:manualLayout>
      </c:layout>
      <c:bar3DChart>
        <c:barDir val="col"/>
        <c:grouping val="stacked"/>
        <c:varyColors val="0"/>
        <c:ser>
          <c:idx val="0"/>
          <c:order val="0"/>
          <c:spPr>
            <a:solidFill>
              <a:schemeClr val="accent1"/>
            </a:solidFill>
            <a:ln>
              <a:noFill/>
            </a:ln>
            <a:effectLst/>
            <a:sp3d/>
          </c:spPr>
          <c:invertIfNegative val="0"/>
          <c:cat>
            <c:strRef>
              <c:f>Sheet1!$C$60:$E$60</c:f>
              <c:strCache>
                <c:ptCount val="3"/>
                <c:pt idx="0">
                  <c:v>Fakt 5M 2020</c:v>
                </c:pt>
                <c:pt idx="1">
                  <c:v>Fakt 5m 2021</c:v>
                </c:pt>
                <c:pt idx="2">
                  <c:v>Plan 2021</c:v>
                </c:pt>
              </c:strCache>
            </c:strRef>
          </c:cat>
          <c:val>
            <c:numRef>
              <c:f>Sheet1!$C$61:$E$61</c:f>
              <c:numCache>
                <c:formatCode>#,##0</c:formatCode>
                <c:ptCount val="3"/>
                <c:pt idx="0">
                  <c:v>240423</c:v>
                </c:pt>
                <c:pt idx="1">
                  <c:v>86778.044234000001</c:v>
                </c:pt>
                <c:pt idx="2">
                  <c:v>95171.473366292194</c:v>
                </c:pt>
              </c:numCache>
            </c:numRef>
          </c:val>
          <c:extLst xmlns:c16r2="http://schemas.microsoft.com/office/drawing/2015/06/chart">
            <c:ext xmlns:c16="http://schemas.microsoft.com/office/drawing/2014/chart" uri="{C3380CC4-5D6E-409C-BE32-E72D297353CC}">
              <c16:uniqueId val="{00000000-E999-41B6-825C-25BD6DBE7AD8}"/>
            </c:ext>
          </c:extLst>
        </c:ser>
        <c:dLbls>
          <c:showLegendKey val="0"/>
          <c:showVal val="0"/>
          <c:showCatName val="0"/>
          <c:showSerName val="0"/>
          <c:showPercent val="0"/>
          <c:showBubbleSize val="0"/>
        </c:dLbls>
        <c:gapWidth val="150"/>
        <c:shape val="box"/>
        <c:axId val="1290950624"/>
        <c:axId val="1290937024"/>
        <c:axId val="0"/>
      </c:bar3DChart>
      <c:catAx>
        <c:axId val="12909506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37024"/>
        <c:crosses val="autoZero"/>
        <c:auto val="1"/>
        <c:lblAlgn val="ctr"/>
        <c:lblOffset val="100"/>
        <c:noMultiLvlLbl val="0"/>
      </c:catAx>
      <c:valAx>
        <c:axId val="1290937024"/>
        <c:scaling>
          <c:orientation val="minMax"/>
        </c:scaling>
        <c:delete val="0"/>
        <c:axPos val="l"/>
        <c:majorGridlines>
          <c:spPr>
            <a:ln w="9525" cap="flat" cmpd="sng" algn="ctr">
              <a:solidFill>
                <a:schemeClr val="accent1">
                  <a:lumMod val="20000"/>
                  <a:lumOff val="8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50624"/>
        <c:crosses val="autoZero"/>
        <c:crossBetween val="between"/>
      </c:valAx>
      <c:spPr>
        <a:solidFill>
          <a:schemeClr val="bg1"/>
        </a:solid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88228150585655"/>
          <c:y val="7.0007937907920273E-2"/>
          <c:w val="0.81733662396678031"/>
          <c:h val="0.65151088859319417"/>
        </c:manualLayout>
      </c:layout>
      <c:lineChart>
        <c:grouping val="standard"/>
        <c:varyColors val="0"/>
        <c:ser>
          <c:idx val="0"/>
          <c:order val="0"/>
          <c:tx>
            <c:strRef>
              <c:f>Sheet1!$C$45</c:f>
              <c:strCache>
                <c:ptCount val="1"/>
                <c:pt idx="0">
                  <c:v>Realizim 2020</c:v>
                </c:pt>
              </c:strCache>
            </c:strRef>
          </c:tx>
          <c:spPr>
            <a:ln w="28575" cap="rnd">
              <a:solidFill>
                <a:schemeClr val="accent1"/>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Sheet1!$C$46:$C$57</c:f>
              <c:numCache>
                <c:formatCode>#,##0</c:formatCode>
                <c:ptCount val="12"/>
                <c:pt idx="0">
                  <c:v>20835.616000000002</c:v>
                </c:pt>
                <c:pt idx="1">
                  <c:v>17808.771999999997</c:v>
                </c:pt>
                <c:pt idx="2">
                  <c:v>21639.531000000003</c:v>
                </c:pt>
                <c:pt idx="3">
                  <c:v>20362.996999999996</c:v>
                </c:pt>
                <c:pt idx="4">
                  <c:v>20319.863000000012</c:v>
                </c:pt>
                <c:pt idx="5">
                  <c:v>19057.820999999996</c:v>
                </c:pt>
                <c:pt idx="6">
                  <c:v>19779.399999999994</c:v>
                </c:pt>
                <c:pt idx="7">
                  <c:v>20620</c:v>
                </c:pt>
                <c:pt idx="8">
                  <c:v>20052</c:v>
                </c:pt>
                <c:pt idx="9">
                  <c:v>21009</c:v>
                </c:pt>
                <c:pt idx="10">
                  <c:v>19236.600000000006</c:v>
                </c:pt>
                <c:pt idx="11">
                  <c:v>19701.399999999994</c:v>
                </c:pt>
              </c:numCache>
            </c:numRef>
          </c:val>
          <c:smooth val="0"/>
          <c:extLst xmlns:c16r2="http://schemas.microsoft.com/office/drawing/2015/06/chart">
            <c:ext xmlns:c16="http://schemas.microsoft.com/office/drawing/2014/chart" uri="{C3380CC4-5D6E-409C-BE32-E72D297353CC}">
              <c16:uniqueId val="{00000000-6DCF-4864-AD3D-66068D87A2B3}"/>
            </c:ext>
          </c:extLst>
        </c:ser>
        <c:ser>
          <c:idx val="1"/>
          <c:order val="1"/>
          <c:tx>
            <c:strRef>
              <c:f>Sheet1!$D$45</c:f>
              <c:strCache>
                <c:ptCount val="1"/>
                <c:pt idx="0">
                  <c:v>Realizim 2021</c:v>
                </c:pt>
              </c:strCache>
            </c:strRef>
          </c:tx>
          <c:spPr>
            <a:ln w="28575" cap="rnd">
              <a:solidFill>
                <a:schemeClr val="accent1">
                  <a:lumMod val="20000"/>
                  <a:lumOff val="80000"/>
                </a:schemeClr>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Sheet1!$D$46:$D$57</c:f>
              <c:numCache>
                <c:formatCode>#,##0</c:formatCode>
                <c:ptCount val="12"/>
                <c:pt idx="0">
                  <c:v>20666</c:v>
                </c:pt>
                <c:pt idx="1">
                  <c:v>18186</c:v>
                </c:pt>
                <c:pt idx="2">
                  <c:v>19686</c:v>
                </c:pt>
                <c:pt idx="3">
                  <c:v>15184</c:v>
                </c:pt>
                <c:pt idx="4">
                  <c:v>13056.044234000001</c:v>
                </c:pt>
              </c:numCache>
            </c:numRef>
          </c:val>
          <c:smooth val="0"/>
          <c:extLst xmlns:c16r2="http://schemas.microsoft.com/office/drawing/2015/06/chart">
            <c:ext xmlns:c16="http://schemas.microsoft.com/office/drawing/2014/chart" uri="{C3380CC4-5D6E-409C-BE32-E72D297353CC}">
              <c16:uniqueId val="{00000001-6DCF-4864-AD3D-66068D87A2B3}"/>
            </c:ext>
          </c:extLst>
        </c:ser>
        <c:ser>
          <c:idx val="2"/>
          <c:order val="2"/>
          <c:tx>
            <c:strRef>
              <c:f>Sheet1!$E$45</c:f>
              <c:strCache>
                <c:ptCount val="1"/>
                <c:pt idx="0">
                  <c:v>Plan 2021</c:v>
                </c:pt>
              </c:strCache>
            </c:strRef>
          </c:tx>
          <c:spPr>
            <a:ln w="28575" cap="rnd">
              <a:solidFill>
                <a:schemeClr val="accent3"/>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Sheet1!$E$46:$E$57</c:f>
              <c:numCache>
                <c:formatCode>#,##0</c:formatCode>
                <c:ptCount val="12"/>
                <c:pt idx="0">
                  <c:v>20666.86</c:v>
                </c:pt>
                <c:pt idx="1">
                  <c:v>18184.140657755364</c:v>
                </c:pt>
                <c:pt idx="2">
                  <c:v>19695.445717056267</c:v>
                </c:pt>
                <c:pt idx="3">
                  <c:v>18645.701553912619</c:v>
                </c:pt>
                <c:pt idx="4">
                  <c:v>17979.325437567953</c:v>
                </c:pt>
                <c:pt idx="5">
                  <c:v>19723.181219683407</c:v>
                </c:pt>
                <c:pt idx="6">
                  <c:v>24003.684009276596</c:v>
                </c:pt>
                <c:pt idx="7">
                  <c:v>20675.352776066829</c:v>
                </c:pt>
                <c:pt idx="8">
                  <c:v>20959.894139119457</c:v>
                </c:pt>
                <c:pt idx="9">
                  <c:v>23514.035764808315</c:v>
                </c:pt>
                <c:pt idx="10">
                  <c:v>21899.466989988428</c:v>
                </c:pt>
                <c:pt idx="11">
                  <c:v>23382.549786290536</c:v>
                </c:pt>
              </c:numCache>
            </c:numRef>
          </c:val>
          <c:smooth val="0"/>
          <c:extLst xmlns:c16r2="http://schemas.microsoft.com/office/drawing/2015/06/chart">
            <c:ext xmlns:c16="http://schemas.microsoft.com/office/drawing/2014/chart" uri="{C3380CC4-5D6E-409C-BE32-E72D297353CC}">
              <c16:uniqueId val="{00000002-6DCF-4864-AD3D-66068D87A2B3}"/>
            </c:ext>
          </c:extLst>
        </c:ser>
        <c:dLbls>
          <c:showLegendKey val="0"/>
          <c:showVal val="0"/>
          <c:showCatName val="0"/>
          <c:showSerName val="0"/>
          <c:showPercent val="0"/>
          <c:showBubbleSize val="0"/>
        </c:dLbls>
        <c:smooth val="0"/>
        <c:axId val="1290924512"/>
        <c:axId val="1290925600"/>
      </c:lineChart>
      <c:catAx>
        <c:axId val="1290924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290925600"/>
        <c:crosses val="autoZero"/>
        <c:auto val="1"/>
        <c:lblAlgn val="ctr"/>
        <c:lblOffset val="100"/>
        <c:noMultiLvlLbl val="0"/>
      </c:catAx>
      <c:valAx>
        <c:axId val="1290925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290924512"/>
        <c:crosses val="autoZero"/>
        <c:crossBetween val="between"/>
      </c:valAx>
      <c:spPr>
        <a:solidFill>
          <a:schemeClr val="bg1"/>
        </a:solidFill>
        <a:ln>
          <a:noFill/>
        </a:ln>
        <a:effectLst/>
      </c:spPr>
    </c:plotArea>
    <c:legend>
      <c:legendPos val="b"/>
      <c:layout>
        <c:manualLayout>
          <c:xMode val="edge"/>
          <c:yMode val="edge"/>
          <c:x val="0.12562196889567909"/>
          <c:y val="0.60496037564471727"/>
          <c:w val="0.83631825126336823"/>
          <c:h val="0.1073992928045671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2"/>
          <c:tx>
            <c:strRef>
              <c:f>'[Chart 2 in Microsoft Word]Sheet3'!$F$4</c:f>
              <c:strCache>
                <c:ptCount val="1"/>
                <c:pt idx="0">
                  <c:v>Rimbursim Fakt</c:v>
                </c:pt>
              </c:strCache>
            </c:strRef>
          </c:tx>
          <c:spPr>
            <a:solidFill>
              <a:schemeClr val="accent1">
                <a:lumMod val="20000"/>
                <a:lumOff val="80000"/>
              </a:schemeClr>
            </a:solidFill>
            <a:ln>
              <a:solidFill>
                <a:schemeClr val="accent1">
                  <a:lumMod val="40000"/>
                  <a:lumOff val="6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2 in Microsoft Word]Sheet3'!$C$5:$C$14</c:f>
              <c:numCache>
                <c:formatCode>General</c:formatCode>
                <c:ptCount val="10"/>
                <c:pt idx="0">
                  <c:v>2012</c:v>
                </c:pt>
                <c:pt idx="1">
                  <c:v>2013</c:v>
                </c:pt>
                <c:pt idx="2">
                  <c:v>2014</c:v>
                </c:pt>
                <c:pt idx="3">
                  <c:v>2015</c:v>
                </c:pt>
                <c:pt idx="4">
                  <c:v>2016</c:v>
                </c:pt>
                <c:pt idx="5">
                  <c:v>2017</c:v>
                </c:pt>
                <c:pt idx="6" formatCode="0">
                  <c:v>2018</c:v>
                </c:pt>
                <c:pt idx="7" formatCode="0">
                  <c:v>2019</c:v>
                </c:pt>
                <c:pt idx="8" formatCode="0">
                  <c:v>2020</c:v>
                </c:pt>
                <c:pt idx="9" formatCode="0">
                  <c:v>2021</c:v>
                </c:pt>
              </c:numCache>
            </c:numRef>
          </c:cat>
          <c:val>
            <c:numRef>
              <c:f>'[Chart 2 in Microsoft Word]Sheet3'!$F$5:$F$14</c:f>
              <c:numCache>
                <c:formatCode>_-* #,##0_-;\-* #,##0_-;_-* "-"??_-;_-@_-</c:formatCode>
                <c:ptCount val="10"/>
                <c:pt idx="0">
                  <c:v>2597</c:v>
                </c:pt>
                <c:pt idx="1">
                  <c:v>3513</c:v>
                </c:pt>
                <c:pt idx="2">
                  <c:v>2212</c:v>
                </c:pt>
                <c:pt idx="3">
                  <c:v>2870</c:v>
                </c:pt>
                <c:pt idx="4">
                  <c:v>3004</c:v>
                </c:pt>
                <c:pt idx="5">
                  <c:v>4882</c:v>
                </c:pt>
                <c:pt idx="6">
                  <c:v>5454.48</c:v>
                </c:pt>
                <c:pt idx="7">
                  <c:v>6953.7341580000002</c:v>
                </c:pt>
                <c:pt idx="8">
                  <c:v>5920.8005199999998</c:v>
                </c:pt>
                <c:pt idx="9">
                  <c:v>12349</c:v>
                </c:pt>
              </c:numCache>
            </c:numRef>
          </c:val>
          <c:extLst xmlns:c16r2="http://schemas.microsoft.com/office/drawing/2015/06/chart">
            <c:ext xmlns:c16="http://schemas.microsoft.com/office/drawing/2014/chart" uri="{C3380CC4-5D6E-409C-BE32-E72D297353CC}">
              <c16:uniqueId val="{00000002-2EF3-46ED-BA07-98E420CEFC57}"/>
            </c:ext>
          </c:extLst>
        </c:ser>
        <c:dLbls>
          <c:showLegendKey val="0"/>
          <c:showVal val="0"/>
          <c:showCatName val="0"/>
          <c:showSerName val="0"/>
          <c:showPercent val="0"/>
          <c:showBubbleSize val="0"/>
        </c:dLbls>
        <c:gapWidth val="150"/>
        <c:axId val="1290947360"/>
        <c:axId val="1290926144"/>
      </c:barChart>
      <c:lineChart>
        <c:grouping val="standard"/>
        <c:varyColors val="0"/>
        <c:ser>
          <c:idx val="0"/>
          <c:order val="0"/>
          <c:tx>
            <c:strRef>
              <c:f>'[Chart 2 in Microsoft Word]Sheet3'!$D$4</c:f>
              <c:strCache>
                <c:ptCount val="1"/>
                <c:pt idx="0">
                  <c:v>Fakt Tvsh Bruto</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2 in Microsoft Word]Sheet3'!$C$5:$C$14</c:f>
              <c:numCache>
                <c:formatCode>General</c:formatCode>
                <c:ptCount val="10"/>
                <c:pt idx="0">
                  <c:v>2012</c:v>
                </c:pt>
                <c:pt idx="1">
                  <c:v>2013</c:v>
                </c:pt>
                <c:pt idx="2">
                  <c:v>2014</c:v>
                </c:pt>
                <c:pt idx="3">
                  <c:v>2015</c:v>
                </c:pt>
                <c:pt idx="4">
                  <c:v>2016</c:v>
                </c:pt>
                <c:pt idx="5">
                  <c:v>2017</c:v>
                </c:pt>
                <c:pt idx="6" formatCode="0">
                  <c:v>2018</c:v>
                </c:pt>
                <c:pt idx="7" formatCode="0">
                  <c:v>2019</c:v>
                </c:pt>
                <c:pt idx="8" formatCode="0">
                  <c:v>2020</c:v>
                </c:pt>
                <c:pt idx="9" formatCode="0">
                  <c:v>2021</c:v>
                </c:pt>
              </c:numCache>
            </c:numRef>
          </c:cat>
          <c:val>
            <c:numRef>
              <c:f>'[Chart 2 in Microsoft Word]Sheet3'!$D$5:$D$14</c:f>
              <c:numCache>
                <c:formatCode>_-* #,##0_-;\-* #,##0_-;_-* "-"??_-;_-@_-</c:formatCode>
                <c:ptCount val="10"/>
                <c:pt idx="0">
                  <c:v>12635</c:v>
                </c:pt>
                <c:pt idx="1">
                  <c:v>12991</c:v>
                </c:pt>
                <c:pt idx="2">
                  <c:v>14389</c:v>
                </c:pt>
                <c:pt idx="3">
                  <c:v>14738</c:v>
                </c:pt>
                <c:pt idx="4">
                  <c:v>17290</c:v>
                </c:pt>
                <c:pt idx="5">
                  <c:v>19602</c:v>
                </c:pt>
                <c:pt idx="6">
                  <c:v>19841.72</c:v>
                </c:pt>
                <c:pt idx="7">
                  <c:v>19675.734157999999</c:v>
                </c:pt>
                <c:pt idx="8">
                  <c:v>17785.973481000001</c:v>
                </c:pt>
                <c:pt idx="9">
                  <c:v>21828</c:v>
                </c:pt>
              </c:numCache>
            </c:numRef>
          </c:val>
          <c:smooth val="0"/>
          <c:extLst xmlns:c16r2="http://schemas.microsoft.com/office/drawing/2015/06/chart">
            <c:ext xmlns:c16="http://schemas.microsoft.com/office/drawing/2014/chart" uri="{C3380CC4-5D6E-409C-BE32-E72D297353CC}">
              <c16:uniqueId val="{00000000-2EF3-46ED-BA07-98E420CEFC57}"/>
            </c:ext>
          </c:extLst>
        </c:ser>
        <c:ser>
          <c:idx val="1"/>
          <c:order val="1"/>
          <c:tx>
            <c:strRef>
              <c:f>'[Chart 2 in Microsoft Word]Sheet3'!$E$4</c:f>
              <c:strCache>
                <c:ptCount val="1"/>
                <c:pt idx="0">
                  <c:v>Fakt Tvsh Neto</c:v>
                </c:pt>
              </c:strCache>
            </c:strRef>
          </c:tx>
          <c:spPr>
            <a:ln w="28575" cap="rnd">
              <a:solidFill>
                <a:schemeClr val="accent1">
                  <a:lumMod val="60000"/>
                  <a:lumOff val="40000"/>
                </a:schemeClr>
              </a:solidFill>
              <a:round/>
            </a:ln>
            <a:effectLst/>
          </c:spPr>
          <c:marker>
            <c:symbol val="none"/>
          </c:marker>
          <c:dLbls>
            <c:dLbl>
              <c:idx val="9"/>
              <c:layout>
                <c:manualLayout>
                  <c:x val="-5.6826771653543308E-2"/>
                  <c:y val="2.723388743073782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2 in Microsoft Word]Sheet3'!$C$5:$C$14</c:f>
              <c:numCache>
                <c:formatCode>General</c:formatCode>
                <c:ptCount val="10"/>
                <c:pt idx="0">
                  <c:v>2012</c:v>
                </c:pt>
                <c:pt idx="1">
                  <c:v>2013</c:v>
                </c:pt>
                <c:pt idx="2">
                  <c:v>2014</c:v>
                </c:pt>
                <c:pt idx="3">
                  <c:v>2015</c:v>
                </c:pt>
                <c:pt idx="4">
                  <c:v>2016</c:v>
                </c:pt>
                <c:pt idx="5">
                  <c:v>2017</c:v>
                </c:pt>
                <c:pt idx="6" formatCode="0">
                  <c:v>2018</c:v>
                </c:pt>
                <c:pt idx="7" formatCode="0">
                  <c:v>2019</c:v>
                </c:pt>
                <c:pt idx="8" formatCode="0">
                  <c:v>2020</c:v>
                </c:pt>
                <c:pt idx="9" formatCode="0">
                  <c:v>2021</c:v>
                </c:pt>
              </c:numCache>
            </c:numRef>
          </c:cat>
          <c:val>
            <c:numRef>
              <c:f>'[Chart 2 in Microsoft Word]Sheet3'!$E$5:$E$14</c:f>
              <c:numCache>
                <c:formatCode>_-* #,##0_-;\-* #,##0_-;_-* "-"??_-;_-@_-</c:formatCode>
                <c:ptCount val="10"/>
                <c:pt idx="0">
                  <c:v>10038</c:v>
                </c:pt>
                <c:pt idx="1">
                  <c:v>9478</c:v>
                </c:pt>
                <c:pt idx="2">
                  <c:v>12177</c:v>
                </c:pt>
                <c:pt idx="3">
                  <c:v>11868</c:v>
                </c:pt>
                <c:pt idx="4">
                  <c:v>14286</c:v>
                </c:pt>
                <c:pt idx="5">
                  <c:v>14720</c:v>
                </c:pt>
                <c:pt idx="6">
                  <c:v>14387.240000000002</c:v>
                </c:pt>
                <c:pt idx="7">
                  <c:v>12722</c:v>
                </c:pt>
                <c:pt idx="8">
                  <c:v>11865.172961000002</c:v>
                </c:pt>
                <c:pt idx="9">
                  <c:v>9479</c:v>
                </c:pt>
              </c:numCache>
            </c:numRef>
          </c:val>
          <c:smooth val="0"/>
          <c:extLst xmlns:c16r2="http://schemas.microsoft.com/office/drawing/2015/06/chart">
            <c:ext xmlns:c16="http://schemas.microsoft.com/office/drawing/2014/chart" uri="{C3380CC4-5D6E-409C-BE32-E72D297353CC}">
              <c16:uniqueId val="{00000001-2EF3-46ED-BA07-98E420CEFC57}"/>
            </c:ext>
          </c:extLst>
        </c:ser>
        <c:dLbls>
          <c:showLegendKey val="0"/>
          <c:showVal val="0"/>
          <c:showCatName val="0"/>
          <c:showSerName val="0"/>
          <c:showPercent val="0"/>
          <c:showBubbleSize val="0"/>
        </c:dLbls>
        <c:marker val="1"/>
        <c:smooth val="0"/>
        <c:axId val="1290947360"/>
        <c:axId val="1290926144"/>
      </c:lineChart>
      <c:catAx>
        <c:axId val="1290947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6144"/>
        <c:crosses val="autoZero"/>
        <c:auto val="1"/>
        <c:lblAlgn val="ctr"/>
        <c:lblOffset val="100"/>
        <c:noMultiLvlLbl val="0"/>
      </c:catAx>
      <c:valAx>
        <c:axId val="1290926144"/>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7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1">
          <a:lumMod val="40000"/>
          <a:lumOff val="60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Sheet3!$F$22</c:f>
              <c:strCache>
                <c:ptCount val="1"/>
                <c:pt idx="0">
                  <c:v>Plan</c:v>
                </c:pt>
              </c:strCache>
            </c:strRef>
          </c:tx>
          <c:spPr>
            <a:solidFill>
              <a:schemeClr val="accent1">
                <a:lumMod val="20000"/>
                <a:lumOff val="80000"/>
              </a:schemeClr>
            </a:solidFill>
            <a:ln>
              <a:noFill/>
            </a:ln>
            <a:effectLst/>
          </c:spPr>
          <c:invertIfNegative val="0"/>
          <c:dLbls>
            <c:dLbl>
              <c:idx val="0"/>
              <c:layout>
                <c:manualLayout>
                  <c:x val="-2.1036284047675032E-17"/>
                  <c:y val="0.2083333333333333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151-4646-94F4-1637713E030B}"/>
                </c:ext>
                <c:ext xmlns:c15="http://schemas.microsoft.com/office/drawing/2012/chart" uri="{CE6537A1-D6FC-4f65-9D91-7224C49458BB}"/>
              </c:extLst>
            </c:dLbl>
            <c:dLbl>
              <c:idx val="1"/>
              <c:layout>
                <c:manualLayout>
                  <c:x val="-4.2072568095350064E-17"/>
                  <c:y val="9.7222222222222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151-4646-94F4-1637713E030B}"/>
                </c:ext>
                <c:ext xmlns:c15="http://schemas.microsoft.com/office/drawing/2012/chart" uri="{CE6537A1-D6FC-4f65-9D91-7224C49458BB}"/>
              </c:extLst>
            </c:dLbl>
            <c:dLbl>
              <c:idx val="2"/>
              <c:layout>
                <c:manualLayout>
                  <c:x val="0"/>
                  <c:y val="0.134259259259259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151-4646-94F4-1637713E030B}"/>
                </c:ext>
                <c:ext xmlns:c15="http://schemas.microsoft.com/office/drawing/2012/chart" uri="{CE6537A1-D6FC-4f65-9D91-7224C49458BB}"/>
              </c:extLst>
            </c:dLbl>
            <c:dLbl>
              <c:idx val="3"/>
              <c:layout>
                <c:manualLayout>
                  <c:x val="0"/>
                  <c:y val="0.1203703703703703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151-4646-94F4-1637713E030B}"/>
                </c:ext>
                <c:ext xmlns:c15="http://schemas.microsoft.com/office/drawing/2012/chart" uri="{CE6537A1-D6FC-4f65-9D91-7224C49458BB}"/>
              </c:extLst>
            </c:dLbl>
            <c:dLbl>
              <c:idx val="4"/>
              <c:layout>
                <c:manualLayout>
                  <c:x val="-2.2948938611589212E-3"/>
                  <c:y val="0.1203703703703702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151-4646-94F4-1637713E030B}"/>
                </c:ext>
                <c:ext xmlns:c15="http://schemas.microsoft.com/office/drawing/2012/chart" uri="{CE6537A1-D6FC-4f65-9D91-7224C49458BB}"/>
              </c:extLst>
            </c:dLbl>
            <c:dLbl>
              <c:idx val="5"/>
              <c:layout>
                <c:manualLayout>
                  <c:x val="0"/>
                  <c:y val="0.12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151-4646-94F4-1637713E030B}"/>
                </c:ext>
                <c:ext xmlns:c15="http://schemas.microsoft.com/office/drawing/2012/chart" uri="{CE6537A1-D6FC-4f65-9D91-7224C49458BB}"/>
              </c:extLst>
            </c:dLbl>
            <c:dLbl>
              <c:idx val="6"/>
              <c:layout>
                <c:manualLayout>
                  <c:x val="0"/>
                  <c:y val="0.1527777777777777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151-4646-94F4-1637713E030B}"/>
                </c:ext>
                <c:ext xmlns:c15="http://schemas.microsoft.com/office/drawing/2012/chart" uri="{CE6537A1-D6FC-4f65-9D91-7224C49458BB}"/>
              </c:extLst>
            </c:dLbl>
            <c:dLbl>
              <c:idx val="7"/>
              <c:layout>
                <c:manualLayout>
                  <c:x val="-6.8846815834769327E-3"/>
                  <c:y val="0.1527777777777777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151-4646-94F4-1637713E030B}"/>
                </c:ext>
                <c:ext xmlns:c15="http://schemas.microsoft.com/office/drawing/2012/chart" uri="{CE6537A1-D6FC-4f65-9D91-7224C49458BB}"/>
              </c:extLst>
            </c:dLbl>
            <c:dLbl>
              <c:idx val="8"/>
              <c:layout>
                <c:manualLayout>
                  <c:x val="-6.0018841476066854E-3"/>
                  <c:y val="-1.461747985821580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151-4646-94F4-1637713E030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Sheet3!$D$23:$D$32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Sheet3!$F$23:$F$32</c:f>
              <c:numCache>
                <c:formatCode>#,##0</c:formatCode>
                <c:ptCount val="10"/>
                <c:pt idx="0">
                  <c:v>10560</c:v>
                </c:pt>
                <c:pt idx="1">
                  <c:v>6500</c:v>
                </c:pt>
                <c:pt idx="2">
                  <c:v>10000</c:v>
                </c:pt>
                <c:pt idx="3">
                  <c:v>10568</c:v>
                </c:pt>
                <c:pt idx="4">
                  <c:v>11550</c:v>
                </c:pt>
                <c:pt idx="5">
                  <c:v>11702</c:v>
                </c:pt>
                <c:pt idx="6">
                  <c:v>16650</c:v>
                </c:pt>
                <c:pt idx="7">
                  <c:v>15744.971812272484</c:v>
                </c:pt>
                <c:pt idx="8">
                  <c:v>14043.141312078504</c:v>
                </c:pt>
                <c:pt idx="9">
                  <c:v>15269.816621720822</c:v>
                </c:pt>
              </c:numCache>
            </c:numRef>
          </c:val>
          <c:extLst xmlns:c16r2="http://schemas.microsoft.com/office/drawing/2015/06/chart">
            <c:ext xmlns:c16="http://schemas.microsoft.com/office/drawing/2014/chart" uri="{C3380CC4-5D6E-409C-BE32-E72D297353CC}">
              <c16:uniqueId val="{00000009-7151-4646-94F4-1637713E030B}"/>
            </c:ext>
          </c:extLst>
        </c:ser>
        <c:dLbls>
          <c:showLegendKey val="0"/>
          <c:showVal val="0"/>
          <c:showCatName val="0"/>
          <c:showSerName val="0"/>
          <c:showPercent val="0"/>
          <c:showBubbleSize val="0"/>
        </c:dLbls>
        <c:gapWidth val="150"/>
        <c:axId val="1290930496"/>
        <c:axId val="1290928864"/>
      </c:barChart>
      <c:lineChart>
        <c:grouping val="standard"/>
        <c:varyColors val="0"/>
        <c:ser>
          <c:idx val="0"/>
          <c:order val="0"/>
          <c:tx>
            <c:strRef>
              <c:f>Sheet3!$E$22</c:f>
              <c:strCache>
                <c:ptCount val="1"/>
                <c:pt idx="0">
                  <c:v>Fakt</c:v>
                </c:pt>
              </c:strCache>
            </c:strRef>
          </c:tx>
          <c:spPr>
            <a:ln w="28575" cap="rnd">
              <a:solidFill>
                <a:schemeClr val="accent1"/>
              </a:solidFill>
              <a:round/>
            </a:ln>
            <a:effectLst/>
          </c:spPr>
          <c:marker>
            <c:symbol val="none"/>
          </c:marker>
          <c:dLbls>
            <c:dLbl>
              <c:idx val="2"/>
              <c:layout>
                <c:manualLayout>
                  <c:x val="-3.8422305645529252E-2"/>
                  <c:y val="-0.1087616652085156"/>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151-4646-94F4-1637713E030B}"/>
                </c:ext>
                <c:ext xmlns:c15="http://schemas.microsoft.com/office/drawing/2012/chart" uri="{CE6537A1-D6FC-4f65-9D91-7224C49458BB}"/>
              </c:extLst>
            </c:dLbl>
            <c:dLbl>
              <c:idx val="6"/>
              <c:layout>
                <c:manualLayout>
                  <c:x val="-4.1359769787812667E-2"/>
                  <c:y val="-8.098388743073782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7151-4646-94F4-1637713E030B}"/>
                </c:ext>
                <c:ext xmlns:c15="http://schemas.microsoft.com/office/drawing/2012/chart" uri="{CE6537A1-D6FC-4f65-9D91-7224C49458BB}"/>
              </c:extLst>
            </c:dLbl>
            <c:dLbl>
              <c:idx val="8"/>
              <c:layout>
                <c:manualLayout>
                  <c:x val="-4.4689626046072212E-2"/>
                  <c:y val="5.638210202669979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7151-4646-94F4-1637713E030B}"/>
                </c:ext>
                <c:ext xmlns:c15="http://schemas.microsoft.com/office/drawing/2012/chart" uri="{CE6537A1-D6FC-4f65-9D91-7224C49458BB}"/>
              </c:extLst>
            </c:dLbl>
            <c:dLbl>
              <c:idx val="9"/>
              <c:layout>
                <c:manualLayout>
                  <c:x val="-7.4620799586061284E-3"/>
                  <c:y val="3.8554289919220372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Sheet3!$D$23:$D$32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Sheet3!$E$23:$E$32</c:f>
              <c:numCache>
                <c:formatCode>#,##0</c:formatCode>
                <c:ptCount val="10"/>
                <c:pt idx="0">
                  <c:v>7688</c:v>
                </c:pt>
                <c:pt idx="1">
                  <c:v>7579</c:v>
                </c:pt>
                <c:pt idx="2">
                  <c:v>9477</c:v>
                </c:pt>
                <c:pt idx="3">
                  <c:v>11736</c:v>
                </c:pt>
                <c:pt idx="4">
                  <c:v>14551</c:v>
                </c:pt>
                <c:pt idx="5">
                  <c:v>15326</c:v>
                </c:pt>
                <c:pt idx="6">
                  <c:v>15588.49</c:v>
                </c:pt>
                <c:pt idx="7">
                  <c:v>17696</c:v>
                </c:pt>
                <c:pt idx="8">
                  <c:v>11453.595144000001</c:v>
                </c:pt>
                <c:pt idx="9">
                  <c:v>15131.286786000001</c:v>
                </c:pt>
              </c:numCache>
            </c:numRef>
          </c:val>
          <c:smooth val="0"/>
          <c:extLst xmlns:c16r2="http://schemas.microsoft.com/office/drawing/2015/06/chart">
            <c:ext xmlns:c16="http://schemas.microsoft.com/office/drawing/2014/chart" uri="{C3380CC4-5D6E-409C-BE32-E72D297353CC}">
              <c16:uniqueId val="{0000000D-7151-4646-94F4-1637713E030B}"/>
            </c:ext>
          </c:extLst>
        </c:ser>
        <c:dLbls>
          <c:showLegendKey val="0"/>
          <c:showVal val="0"/>
          <c:showCatName val="0"/>
          <c:showSerName val="0"/>
          <c:showPercent val="0"/>
          <c:showBubbleSize val="0"/>
        </c:dLbls>
        <c:marker val="1"/>
        <c:smooth val="0"/>
        <c:axId val="1290930496"/>
        <c:axId val="1290928864"/>
      </c:lineChart>
      <c:catAx>
        <c:axId val="129093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8864"/>
        <c:crosses val="autoZero"/>
        <c:auto val="1"/>
        <c:lblAlgn val="ctr"/>
        <c:lblOffset val="100"/>
        <c:noMultiLvlLbl val="0"/>
      </c:catAx>
      <c:valAx>
        <c:axId val="1290928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30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83CE7F-4078-49E5-97D7-6A8B42ADBD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TotalTime>
  <Pages>91</Pages>
  <Words>32622</Words>
  <Characters>185946</Characters>
  <Application>Microsoft Office Word</Application>
  <DocSecurity>0</DocSecurity>
  <Lines>1549</Lines>
  <Paragraphs>436</Paragraphs>
  <ScaleCrop>false</ScaleCrop>
  <HeadingPairs>
    <vt:vector size="2" baseType="variant">
      <vt:variant>
        <vt:lpstr>Title</vt:lpstr>
      </vt:variant>
      <vt:variant>
        <vt:i4>1</vt:i4>
      </vt:variant>
    </vt:vector>
  </HeadingPairs>
  <TitlesOfParts>
    <vt:vector size="1" baseType="lpstr">
      <vt:lpstr>Raporti i Mes-Vitit i Buxhetit</vt:lpstr>
    </vt:vector>
  </TitlesOfParts>
  <Company/>
  <LinksUpToDate>false</LinksUpToDate>
  <CharactersWithSpaces>218132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Raporti i Mes-Vitit i Buxhetit</dc:title>
  <dc:creator>Besjon Tanuzi</dc:creator>
  <cp:lastModifiedBy>Xhoana Agolli</cp:lastModifiedBy>
  <cp:revision>35</cp:revision>
  <cp:lastPrinted>2021-07-05T12:20:00Z</cp:lastPrinted>
  <dcterms:created xsi:type="dcterms:W3CDTF">2021-07-06T08:51:00Z</dcterms:created>
  <dcterms:modified xsi:type="dcterms:W3CDTF">2021-07-07T09:57:00Z</dcterms:modified>
</cp:coreProperties>
</file>